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20</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20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176,846</w:t>
      </w:r>
    </w:p>
    <w:p>
      <w:pPr>
        <w:pStyle w:val="BodyText"/>
      </w:pPr>
      <w:r>
        <w:t xml:space="preserve">▼ 0.62% Wed · −1,109 pts</w:t>
      </w:r>
    </w:p>
    <w:p>
      <w:pPr>
        <w:pStyle w:val="BodyText"/>
      </w:pPr>
      <w:r>
        <w:t xml:space="preserve">S&amp;P 500</w:t>
      </w:r>
      <w:r>
        <w:t xml:space="preserve"> </w:t>
      </w:r>
      <w:r>
        <w:t xml:space="preserve">V</w:t>
      </w:r>
    </w:p>
    <w:p>
      <w:pPr>
        <w:pStyle w:val="BodyText"/>
      </w:pPr>
      <w:r>
        <w:t xml:space="preserve">▲ 0.2%</w:t>
      </w:r>
    </w:p>
    <w:p>
      <w:pPr>
        <w:pStyle w:val="BodyText"/>
      </w:pPr>
      <w:r>
        <w:t xml:space="preserve">Nasdaq +0.2% · Dow +0.2%</w:t>
      </w:r>
    </w:p>
    <w:p>
      <w:pPr>
        <w:pStyle w:val="BodyText"/>
      </w:pPr>
      <w:r>
        <w:t xml:space="preserve">US 10Y / 2Y</w:t>
      </w:r>
      <w:r>
        <w:t xml:space="preserve"> </w:t>
      </w:r>
      <w:r>
        <w:t xml:space="preserve">V</w:t>
      </w:r>
    </w:p>
    <w:p>
      <w:pPr>
        <w:pStyle w:val="BodyText"/>
      </w:pPr>
      <w:r>
        <w:t xml:space="preserve">4.65 / 4.18</w:t>
      </w:r>
    </w:p>
    <w:p>
      <w:pPr>
        <w:pStyle w:val="BodyText"/>
      </w:pPr>
      <w:r>
        <w:t xml:space="preserve">yields ease on Treasury buyback</w:t>
      </w:r>
    </w:p>
    <w:p>
      <w:pPr>
        <w:pStyle w:val="BodyText"/>
      </w:pPr>
      <w:r>
        <w:t xml:space="preserve">Brent / WTI</w:t>
      </w:r>
      <w:r>
        <w:t xml:space="preserve"> </w:t>
      </w:r>
      <w:r>
        <w:t xml:space="preserve">V</w:t>
      </w:r>
    </w:p>
    <w:p>
      <w:pPr>
        <w:pStyle w:val="BodyText"/>
      </w:pPr>
      <w:r>
        <w:t xml:space="preserve">$92.4 / $85.6</w:t>
      </w:r>
    </w:p>
    <w:p>
      <w:pPr>
        <w:pStyle w:val="BodyText"/>
      </w:pPr>
      <w:r>
        <w:t xml:space="preserve">Hormuz transit near-halt</w:t>
      </w:r>
    </w:p>
    <w:p>
      <w:pPr>
        <w:pStyle w:val="BodyText"/>
      </w:pPr>
      <w:r>
        <w:t xml:space="preserve">Gold</w:t>
      </w:r>
      <w:r>
        <w:t xml:space="preserve"> </w:t>
      </w:r>
      <w:r>
        <w:t xml:space="preserve">V</w:t>
      </w:r>
    </w:p>
    <w:p>
      <w:pPr>
        <w:pStyle w:val="BodyText"/>
      </w:pPr>
      <w:r>
        <w:t xml:space="preserve">$4,493</w:t>
      </w:r>
    </w:p>
    <w:p>
      <w:pPr>
        <w:pStyle w:val="BodyText"/>
      </w:pPr>
      <w:r>
        <w:t xml:space="preserve">▲ 3.7% · silver $63.87</w:t>
      </w:r>
    </w:p>
    <w:p>
      <w:pPr>
        <w:pStyle w:val="BodyText"/>
      </w:pPr>
      <w:r>
        <w:t xml:space="preserve">USD/PKR</w:t>
      </w:r>
      <w:r>
        <w:t xml:space="preserve"> </w:t>
      </w:r>
      <w:r>
        <w:t xml:space="preserve">V</w:t>
      </w:r>
    </w:p>
    <w:p>
      <w:pPr>
        <w:pStyle w:val="BodyText"/>
      </w:pPr>
      <w:r>
        <w:t xml:space="preserve">277.6</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slips on refinery-pricing jitters</w:t>
      </w:r>
      <w:r>
        <w:t xml:space="preserve"> </w:t>
      </w:r>
      <w:r>
        <w:t xml:space="preserve">The benchmark closed Wednesday at</w:t>
      </w:r>
      <w:r>
        <w:t xml:space="preserve"> </w:t>
      </w:r>
      <w:r>
        <w:rPr>
          <w:bCs/>
          <w:b/>
        </w:rPr>
        <w:t xml:space="preserve">176,846.36</w:t>
      </w:r>
      <w:r>
        <w:t xml:space="preserve">, down 1,109.14 points (0.62%) from Tuesday's 177,955.51, having swung from an intraday high of 178,942.31 to a low of 176,638.10 after media reports that the petroleum ministry would negotiate diesel-price cuts with local refineries triggered a broad reversal in refinery, banking, fertiliser and E&amp;P names — UBL, Engro Holdings, HBL, FFC, Attock Refinery, Meezan Bank, Mari Energies, Systems, Cnergyico and National Bank alone erased 859 points. Breadth was negative (185 advancers vs 271 decliners of 496 traded) on volume of 787.9m shares worth Rs39.6bn. Sources:</w:t>
      </w:r>
      <w:r>
        <w:t xml:space="preserve"> </w:t>
      </w:r>
      <w:hyperlink r:id="rId20">
        <w:r>
          <w:rPr>
            <w:rStyle w:val="Hyperlink"/>
          </w:rPr>
          <w:t xml:space="preserve">Express Tribune</w:t>
        </w:r>
      </w:hyperlink>
      <w:r>
        <w:t xml:space="preserve">,</w:t>
      </w:r>
      <w:r>
        <w:t xml:space="preserve"> </w:t>
      </w:r>
      <w:hyperlink r:id="rId21">
        <w:r>
          <w:rPr>
            <w:rStyle w:val="Hyperlink"/>
          </w:rPr>
          <w:t xml:space="preserve">Business Recorder</w:t>
        </w:r>
      </w:hyperlink>
      <w:r>
        <w:t xml:space="preserve">. Sentiment:</w:t>
      </w:r>
      <w:r>
        <w:t xml:space="preserve"> </w:t>
      </w:r>
      <w:r>
        <w:t xml:space="preserve">cautious, refinery-led reversal</w:t>
      </w:r>
      <w:r>
        <w:t xml:space="preserve">.</w:t>
      </w:r>
    </w:p>
    <w:p>
      <w:pPr>
        <w:numPr>
          <w:ilvl w:val="0"/>
          <w:numId w:val="1001"/>
        </w:numPr>
        <w:pStyle w:val="Compact"/>
      </w:pPr>
      <w:r>
        <w:t xml:space="preserve">Treasury's bond-market rescue lifts Wall Street</w:t>
      </w:r>
      <w:r>
        <w:t xml:space="preserve"> </w:t>
      </w:r>
      <w:r>
        <w:t xml:space="preserve">The S&amp;P 500 edged up 16.22 points (0.2%) to</w:t>
      </w:r>
      <w:r>
        <w:t xml:space="preserve"> </w:t>
      </w:r>
      <w:r>
        <w:rPr>
          <w:bCs/>
          <w:b/>
        </w:rPr>
        <w:t xml:space="preserve">7,707.98</w:t>
      </w:r>
      <w:r>
        <w:t xml:space="preserve">, the Dow rose 119.65 points (0.2%) to 53,463.05 and the Nasdaq gained 41.38 points (0.2%) to 26,331.09 after the US Treasury said it would double liquidity-support buybacks of longer-dated debt to at least $4bn per operation from September; the 10-year yield fell over 5bp to roughly 4.65% and the 30-year eased to near 5.19% from a 19-year high, putting fresh pressure on Fed Chair Kevin Warsh's hawkish stance. Sources:</w:t>
      </w:r>
      <w:r>
        <w:t xml:space="preserve"> </w:t>
      </w:r>
      <w:hyperlink r:id="rId22">
        <w:r>
          <w:rPr>
            <w:rStyle w:val="Hyperlink"/>
          </w:rPr>
          <w:t xml:space="preserve">ABC News</w:t>
        </w:r>
      </w:hyperlink>
      <w:r>
        <w:t xml:space="preserve">,</w:t>
      </w:r>
      <w:r>
        <w:t xml:space="preserve"> </w:t>
      </w:r>
      <w:hyperlink r:id="rId23">
        <w:r>
          <w:rPr>
            <w:rStyle w:val="Hyperlink"/>
          </w:rPr>
          <w:t xml:space="preserve">CNBC</w:t>
        </w:r>
      </w:hyperlink>
      <w:r>
        <w:t xml:space="preserve">. Sentiment:</w:t>
      </w:r>
      <w:r>
        <w:t xml:space="preserve"> </w:t>
      </w:r>
      <w:r>
        <w:t xml:space="preserve">modestly firmer, yields easing</w:t>
      </w:r>
      <w:r>
        <w:t xml:space="preserve">.</w:t>
      </w:r>
    </w:p>
    <w:p>
      <w:pPr>
        <w:numPr>
          <w:ilvl w:val="0"/>
          <w:numId w:val="1001"/>
        </w:numPr>
        <w:pStyle w:val="Compact"/>
      </w:pPr>
      <w:r>
        <w:t xml:space="preserve">Gold surges to $4,493 as yields retreat</w:t>
      </w:r>
      <w:r>
        <w:t xml:space="preserve"> </w:t>
      </w:r>
      <w:r>
        <w:t xml:space="preserve">Spot gold jumped roughly 3.7% to</w:t>
      </w:r>
      <w:r>
        <w:t xml:space="preserve"> </w:t>
      </w:r>
      <w:r>
        <w:rPr>
          <w:bCs/>
          <w:b/>
        </w:rPr>
        <w:t xml:space="preserve">$4,493/oz</w:t>
      </w:r>
      <w:r>
        <w:t xml:space="preserve"> </w:t>
      </w:r>
      <w:r>
        <w:t xml:space="preserve">— its sharpest one-day rally in weeks — as the falling Treasury yields and a softer dollar overwhelmed any drag from firm oil prices, while silver eased to $63.87/oz, extending the prior session's pullback. Sources:</w:t>
      </w:r>
      <w:r>
        <w:t xml:space="preserve"> </w:t>
      </w:r>
      <w:hyperlink r:id="rId24">
        <w:r>
          <w:rPr>
            <w:rStyle w:val="Hyperlink"/>
          </w:rPr>
          <w:t xml:space="preserve">Trading Economics</w:t>
        </w:r>
      </w:hyperlink>
      <w:r>
        <w:t xml:space="preserve">,</w:t>
      </w:r>
      <w:r>
        <w:t xml:space="preserve"> </w:t>
      </w:r>
      <w:hyperlink r:id="rId25">
        <w:r>
          <w:rPr>
            <w:rStyle w:val="Hyperlink"/>
          </w:rPr>
          <w:t xml:space="preserve">Kitco</w:t>
        </w:r>
      </w:hyperlink>
      <w:r>
        <w:t xml:space="preserve">. Sentiment:</w:t>
      </w:r>
      <w:r>
        <w:t xml:space="preserve"> </w:t>
      </w:r>
      <w:r>
        <w:t xml:space="preserve">sharply firmer on falling yields</w:t>
      </w:r>
      <w:r>
        <w:t xml:space="preserve">.</w:t>
      </w:r>
    </w:p>
    <w:p>
      <w:pPr>
        <w:numPr>
          <w:ilvl w:val="0"/>
          <w:numId w:val="1001"/>
        </w:numPr>
        <w:pStyle w:val="Compact"/>
      </w:pPr>
      <w:r>
        <w:t xml:space="preserve">Hormuz transit near-halt keeps oil elevated</w:t>
      </w:r>
      <w:r>
        <w:t xml:space="preserve"> </w:t>
      </w:r>
      <w:r>
        <w:t xml:space="preserve">Brent held near</w:t>
      </w:r>
      <w:r>
        <w:t xml:space="preserve"> </w:t>
      </w:r>
      <w:r>
        <w:rPr>
          <w:bCs/>
          <w:b/>
        </w:rPr>
        <w:t xml:space="preserve">$92.4/bbl</w:t>
      </w:r>
      <w:r>
        <w:t xml:space="preserve"> </w:t>
      </w:r>
      <w:r>
        <w:t xml:space="preserve">and WTI near $85.6/bbl, extending a fourth straight session of gains, as Strait of Hormuz shipping traffic collapsed to roughly three vessels crossing over the weekend versus a five-day average of 12 and a pre-conflict norm near 130 daily, with US-Iran talks showing little sign of a breakthrough. Sources:</w:t>
      </w:r>
      <w:r>
        <w:t xml:space="preserve"> </w:t>
      </w:r>
      <w:hyperlink r:id="rId26">
        <w:r>
          <w:rPr>
            <w:rStyle w:val="Hyperlink"/>
          </w:rPr>
          <w:t xml:space="preserve">Vantage Markets</w:t>
        </w:r>
      </w:hyperlink>
      <w:r>
        <w:t xml:space="preserve">,</w:t>
      </w:r>
      <w:r>
        <w:t xml:space="preserve"> </w:t>
      </w:r>
      <w:hyperlink r:id="rId27">
        <w:r>
          <w:rPr>
            <w:rStyle w:val="Hyperlink"/>
          </w:rPr>
          <w:t xml:space="preserve">Al Jazeera</w:t>
        </w:r>
      </w:hyperlink>
      <w:r>
        <w:t xml:space="preserve">. Sentiment:</w:t>
      </w:r>
      <w:r>
        <w:t xml:space="preserve"> </w:t>
      </w:r>
      <w:r>
        <w:t xml:space="preserve">firm, geopolitically driven</w:t>
      </w:r>
      <w:r>
        <w:t xml:space="preserve">.</w:t>
      </w:r>
    </w:p>
    <w:p>
      <w:pPr>
        <w:numPr>
          <w:ilvl w:val="0"/>
          <w:numId w:val="1001"/>
        </w:numPr>
        <w:pStyle w:val="Compact"/>
      </w:pPr>
      <w:r>
        <w:t xml:space="preserve">OPEC+ output hike, PIF approves 2026-2030 strategy</w:t>
      </w:r>
      <w:r>
        <w:t xml:space="preserve"> </w:t>
      </w:r>
      <w:r>
        <w:t xml:space="preserve">Seven OPEC+ members continue raising output by 188,000 bpd a month, while Saudi Arabia's non-oil private sector held a fourth straight month of expansion in July (Riyad Bank PMI 53.1, easing slightly from 53.3 in June); separately, the PIF board — chaired by Crown Prince Mohammed bin Salman — approved its 2026-2030 strategy prioritising tourism, travel and entertainment alongside deeper private-sector participation. Sources:</w:t>
      </w:r>
      <w:r>
        <w:t xml:space="preserve"> </w:t>
      </w:r>
      <w:hyperlink r:id="rId28">
        <w:r>
          <w:rPr>
            <w:rStyle w:val="Hyperlink"/>
          </w:rPr>
          <w:t xml:space="preserve">Business Recorder</w:t>
        </w:r>
      </w:hyperlink>
      <w:r>
        <w:t xml:space="preserve">,</w:t>
      </w:r>
      <w:r>
        <w:t xml:space="preserve"> </w:t>
      </w:r>
      <w:hyperlink r:id="rId29">
        <w:r>
          <w:rPr>
            <w:rStyle w:val="Hyperlink"/>
          </w:rPr>
          <w:t xml:space="preserve">Gulf Business</w:t>
        </w:r>
      </w:hyperlink>
      <w:r>
        <w:t xml:space="preserve">. Sentiment:</w:t>
      </w:r>
      <w:r>
        <w:t xml:space="preserve"> </w:t>
      </w:r>
      <w:r>
        <w:t xml:space="preserve">resilient, diversification intact</w:t>
      </w:r>
      <w:r>
        <w:t xml:space="preserve">.</w:t>
      </w:r>
    </w:p>
    <w:bookmarkEnd w:id="30"/>
    <w:bookmarkStart w:id="36"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The KSE-100 slipped 1,109.14 points (0.62%) to close at</w:t>
      </w:r>
      <w:r>
        <w:t xml:space="preserve"> </w:t>
      </w:r>
      <w:r>
        <w:rPr>
          <w:bCs/>
          <w:b/>
        </w:rPr>
        <w:t xml:space="preserve">176,846.36</w:t>
      </w:r>
      <w:r>
        <w:t xml:space="preserve"> </w:t>
      </w:r>
      <w:r>
        <w:t xml:space="preserve">on Wednesday, giving back an early rally that had lifted the index to an intraday high of 178,942.31, after media reports that the petroleum ministry would negotiate diesel-price cuts with local refineries triggered broad-based selling in refinery, banking, fertiliser and E&amp;P names; UBL, Engro Holdings, HBL, FFC, Attock Refinery, Meezan Bank, Mari Energies, Systems, Cnergyico and National Bank together erased 859 points, and breadth turned negative (185 gainers vs 271 losers) on volume of 787.9m shares worth Rs39.6bn. The reversal came even as separate reports of government progress on gas-sector circular debt offered some offsetting support. July CPI eased to</w:t>
      </w:r>
      <w:r>
        <w:t xml:space="preserve"> </w:t>
      </w:r>
      <w:r>
        <w:rPr>
          <w:bCs/>
          <w:b/>
        </w:rPr>
        <w:t xml:space="preserve">9.2% y/y</w:t>
      </w:r>
      <w:r>
        <w:t xml:space="preserve"> </w:t>
      </w:r>
      <w:r>
        <w:t xml:space="preserve">from 11.1% in June, and the SBP held its policy rate at 11.5% for a second straight meeting, with 1-month KIBOR near 11.39/11.89% (bid/offer) as of mid-August. An</w:t>
      </w:r>
      <w:r>
        <w:t xml:space="preserve"> </w:t>
      </w:r>
      <w:hyperlink r:id="rId31">
        <w:r>
          <w:rPr>
            <w:rStyle w:val="Hyperlink"/>
          </w:rPr>
          <w:t xml:space="preserve">IMF mission is expected in September</w:t>
        </w:r>
      </w:hyperlink>
      <w:r>
        <w:t xml:space="preserve"> </w:t>
      </w:r>
      <w:r>
        <w:t xml:space="preserve">for the next EFF/RSF review, with roughly $1.2bn (about $1bn EFF plus $200m RSF) in view, contingent on fiscal consolidation, energy circular-debt reform and climate-linked benchmarks.</w:t>
      </w:r>
    </w:p>
    <w:bookmarkEnd w:id="32"/>
    <w:bookmarkStart w:id="34" w:name="b.-gcc-middle-east"/>
    <w:p>
      <w:pPr>
        <w:pStyle w:val="Heading3"/>
      </w:pPr>
      <w:r>
        <w:t xml:space="preserve">B. GCC &amp; Middle East</w:t>
      </w:r>
    </w:p>
    <w:p>
      <w:pPr>
        <w:pStyle w:val="FirstParagraph"/>
      </w:pPr>
      <w:r>
        <w:t xml:space="preserve">Brent held near</w:t>
      </w:r>
      <w:r>
        <w:t xml:space="preserve"> </w:t>
      </w:r>
      <w:r>
        <w:rPr>
          <w:bCs/>
          <w:b/>
        </w:rPr>
        <w:t xml:space="preserve">$92.4/bbl</w:t>
      </w:r>
      <w:r>
        <w:t xml:space="preserve"> </w:t>
      </w:r>
      <w:r>
        <w:t xml:space="preserve">and WTI near $85.6/bbl, extending a fourth straight session of gains, as Strait of Hormuz shipping traffic collapsed to roughly three vessels over the weekend against a five-day average of 12 and a pre-conflict norm near 130 daily, with US-Iran talks showing little sign of a breakthrough. Seven</w:t>
      </w:r>
      <w:r>
        <w:t xml:space="preserve"> </w:t>
      </w:r>
      <w:hyperlink r:id="rId33">
        <w:r>
          <w:rPr>
            <w:rStyle w:val="Hyperlink"/>
          </w:rPr>
          <w:t xml:space="preserve">OPEC+ members continue raising output by 188,000 bpd a month</w:t>
        </w:r>
      </w:hyperlink>
      <w:r>
        <w:t xml:space="preserve">, a signal of confidence in demand even amid the standoff, while Saudi Arabia's</w:t>
      </w:r>
      <w:r>
        <w:t xml:space="preserve"> </w:t>
      </w:r>
      <w:hyperlink r:id="rId28">
        <w:r>
          <w:rPr>
            <w:rStyle w:val="Hyperlink"/>
          </w:rPr>
          <w:t xml:space="preserve">non-oil private sector held a fourth straight month of expansion in July</w:t>
        </w:r>
      </w:hyperlink>
      <w:r>
        <w:t xml:space="preserve"> </w:t>
      </w:r>
      <w:r>
        <w:t xml:space="preserve">(Riyad Bank PMI 53.1). Separately, the</w:t>
      </w:r>
      <w:r>
        <w:t xml:space="preserve"> </w:t>
      </w:r>
      <w:hyperlink r:id="rId29">
        <w:r>
          <w:rPr>
            <w:rStyle w:val="Hyperlink"/>
          </w:rPr>
          <w:t xml:space="preserve">PIF board approved its 2026-2030 strategy</w:t>
        </w:r>
      </w:hyperlink>
      <w:r>
        <w:t xml:space="preserve">, prioritising tourism, travel and entertainment alongside deeper private-sector participation — the medium-term diversification anchor even as elevated shipping and insurance costs weigh on regional trade.</w:t>
      </w:r>
    </w:p>
    <w:bookmarkEnd w:id="34"/>
    <w:bookmarkStart w:id="35" w:name="c.-global-intelligence"/>
    <w:p>
      <w:pPr>
        <w:pStyle w:val="Heading3"/>
      </w:pPr>
      <w:r>
        <w:t xml:space="preserve">C. Global Intelligence</w:t>
      </w:r>
    </w:p>
    <w:p>
      <w:pPr>
        <w:pStyle w:val="FirstParagraph"/>
      </w:pPr>
      <w:r>
        <w:t xml:space="preserve">Wall Street edged higher Wednesday — S&amp;P 500 +0.2% to 7,707.98, Dow +0.2% to 53,463.05, Nasdaq +0.2% to 26,331.09 — after the US Treasury said it would double liquidity-support buybacks of longer-dated debt to at least $4bn per operation from September, pulling long-dated yields back from multi-decade highs: the 10-year eased to roughly 4.65% and the 30-year to near 5.19% from above 5.3% earlier in the week. The move puts fresh pressure on Fed Chair Kevin Warsh's hawkish tilt (nine of 18 FOMC participants project a 2026 hike), effectively easing financial conditions the Fed itself has resisted loosening. Gold jumped roughly 3.7% to $4,493/oz on the lower-yield, softer-dollar backdrop even as silver eased to $63.87/oz, while Brent held near $92.4/bbl on the deepening Hormuz transit disruption.</w:t>
      </w:r>
    </w:p>
    <w:bookmarkEnd w:id="35"/>
    <w:bookmarkEnd w:id="36"/>
    <w:bookmarkStart w:id="38"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20">
              <w:r>
                <w:rPr>
                  <w:rStyle w:val="Hyperlink"/>
                </w:rPr>
                <w:t xml:space="preserve">Petroleum ministry reportedly opened talks with local refineries</w:t>
              </w:r>
            </w:hyperlink>
            <w:r>
              <w:t xml:space="preserve"> </w:t>
            </w:r>
            <w:r>
              <w:t xml:space="preserve">to cut diesel prices, triggering Wednesday's refinery-led selloff; separately, SBP holds its policy rate at 11.5% as July CPI eases to 9.2%, and an IMF mission is expected in September for the next EFF/RSF review (~$1.2bn).</w:t>
            </w:r>
          </w:p>
        </w:tc>
        <w:tc>
          <w:tcPr/>
          <w:p>
            <w:pPr>
              <w:pStyle w:val="Compact"/>
              <w:jc w:val="left"/>
            </w:pPr>
            <w:r>
              <w:t xml:space="preserve">Refineries, Oil marketing, Banks, Sovereign bonds</w:t>
            </w:r>
          </w:p>
        </w:tc>
        <w:tc>
          <w:tcPr/>
          <w:p>
            <w:pPr>
              <w:pStyle w:val="Compact"/>
              <w:jc w:val="left"/>
            </w:pPr>
            <w:r>
              <w:rPr>
                <w:bCs/>
                <w:b/>
              </w:rPr>
              <w:t xml:space="preserve">Wins:</w:t>
            </w:r>
            <w:r>
              <w:t xml:space="preserve"> </w:t>
            </w:r>
            <w:r>
              <w:t xml:space="preserve">consumers and transport/logistics names if diesel prices fall, and exporters if the ~$1.2bn IMF tranche clears on schedule.</w:t>
            </w:r>
            <w:r>
              <w:t xml:space="preserve"> </w:t>
            </w:r>
            <w:r>
              <w:rPr>
                <w:bCs/>
                <w:b/>
              </w:rPr>
              <w:t xml:space="preserve">Loses:</w:t>
            </w:r>
            <w:r>
              <w:t xml:space="preserve"> </w:t>
            </w:r>
            <w:r>
              <w:t xml:space="preserve">refiners facing margin compression (Attock Refinery, Cnergyico Pk led Wednesday's declines), and rate-sensitive banks awaiting a cut the SBP's hold continues to deny them.</w:t>
            </w:r>
          </w:p>
        </w:tc>
      </w:tr>
      <w:tr>
        <w:tc>
          <w:tcPr/>
          <w:p>
            <w:pPr>
              <w:pStyle w:val="Compact"/>
              <w:jc w:val="left"/>
            </w:pPr>
            <w:r>
              <w:rPr>
                <w:bCs/>
                <w:b/>
              </w:rPr>
              <w:t xml:space="preserve">Regional — GCC</w:t>
            </w:r>
          </w:p>
        </w:tc>
        <w:tc>
          <w:tcPr/>
          <w:p>
            <w:pPr>
              <w:pStyle w:val="Compact"/>
              <w:jc w:val="left"/>
            </w:pPr>
            <w:hyperlink r:id="rId33">
              <w:r>
                <w:rPr>
                  <w:rStyle w:val="Hyperlink"/>
                </w:rPr>
                <w:t xml:space="preserve">Seven OPEC+ members continue an output hike of 188,000 bpd a month</w:t>
              </w:r>
            </w:hyperlink>
            <w:r>
              <w:t xml:space="preserve">, while the</w:t>
            </w:r>
            <w:r>
              <w:t xml:space="preserve"> </w:t>
            </w:r>
            <w:hyperlink r:id="rId29">
              <w:r>
                <w:rPr>
                  <w:rStyle w:val="Hyperlink"/>
                </w:rPr>
                <w:t xml:space="preserve">PIF board approved its 2026-2030 strategy</w:t>
              </w:r>
            </w:hyperlink>
            <w:r>
              <w:t xml:space="preserve"> </w:t>
            </w:r>
            <w:r>
              <w:t xml:space="preserve">prioritising tourism, travel and private-sector participation, even as Hormuz shipping traffic remains near a standstill.</w:t>
            </w:r>
          </w:p>
        </w:tc>
        <w:tc>
          <w:tcPr/>
          <w:p>
            <w:pPr>
              <w:pStyle w:val="Compact"/>
              <w:jc w:val="left"/>
            </w:pPr>
            <w:r>
              <w:t xml:space="preserve">Energy, Oil exporters, Tourism/PIF portfolio, Shipping/Insurance</w:t>
            </w:r>
          </w:p>
        </w:tc>
        <w:tc>
          <w:tcPr/>
          <w:p>
            <w:pPr>
              <w:pStyle w:val="Compact"/>
              <w:jc w:val="left"/>
            </w:pPr>
            <w:r>
              <w:rPr>
                <w:bCs/>
                <w:b/>
              </w:rPr>
              <w:t xml:space="preserve">Wins:</w:t>
            </w:r>
            <w:r>
              <w:t xml:space="preserve"> </w:t>
            </w:r>
            <w:r>
              <w:t xml:space="preserve">Gulf budgets and oil exporters via firmer crude and steady output growth; PIF-linked tourism and entertainment names under the new 2026-2030 plan.</w:t>
            </w:r>
            <w:r>
              <w:t xml:space="preserve"> </w:t>
            </w:r>
            <w:r>
              <w:rPr>
                <w:bCs/>
                <w:b/>
              </w:rPr>
              <w:t xml:space="preserve">Loses:</w:t>
            </w:r>
            <w:r>
              <w:t xml:space="preserve"> </w:t>
            </w:r>
            <w:r>
              <w:t xml:space="preserve">shippers and insurers exposed to the near-total Hormuz transit halt, and import-dependent regional economies facing costlier energy and freight.</w:t>
            </w:r>
          </w:p>
        </w:tc>
      </w:tr>
      <w:tr>
        <w:tc>
          <w:tcPr/>
          <w:p>
            <w:pPr>
              <w:pStyle w:val="Compact"/>
              <w:jc w:val="left"/>
            </w:pPr>
            <w:r>
              <w:rPr>
                <w:bCs/>
                <w:b/>
              </w:rPr>
              <w:t xml:space="preserve">Global</w:t>
            </w:r>
          </w:p>
        </w:tc>
        <w:tc>
          <w:tcPr/>
          <w:p>
            <w:pPr>
              <w:pStyle w:val="Compact"/>
              <w:jc w:val="left"/>
            </w:pPr>
            <w:r>
              <w:t xml:space="preserve">The</w:t>
            </w:r>
            <w:r>
              <w:t xml:space="preserve"> </w:t>
            </w:r>
            <w:hyperlink r:id="rId37">
              <w:r>
                <w:rPr>
                  <w:rStyle w:val="Hyperlink"/>
                </w:rPr>
                <w:t xml:space="preserve">US Treasury doubled its liquidity-support buyback size</w:t>
              </w:r>
            </w:hyperlink>
            <w:r>
              <w:t xml:space="preserve"> </w:t>
            </w:r>
            <w:r>
              <w:t xml:space="preserve">for longer-dated debt to at least $4bn per operation (effective Sept 9–Nov 4), pulling yields off multi-decade highs and putting new pressure on Fed Chair Kevin Warsh's hawkish stance ahead of a possible 2026 hike.</w:t>
            </w:r>
          </w:p>
        </w:tc>
        <w:tc>
          <w:tcPr/>
          <w:p>
            <w:pPr>
              <w:pStyle w:val="Compact"/>
              <w:jc w:val="left"/>
            </w:pPr>
            <w:r>
              <w:t xml:space="preserve">Rates, Duration assets, USD, Gold, Equities</w:t>
            </w:r>
          </w:p>
        </w:tc>
        <w:tc>
          <w:tcPr/>
          <w:p>
            <w:pPr>
              <w:pStyle w:val="Compact"/>
              <w:jc w:val="left"/>
            </w:pPr>
            <w:r>
              <w:rPr>
                <w:bCs/>
                <w:b/>
              </w:rPr>
              <w:t xml:space="preserve">Wins:</w:t>
            </w:r>
            <w:r>
              <w:t xml:space="preserve"> </w:t>
            </w:r>
            <w:r>
              <w:t xml:space="preserve">long-duration equities and gold as yields ease; borrowers facing lower long-term financing costs.</w:t>
            </w:r>
            <w:r>
              <w:t xml:space="preserve"> </w:t>
            </w:r>
            <w:r>
              <w:rPr>
                <w:bCs/>
                <w:b/>
              </w:rPr>
              <w:t xml:space="preserve">Loses:</w:t>
            </w:r>
            <w:r>
              <w:t xml:space="preserve"> </w:t>
            </w:r>
            <w:r>
              <w:t xml:space="preserve">the Fed's independence narrative as Treasury action does its easing work for it, and the dollar if markets price a more accommodative overall stance despite Warsh's hawkish rhetoric.</w:t>
            </w:r>
          </w:p>
        </w:tc>
      </w:tr>
    </w:tbl>
    <w:bookmarkEnd w:id="38"/>
    <w:bookmarkStart w:id="39"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176,600</w:t>
      </w:r>
    </w:p>
    <w:p>
      <w:pPr>
        <w:pStyle w:val="BodyText"/>
      </w:pPr>
      <w:r>
        <w:t xml:space="preserve">just below Wednesday's intraday low of 176,638; deeper support at 175,500</w:t>
      </w:r>
    </w:p>
    <w:p>
      <w:pPr>
        <w:pStyle w:val="BodyText"/>
      </w:pPr>
      <w:r>
        <w:t xml:space="preserve">Pivot</w:t>
      </w:r>
      <w:r>
        <w:t xml:space="preserve"> </w:t>
      </w:r>
      <w:r>
        <w:t xml:space="preserve">EST.</w:t>
      </w:r>
    </w:p>
    <w:p>
      <w:pPr>
        <w:pStyle w:val="BodyText"/>
      </w:pPr>
      <w:r>
        <w:t xml:space="preserve">176,846</w:t>
      </w:r>
    </w:p>
    <w:p>
      <w:pPr>
        <w:pStyle w:val="BodyText"/>
      </w:pPr>
      <w:r>
        <w:t xml:space="preserve">Wednesday's close (176,846.36)</w:t>
      </w:r>
    </w:p>
    <w:p>
      <w:pPr>
        <w:pStyle w:val="BodyText"/>
      </w:pPr>
      <w:r>
        <w:t xml:space="preserve">Resistance</w:t>
      </w:r>
      <w:r>
        <w:t xml:space="preserve"> </w:t>
      </w:r>
      <w:r>
        <w:t xml:space="preserve">EST.</w:t>
      </w:r>
    </w:p>
    <w:p>
      <w:pPr>
        <w:pStyle w:val="BodyText"/>
      </w:pPr>
      <w:r>
        <w:t xml:space="preserve">178,942</w:t>
      </w:r>
    </w:p>
    <w:p>
      <w:pPr>
        <w:pStyle w:val="BodyText"/>
      </w:pPr>
      <w:r>
        <w:t xml:space="preserve">Wednesday's intraday high (178,942.31); then round-number resistance at 180,000</w:t>
      </w:r>
    </w:p>
    <w:p>
      <w:pPr>
        <w:pStyle w:val="BodyText"/>
      </w:pPr>
      <w:r>
        <w:t xml:space="preserve">We read Wednesday's reversal as sector-specific rather than a broad risk-off signal: the selloff was concentrated in refiners and banks on a single pricing headline, and it unwound a genuine intraday rally rather than extending prior weakness, while offshore the Treasury's bond-buyback move is easing the global yield backdrop that has weighed on risk assets all month. That argues for a</w:t>
      </w:r>
      <w:r>
        <w:t xml:space="preserve"> </w:t>
      </w:r>
      <w:r>
        <w:rPr>
          <w:bCs/>
          <w:b/>
        </w:rPr>
        <w:t xml:space="preserve">cautious-but-not-defensive stance</w:t>
      </w:r>
      <w:r>
        <w:t xml:space="preserve">, watching whether the 176,600–176,850 band holds; a clean break exposes the 175,500 shelf, while a recovery back above 178,900 would negate the near-term bearish signal. Confirmation of the diesel-price outcome and the September IMF mission timeline are the cleanest catalysts to rebuild confidence.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bcnews.com/Business/wireStory/major-us-stock-indexes-fared-wednesday-8192026-135786651" TargetMode="External" /><Relationship Type="http://schemas.openxmlformats.org/officeDocument/2006/relationships/hyperlink" Id="rId29" Target="https://gulfbusiness.com/en/2026/saudi-arabia/saudi-pif-unveils-2026-2030-strategy-focused-on-value-creation/" TargetMode="External" /><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4" Target="https://tradingeconomics.com/commodity/gold" TargetMode="External" /><Relationship Type="http://schemas.openxmlformats.org/officeDocument/2006/relationships/hyperlink" Id="rId20" Target="https://tribune.com.pk/story/2624827/psx-dips-1109-points-over-fuel-price-concerns" TargetMode="External" /><Relationship Type="http://schemas.openxmlformats.org/officeDocument/2006/relationships/hyperlink" Id="rId33" Target="https://vision2030.ai/analysis/opec-august-2026-output-increase/" TargetMode="External" /><Relationship Type="http://schemas.openxmlformats.org/officeDocument/2006/relationships/hyperlink" Id="rId27" Target="https://www.aljazeera.com/economy/2026/8/12/oil-prices-rise-as-attacks-dent-hopes-for-strait-of-hormuz-reopening"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21" Target="https://www.brecorder.com/news/40435530/psx-kse-100-settles-1100-points-lower-amid-late-selling" TargetMode="External" /><Relationship Type="http://schemas.openxmlformats.org/officeDocument/2006/relationships/hyperlink" Id="rId23" Target="https://www.cnbc.com/2026/08/19/bessent-treasury-buybacks-yields-warsh-fed.html" TargetMode="External" /><Relationship Type="http://schemas.openxmlformats.org/officeDocument/2006/relationships/hyperlink" Id="rId37" Target="https://www.cnbc.com/2026/08/19/treasury-announces-upscaled-buyback-operation-for-longer-term-debt-sending-yields-lower.html" TargetMode="External" /><Relationship Type="http://schemas.openxmlformats.org/officeDocument/2006/relationships/hyperlink" Id="rId25" Target="https://www.kitco.com/news/article/2026-08-18/gold-silver-slide-ai-selloff-hormuz-risk-lift-rate-concerns-kitco-pm-report" TargetMode="External" /><Relationship Type="http://schemas.openxmlformats.org/officeDocument/2006/relationships/hyperlink" Id="rId26" Target="https://www.vantagemarkets.com/market-analysis/crude-oil-price-today-brent-wti-august-19-2026/" TargetMode="External" /></Relationships>
</file>

<file path=word/_rels/footnotes.xml.rels><?xml version="1.0" encoding="UTF-8"?><Relationships xmlns="http://schemas.openxmlformats.org/package/2006/relationships"><Relationship Type="http://schemas.openxmlformats.org/officeDocument/2006/relationships/hyperlink" Id="rId22" Target="https://abcnews.com/Business/wireStory/major-us-stock-indexes-fared-wednesday-8192026-135786651" TargetMode="External" /><Relationship Type="http://schemas.openxmlformats.org/officeDocument/2006/relationships/hyperlink" Id="rId29" Target="https://gulfbusiness.com/en/2026/saudi-arabia/saudi-pif-unveils-2026-2030-strategy-focused-on-value-creation/" TargetMode="External" /><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4" Target="https://tradingeconomics.com/commodity/gold" TargetMode="External" /><Relationship Type="http://schemas.openxmlformats.org/officeDocument/2006/relationships/hyperlink" Id="rId20" Target="https://tribune.com.pk/story/2624827/psx-dips-1109-points-over-fuel-price-concerns" TargetMode="External" /><Relationship Type="http://schemas.openxmlformats.org/officeDocument/2006/relationships/hyperlink" Id="rId33" Target="https://vision2030.ai/analysis/opec-august-2026-output-increase/" TargetMode="External" /><Relationship Type="http://schemas.openxmlformats.org/officeDocument/2006/relationships/hyperlink" Id="rId27" Target="https://www.aljazeera.com/economy/2026/8/12/oil-prices-rise-as-attacks-dent-hopes-for-strait-of-hormuz-reopening"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21" Target="https://www.brecorder.com/news/40435530/psx-kse-100-settles-1100-points-lower-amid-late-selling" TargetMode="External" /><Relationship Type="http://schemas.openxmlformats.org/officeDocument/2006/relationships/hyperlink" Id="rId23" Target="https://www.cnbc.com/2026/08/19/bessent-treasury-buybacks-yields-warsh-fed.html" TargetMode="External" /><Relationship Type="http://schemas.openxmlformats.org/officeDocument/2006/relationships/hyperlink" Id="rId37" Target="https://www.cnbc.com/2026/08/19/treasury-announces-upscaled-buyback-operation-for-longer-term-debt-sending-yields-lower.html" TargetMode="External" /><Relationship Type="http://schemas.openxmlformats.org/officeDocument/2006/relationships/hyperlink" Id="rId25" Target="https://www.kitco.com/news/article/2026-08-18/gold-silver-slide-ai-selloff-hormuz-risk-lift-rate-concerns-kitco-pm-report" TargetMode="External" /><Relationship Type="http://schemas.openxmlformats.org/officeDocument/2006/relationships/hyperlink" Id="rId26" Target="https://www.vantagemarkets.com/market-analysis/crude-oil-price-today-brent-wti-august-19-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20 August 2026</dc:title>
  <dc:creator/>
  <dc:language>en</dc:language>
  <cp:keywords/>
  <dcterms:created xsi:type="dcterms:W3CDTF">2026-08-20T02:40:58Z</dcterms:created>
  <dcterms:modified xsi:type="dcterms:W3CDTF">2026-08-20T02:40:58Z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