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AAF" w:rsidRDefault="00A972EB" w:rsidP="00A972EB">
      <w:pPr>
        <w:pStyle w:val="Heading1"/>
      </w:pPr>
      <w:proofErr w:type="gramStart"/>
      <w:r>
        <w:t>California  Bay</w:t>
      </w:r>
      <w:proofErr w:type="gramEnd"/>
      <w:r>
        <w:t xml:space="preserve"> Area </w:t>
      </w:r>
      <w:proofErr w:type="spellStart"/>
      <w:r>
        <w:t>Zipcodes</w:t>
      </w:r>
      <w:proofErr w:type="spellEnd"/>
    </w:p>
    <w:p w:rsidR="00A972EB" w:rsidRDefault="00EC1229" w:rsidP="00D25981">
      <w:r>
        <w:t xml:space="preserve">There are gaps in the number sequence – a </w:t>
      </w:r>
      <w:proofErr w:type="spellStart"/>
      <w:r>
        <w:t>few</w:t>
      </w:r>
      <w:proofErr w:type="spellEnd"/>
      <w:r>
        <w:t xml:space="preserve"> spot checks showed that there are small (</w:t>
      </w:r>
      <w:proofErr w:type="spellStart"/>
      <w:r>
        <w:t>single</w:t>
      </w:r>
      <w:proofErr w:type="spellEnd"/>
      <w:r>
        <w:t xml:space="preserve"> residences or half city blocks) in the missing </w:t>
      </w:r>
      <w:proofErr w:type="spellStart"/>
      <w:r>
        <w:t>zipcodes</w:t>
      </w:r>
      <w:proofErr w:type="spellEnd"/>
      <w:r w:rsidR="00EC5261">
        <w:t xml:space="preserve">. For the bay area cities I </w:t>
      </w:r>
      <w:proofErr w:type="spellStart"/>
      <w:r w:rsidR="00EC5261">
        <w:t>completed</w:t>
      </w:r>
      <w:proofErr w:type="spellEnd"/>
      <w:r w:rsidR="00EC5261">
        <w:t xml:space="preserve"> the </w:t>
      </w:r>
      <w:proofErr w:type="spellStart"/>
      <w:r w:rsidR="00EC5261">
        <w:t>zipcode</w:t>
      </w:r>
      <w:proofErr w:type="spellEnd"/>
      <w:r w:rsidR="00EC5261">
        <w:t xml:space="preserve"> list so every case </w:t>
      </w:r>
      <w:proofErr w:type="spellStart"/>
      <w:r w:rsidR="00EC5261">
        <w:t>zipcode</w:t>
      </w:r>
      <w:proofErr w:type="spellEnd"/>
      <w:r w:rsidR="00EC5261">
        <w:t xml:space="preserve"> </w:t>
      </w:r>
      <w:r w:rsidR="008801E1">
        <w:t xml:space="preserve">is </w:t>
      </w:r>
      <w:r w:rsidR="00EC5261">
        <w:t>in the list.</w:t>
      </w:r>
    </w:p>
    <w:p w:rsidR="00532E0E" w:rsidRDefault="00532E0E" w:rsidP="00532E0E">
      <w:pPr>
        <w:pStyle w:val="Heading1"/>
      </w:pPr>
      <w:r>
        <w:t>Cases with no employees or assessed penalty</w:t>
      </w:r>
    </w:p>
    <w:p w:rsidR="00532E0E" w:rsidRPr="00532E0E" w:rsidRDefault="00532E0E" w:rsidP="00532E0E">
      <w:r>
        <w:t xml:space="preserve">30% of the San Jose Metro cases </w:t>
      </w:r>
      <w:proofErr w:type="gramStart"/>
      <w:r>
        <w:t>has</w:t>
      </w:r>
      <w:proofErr w:type="gramEnd"/>
      <w:r>
        <w:t xml:space="preserve"> no employees and no assessed penalties.  I am working on the assumption that these are complaints that resulted in a finding of No Violation found.</w:t>
      </w:r>
    </w:p>
    <w:p w:rsidR="0006480B" w:rsidRDefault="0006480B" w:rsidP="0006480B">
      <w:pPr>
        <w:pStyle w:val="Heading1"/>
      </w:pPr>
      <w:r>
        <w:t>NAICS cross with SOC</w:t>
      </w:r>
    </w:p>
    <w:p w:rsidR="00CB6D9C" w:rsidRDefault="00CB6D9C" w:rsidP="00D25981">
      <w:r>
        <w:t>Case drive on San Jose Metro Construction Industry (NAICS 23)</w:t>
      </w:r>
      <w:r w:rsidR="009964A7">
        <w:t xml:space="preserve"> due to my familiarity</w:t>
      </w:r>
    </w:p>
    <w:p w:rsidR="00861F7F" w:rsidRPr="00861F7F" w:rsidRDefault="00381E6B" w:rsidP="00861F7F">
      <w:r>
        <w:t xml:space="preserve">There are NAISCS cross with SOC on BLS site (cannot find excel file) </w:t>
      </w:r>
      <w:hyperlink r:id="rId7" w:history="1">
        <w:r w:rsidR="00861F7F" w:rsidRPr="00861F7F">
          <w:t>http://www.bls.gov/oes/current/naics5_238140.htm</w:t>
        </w:r>
      </w:hyperlink>
      <w:r w:rsidR="00861F7F">
        <w:t xml:space="preserve"> The </w:t>
      </w:r>
      <w:proofErr w:type="spellStart"/>
      <w:r w:rsidR="00DB754C">
        <w:t>NAISCxSOC</w:t>
      </w:r>
      <w:proofErr w:type="spellEnd"/>
      <w:r w:rsidR="00DB754C">
        <w:t xml:space="preserve"> </w:t>
      </w:r>
      <w:r w:rsidR="00861F7F">
        <w:t xml:space="preserve">example for </w:t>
      </w:r>
      <w:r w:rsidR="00DB754C">
        <w:t>“</w:t>
      </w:r>
      <w:r w:rsidR="00861F7F" w:rsidRPr="00861F7F">
        <w:t>NAICS 238140 - Masonry Contractors</w:t>
      </w:r>
      <w:r w:rsidR="00DB754C">
        <w:t>”</w:t>
      </w:r>
      <w:r w:rsidR="00861F7F">
        <w:t xml:space="preserve"> </w:t>
      </w:r>
      <w:r w:rsidR="00DB754C">
        <w:t>needs improvement</w:t>
      </w:r>
      <w:r w:rsidR="00861F7F">
        <w:t>.</w:t>
      </w:r>
    </w:p>
    <w:p w:rsidR="0006480B" w:rsidRDefault="009964A7" w:rsidP="00D25981">
      <w:r>
        <w:t>Thirteen</w:t>
      </w:r>
      <w:r w:rsidR="00BD7CE0">
        <w:t xml:space="preserve"> </w:t>
      </w:r>
      <w:r>
        <w:t xml:space="preserve">(of 42codes) </w:t>
      </w:r>
      <w:r w:rsidR="00BD7CE0">
        <w:t>NAISC codes map to multiple SOC codes</w:t>
      </w:r>
      <w:r>
        <w:t xml:space="preserve"> – but in practice </w:t>
      </w:r>
      <w:r w:rsidR="00BD7CE0">
        <w:t xml:space="preserve"> </w:t>
      </w:r>
      <w:r>
        <w:t>the</w:t>
      </w:r>
      <w:r w:rsidR="00BD7CE0">
        <w:t xml:space="preserve"> DOL </w:t>
      </w:r>
      <w:r>
        <w:t>uses these thirteen codes for</w:t>
      </w:r>
      <w:r w:rsidR="00F44747">
        <w:t xml:space="preserve"> 55% off </w:t>
      </w:r>
      <w:proofErr w:type="spellStart"/>
      <w:r w:rsidR="00F44747">
        <w:t>all</w:t>
      </w:r>
      <w:proofErr w:type="spellEnd"/>
      <w:r w:rsidR="00F44747">
        <w:t xml:space="preserve"> cases; see next section on ‘other’</w:t>
      </w:r>
      <w:r w:rsidR="00D25981">
        <w:t xml:space="preserve"> </w:t>
      </w:r>
      <w:r w:rsidR="00F44747">
        <w:t>codes</w:t>
      </w:r>
    </w:p>
    <w:p w:rsidR="00F44747" w:rsidRPr="00D25981" w:rsidRDefault="002A7EA0" w:rsidP="00D25981">
      <w:pPr>
        <w:pStyle w:val="ListParagraph"/>
        <w:numPr>
          <w:ilvl w:val="0"/>
          <w:numId w:val="5"/>
        </w:numPr>
      </w:pPr>
      <w:r w:rsidRPr="00D25981">
        <w:t xml:space="preserve">236000 Residential and Commercial Building, </w:t>
      </w:r>
      <w:r w:rsidR="00F44747" w:rsidRPr="00D25981">
        <w:t>(</w:t>
      </w:r>
      <w:r w:rsidR="009964A7">
        <w:t>maps to 45 crafts)</w:t>
      </w:r>
    </w:p>
    <w:p w:rsidR="002A7EA0" w:rsidRPr="00D25981" w:rsidRDefault="002A7EA0" w:rsidP="00D25981">
      <w:pPr>
        <w:pStyle w:val="ListParagraph"/>
        <w:numPr>
          <w:ilvl w:val="0"/>
          <w:numId w:val="5"/>
        </w:numPr>
      </w:pPr>
      <w:r w:rsidRPr="00D25981">
        <w:t>237200</w:t>
      </w:r>
      <w:r w:rsidR="00F44747" w:rsidRPr="00D25981">
        <w:t xml:space="preserve"> </w:t>
      </w:r>
      <w:proofErr w:type="spellStart"/>
      <w:r w:rsidR="00F44747" w:rsidRPr="00D25981">
        <w:t>Heavy:Land</w:t>
      </w:r>
      <w:proofErr w:type="spellEnd"/>
      <w:r w:rsidR="00F44747" w:rsidRPr="00D25981">
        <w:t xml:space="preserve"> Subdivision</w:t>
      </w:r>
      <w:r w:rsidR="009964A7">
        <w:t xml:space="preserve"> (only 3 cases, 0% of total)</w:t>
      </w:r>
    </w:p>
    <w:p w:rsidR="00F44747" w:rsidRPr="00D25981" w:rsidRDefault="00F44747" w:rsidP="00D25981">
      <w:pPr>
        <w:pStyle w:val="ListParagraph"/>
        <w:numPr>
          <w:ilvl w:val="0"/>
          <w:numId w:val="5"/>
        </w:numPr>
      </w:pPr>
      <w:r w:rsidRPr="00D25981">
        <w:t xml:space="preserve">237300 </w:t>
      </w:r>
      <w:proofErr w:type="spellStart"/>
      <w:r w:rsidRPr="00D25981">
        <w:t>Heavy:Highway</w:t>
      </w:r>
      <w:proofErr w:type="spellEnd"/>
      <w:r w:rsidRPr="00D25981">
        <w:t>, Street, and Bridge</w:t>
      </w:r>
      <w:r w:rsidR="009964A7">
        <w:t xml:space="preserve"> (maps to crafts: Laborers, Carpenters, Operators, Masons, Teamsters</w:t>
      </w:r>
      <w:r w:rsidR="00027E21">
        <w:t>, Ironworkers</w:t>
      </w:r>
      <w:r w:rsidR="009964A7">
        <w:t>)</w:t>
      </w:r>
    </w:p>
    <w:p w:rsidR="009964A7" w:rsidRDefault="009964A7" w:rsidP="00D25981">
      <w:pPr>
        <w:pStyle w:val="ListParagraph"/>
        <w:numPr>
          <w:ilvl w:val="0"/>
          <w:numId w:val="5"/>
        </w:numPr>
      </w:pPr>
      <w:r>
        <w:t>Other</w:t>
      </w:r>
    </w:p>
    <w:p w:rsidR="00F44747" w:rsidRPr="00D25981" w:rsidRDefault="00F44747" w:rsidP="009964A7">
      <w:pPr>
        <w:pStyle w:val="ListParagraph"/>
        <w:numPr>
          <w:ilvl w:val="1"/>
          <w:numId w:val="5"/>
        </w:numPr>
      </w:pPr>
      <w:r w:rsidRPr="00D25981">
        <w:t xml:space="preserve">237900 </w:t>
      </w:r>
      <w:proofErr w:type="spellStart"/>
      <w:r w:rsidRPr="00D25981">
        <w:t>Heavy:Other</w:t>
      </w:r>
      <w:proofErr w:type="spellEnd"/>
      <w:r w:rsidRPr="00D25981">
        <w:t xml:space="preserve"> (see other codes)</w:t>
      </w:r>
    </w:p>
    <w:p w:rsidR="00F44747" w:rsidRPr="00D25981" w:rsidRDefault="00F44747" w:rsidP="009964A7">
      <w:pPr>
        <w:pStyle w:val="ListParagraph"/>
        <w:numPr>
          <w:ilvl w:val="1"/>
          <w:numId w:val="5"/>
        </w:numPr>
      </w:pPr>
      <w:r w:rsidRPr="00D25981">
        <w:t xml:space="preserve">238190 </w:t>
      </w:r>
      <w:proofErr w:type="spellStart"/>
      <w:r w:rsidRPr="00D25981">
        <w:t>Specialty:Other</w:t>
      </w:r>
      <w:proofErr w:type="spellEnd"/>
      <w:r w:rsidRPr="00D25981">
        <w:t xml:space="preserve"> Foundation, Structure, and Building Exterior (see other codes)</w:t>
      </w:r>
    </w:p>
    <w:p w:rsidR="00F44747" w:rsidRPr="00D25981" w:rsidRDefault="00F44747" w:rsidP="009964A7">
      <w:pPr>
        <w:pStyle w:val="ListParagraph"/>
        <w:numPr>
          <w:ilvl w:val="1"/>
          <w:numId w:val="5"/>
        </w:numPr>
      </w:pPr>
      <w:r w:rsidRPr="00D25981">
        <w:t xml:space="preserve">238290 </w:t>
      </w:r>
      <w:proofErr w:type="spellStart"/>
      <w:r w:rsidRPr="00D25981">
        <w:t>Specialty:Other</w:t>
      </w:r>
      <w:proofErr w:type="spellEnd"/>
      <w:r w:rsidRPr="00D25981">
        <w:t xml:space="preserve"> Building Equipment (see other codes)</w:t>
      </w:r>
    </w:p>
    <w:p w:rsidR="00F44747" w:rsidRPr="00D25981" w:rsidRDefault="00F44747" w:rsidP="009964A7">
      <w:pPr>
        <w:pStyle w:val="ListParagraph"/>
        <w:numPr>
          <w:ilvl w:val="1"/>
          <w:numId w:val="5"/>
        </w:numPr>
      </w:pPr>
      <w:r w:rsidRPr="00D25981">
        <w:t xml:space="preserve">238390 </w:t>
      </w:r>
      <w:proofErr w:type="spellStart"/>
      <w:r w:rsidRPr="00D25981">
        <w:t>Specialty:Other</w:t>
      </w:r>
      <w:proofErr w:type="spellEnd"/>
      <w:r w:rsidRPr="00D25981">
        <w:t xml:space="preserve"> Building Finishing (see other codes)</w:t>
      </w:r>
    </w:p>
    <w:p w:rsidR="00F44747" w:rsidRPr="00D25981" w:rsidRDefault="00F44747" w:rsidP="009964A7">
      <w:pPr>
        <w:pStyle w:val="ListParagraph"/>
        <w:numPr>
          <w:ilvl w:val="1"/>
          <w:numId w:val="5"/>
        </w:numPr>
      </w:pPr>
      <w:r w:rsidRPr="00D25981">
        <w:t xml:space="preserve">238990 </w:t>
      </w:r>
      <w:proofErr w:type="spellStart"/>
      <w:r w:rsidRPr="00D25981">
        <w:t>Specialty:Other</w:t>
      </w:r>
      <w:proofErr w:type="spellEnd"/>
      <w:r w:rsidRPr="00D25981">
        <w:t xml:space="preserve"> Specialty Trade (see other codes)</w:t>
      </w:r>
    </w:p>
    <w:p w:rsidR="00AC2549" w:rsidRDefault="0036658A" w:rsidP="00D25981">
      <w:r>
        <w:t xml:space="preserve">53% of codes placed in an ‘other’ category and </w:t>
      </w:r>
      <w:r w:rsidR="00F536CD">
        <w:t xml:space="preserve">based on a sample audit of San Jose Metro </w:t>
      </w:r>
      <w:r w:rsidR="00AC2549">
        <w:t>75% of ‘other’ codes are ‘code dumping’</w:t>
      </w:r>
    </w:p>
    <w:p w:rsidR="007E619C" w:rsidRPr="00D25981" w:rsidRDefault="00BD7CE0" w:rsidP="00D25981">
      <w:pPr>
        <w:pStyle w:val="ListParagraph"/>
        <w:numPr>
          <w:ilvl w:val="0"/>
          <w:numId w:val="6"/>
        </w:numPr>
      </w:pPr>
      <w:r w:rsidRPr="00D25981">
        <w:t xml:space="preserve">238190 NAICS: </w:t>
      </w:r>
      <w:proofErr w:type="spellStart"/>
      <w:r w:rsidRPr="00D25981">
        <w:t>Specialty:Other</w:t>
      </w:r>
      <w:proofErr w:type="spellEnd"/>
      <w:r w:rsidRPr="00D25981">
        <w:t xml:space="preserve"> Foundation, Structure, and Building Exterior</w:t>
      </w:r>
    </w:p>
    <w:p w:rsidR="00BD7CE0" w:rsidRPr="00D25981" w:rsidRDefault="00BD7CE0" w:rsidP="00D25981">
      <w:pPr>
        <w:pStyle w:val="ListParagraph"/>
        <w:numPr>
          <w:ilvl w:val="1"/>
          <w:numId w:val="6"/>
        </w:numPr>
      </w:pPr>
      <w:r w:rsidRPr="00D25981">
        <w:t>San Benito Heating and Sheet Metal, Inc.</w:t>
      </w:r>
      <w:r w:rsidR="007E619C" w:rsidRPr="00D25981">
        <w:t xml:space="preserve"> </w:t>
      </w:r>
      <w:r w:rsidR="007E619C" w:rsidRPr="00D25981">
        <w:sym w:font="Wingdings" w:char="F0E0"/>
      </w:r>
      <w:r w:rsidR="007E619C" w:rsidRPr="00D25981">
        <w:t>miscode (238220:MEP)</w:t>
      </w:r>
    </w:p>
    <w:p w:rsidR="00BD7CE0" w:rsidRPr="00D25981" w:rsidRDefault="00BD7CE0" w:rsidP="00D25981">
      <w:pPr>
        <w:pStyle w:val="ListParagraph"/>
        <w:numPr>
          <w:ilvl w:val="1"/>
          <w:numId w:val="6"/>
        </w:numPr>
      </w:pPr>
      <w:r w:rsidRPr="00D25981">
        <w:t>D.H. Smith Company, Inc. (drywall)</w:t>
      </w:r>
      <w:r w:rsidR="007E619C" w:rsidRPr="00D25981">
        <w:t xml:space="preserve"> </w:t>
      </w:r>
      <w:r w:rsidR="007E619C" w:rsidRPr="00D25981">
        <w:sym w:font="Wingdings" w:char="F0E0"/>
      </w:r>
      <w:r w:rsidR="007E619C" w:rsidRPr="00D25981">
        <w:t>miscode (238310:drywall)</w:t>
      </w:r>
    </w:p>
    <w:p w:rsidR="007E619C" w:rsidRPr="00D25981" w:rsidRDefault="00BD7CE0" w:rsidP="00D25981">
      <w:pPr>
        <w:pStyle w:val="ListParagraph"/>
        <w:numPr>
          <w:ilvl w:val="1"/>
          <w:numId w:val="6"/>
        </w:numPr>
      </w:pPr>
      <w:r w:rsidRPr="00D25981">
        <w:t>Vickers Concrete Sawing, Inc.</w:t>
      </w:r>
      <w:r w:rsidR="007E619C" w:rsidRPr="00D25981">
        <w:t xml:space="preserve"> </w:t>
      </w:r>
      <w:r w:rsidR="007E619C" w:rsidRPr="00D25981">
        <w:sym w:font="Wingdings" w:char="F0E0"/>
      </w:r>
      <w:r w:rsidR="007E619C" w:rsidRPr="00D25981">
        <w:t xml:space="preserve"> correct code</w:t>
      </w:r>
    </w:p>
    <w:p w:rsidR="00827644" w:rsidRPr="00D25981" w:rsidRDefault="00BD7CE0" w:rsidP="00D25981">
      <w:pPr>
        <w:pStyle w:val="ListParagraph"/>
        <w:numPr>
          <w:ilvl w:val="1"/>
          <w:numId w:val="6"/>
        </w:numPr>
      </w:pPr>
      <w:r w:rsidRPr="00D25981">
        <w:t>Jensen Landscaping</w:t>
      </w:r>
      <w:r w:rsidR="007E619C" w:rsidRPr="00D25981">
        <w:t xml:space="preserve"> </w:t>
      </w:r>
      <w:r w:rsidR="007E619C" w:rsidRPr="00D25981">
        <w:sym w:font="Wingdings" w:char="F0E0"/>
      </w:r>
      <w:r w:rsidR="007E619C" w:rsidRPr="00D25981">
        <w:t xml:space="preserve"> miscode(561730:landscaping)</w:t>
      </w:r>
    </w:p>
    <w:p w:rsidR="00827644" w:rsidRPr="00D25981" w:rsidRDefault="00827644" w:rsidP="00D25981">
      <w:pPr>
        <w:pStyle w:val="ListParagraph"/>
        <w:numPr>
          <w:ilvl w:val="0"/>
          <w:numId w:val="6"/>
        </w:numPr>
      </w:pPr>
      <w:r w:rsidRPr="00D25981">
        <w:t xml:space="preserve">238900 NAICS: </w:t>
      </w:r>
      <w:proofErr w:type="spellStart"/>
      <w:r w:rsidRPr="00D25981">
        <w:t>Specialty:Other</w:t>
      </w:r>
      <w:proofErr w:type="spellEnd"/>
      <w:r w:rsidRPr="00D25981">
        <w:t xml:space="preserve"> Specialty Trade</w:t>
      </w:r>
    </w:p>
    <w:p w:rsidR="00827644" w:rsidRPr="00D25981" w:rsidRDefault="00827644" w:rsidP="00D25981">
      <w:pPr>
        <w:pStyle w:val="ListParagraph"/>
        <w:numPr>
          <w:ilvl w:val="1"/>
          <w:numId w:val="6"/>
        </w:numPr>
      </w:pPr>
      <w:r w:rsidRPr="00D25981">
        <w:t>11 cases in various sub codes</w:t>
      </w:r>
    </w:p>
    <w:p w:rsidR="00827644" w:rsidRPr="00D25981" w:rsidRDefault="00827644" w:rsidP="00D25981">
      <w:pPr>
        <w:pStyle w:val="ListParagraph"/>
        <w:numPr>
          <w:ilvl w:val="1"/>
          <w:numId w:val="6"/>
        </w:numPr>
      </w:pPr>
      <w:r w:rsidRPr="00D25981">
        <w:lastRenderedPageBreak/>
        <w:t>Looks like dumping</w:t>
      </w:r>
    </w:p>
    <w:p w:rsidR="005830BD" w:rsidRPr="00D25981" w:rsidRDefault="005830BD" w:rsidP="00D25981">
      <w:pPr>
        <w:pStyle w:val="ListParagraph"/>
        <w:numPr>
          <w:ilvl w:val="0"/>
          <w:numId w:val="6"/>
        </w:numPr>
      </w:pPr>
      <w:r w:rsidRPr="00D25981">
        <w:t>Suspect that “Building: Residential</w:t>
      </w:r>
      <w:r w:rsidR="005C5A0A">
        <w:t xml:space="preserve"> &amp; Commercial</w:t>
      </w:r>
      <w:r w:rsidRPr="00D25981">
        <w:t xml:space="preserve">” is used like an ‘other’ category </w:t>
      </w:r>
    </w:p>
    <w:p w:rsidR="000725E1" w:rsidRDefault="000725E1" w:rsidP="00D25981">
      <w:r>
        <w:rPr>
          <w:rFonts w:ascii="Calibri" w:eastAsia="Times New Roman" w:hAnsi="Calibri" w:cs="Times New Roman"/>
          <w:color w:val="000000"/>
          <w:sz w:val="20"/>
          <w:szCs w:val="20"/>
        </w:rPr>
        <w:t xml:space="preserve">Conclusion: </w:t>
      </w:r>
      <w:r w:rsidR="0036658A">
        <w:t>40</w:t>
      </w:r>
      <w:r>
        <w:t xml:space="preserve">% of </w:t>
      </w:r>
      <w:r w:rsidR="00AA1E63">
        <w:t>construction activities</w:t>
      </w:r>
      <w:r>
        <w:t xml:space="preserve"> are ‘dumped’</w:t>
      </w:r>
      <w:r w:rsidR="00AA1E63">
        <w:t xml:space="preserve"> into ‘other’</w:t>
      </w:r>
      <w:r w:rsidR="0036658A">
        <w:t xml:space="preserve"> and are of no clear trade</w:t>
      </w:r>
    </w:p>
    <w:p w:rsidR="009D4578" w:rsidRDefault="00265ED3" w:rsidP="00D25981">
      <w:r>
        <w:t xml:space="preserve">Looking at the </w:t>
      </w:r>
      <w:r w:rsidR="002A7EA0">
        <w:t>entire</w:t>
      </w:r>
      <w:r>
        <w:t xml:space="preserve"> state of California 55% of </w:t>
      </w:r>
      <w:r w:rsidR="005C5A0A">
        <w:t>cases</w:t>
      </w:r>
      <w:r>
        <w:t xml:space="preserve"> in an ‘other’ category</w:t>
      </w:r>
      <w:r w:rsidR="005C5A0A">
        <w:t>,</w:t>
      </w:r>
      <w:r>
        <w:t xml:space="preserve"> therefore this pattern looks to hold true </w:t>
      </w:r>
      <w:proofErr w:type="spellStart"/>
      <w:r>
        <w:t>generally</w:t>
      </w:r>
      <w:proofErr w:type="spellEnd"/>
      <w:r w:rsidR="005C5A0A">
        <w:t xml:space="preserve"> from what I saw in the San Jose Metro</w:t>
      </w:r>
    </w:p>
    <w:p w:rsidR="00D25981" w:rsidRDefault="00D25981" w:rsidP="00D25981">
      <w:r>
        <w:t xml:space="preserve">My intuition is the ‘other’ code categories are capturing workers that have no defined trade and are </w:t>
      </w:r>
      <w:proofErr w:type="spellStart"/>
      <w:r>
        <w:t>multicraft</w:t>
      </w:r>
      <w:proofErr w:type="spellEnd"/>
      <w:r>
        <w:t xml:space="preserve">. They may be carpenters one day, plumbers the next, and then work as electricians. This role is </w:t>
      </w:r>
      <w:proofErr w:type="spellStart"/>
      <w:r>
        <w:t>tyical</w:t>
      </w:r>
      <w:proofErr w:type="spellEnd"/>
      <w:r>
        <w:t xml:space="preserve"> of non-union workers and makes categorizing the worker difficult. </w:t>
      </w:r>
      <w:proofErr w:type="spellStart"/>
      <w:r>
        <w:t>Some</w:t>
      </w:r>
      <w:proofErr w:type="spellEnd"/>
      <w:r>
        <w:t xml:space="preserve"> </w:t>
      </w:r>
      <w:r w:rsidR="005C5A0A">
        <w:t>specialty</w:t>
      </w:r>
      <w:r>
        <w:t xml:space="preserve"> trades will have a defined type of work they </w:t>
      </w:r>
      <w:proofErr w:type="spellStart"/>
      <w:r>
        <w:t>typically</w:t>
      </w:r>
      <w:proofErr w:type="spellEnd"/>
      <w:r>
        <w:t xml:space="preserve"> bid and </w:t>
      </w:r>
      <w:proofErr w:type="gramStart"/>
      <w:r>
        <w:t xml:space="preserve">these </w:t>
      </w:r>
      <w:proofErr w:type="spellStart"/>
      <w:r>
        <w:t>most</w:t>
      </w:r>
      <w:proofErr w:type="spellEnd"/>
      <w:r>
        <w:t xml:space="preserve"> likely account</w:t>
      </w:r>
      <w:proofErr w:type="gramEnd"/>
      <w:r>
        <w:t xml:space="preserve"> for the other 45% of workers. </w:t>
      </w:r>
    </w:p>
    <w:p w:rsidR="00F63979" w:rsidRPr="00F63979" w:rsidRDefault="00F63979" w:rsidP="00F63979">
      <w:r>
        <w:rPr>
          <w:rStyle w:val="messagebody"/>
        </w:rPr>
        <w:t>B</w:t>
      </w:r>
      <w:r w:rsidRPr="00F63979">
        <w:rPr>
          <w:rStyle w:val="messagebody"/>
        </w:rPr>
        <w:t xml:space="preserve">ad guys are just bad guys at this point: 0s </w:t>
      </w:r>
      <w:proofErr w:type="spellStart"/>
      <w:r w:rsidRPr="00F63979">
        <w:rPr>
          <w:rStyle w:val="messagebody"/>
        </w:rPr>
        <w:t>all</w:t>
      </w:r>
      <w:proofErr w:type="spellEnd"/>
      <w:r w:rsidRPr="00F63979">
        <w:rPr>
          <w:rStyle w:val="messagebody"/>
        </w:rPr>
        <w:t xml:space="preserve"> across the board will be compliance cases, no violations and </w:t>
      </w:r>
      <w:proofErr w:type="gramStart"/>
      <w:r w:rsidRPr="00F63979">
        <w:rPr>
          <w:rStyle w:val="messagebody"/>
        </w:rPr>
        <w:t>Could</w:t>
      </w:r>
      <w:proofErr w:type="gramEnd"/>
      <w:r w:rsidRPr="00F63979">
        <w:rPr>
          <w:rStyle w:val="messagebody"/>
        </w:rPr>
        <w:t xml:space="preserve"> be </w:t>
      </w:r>
      <w:proofErr w:type="spellStart"/>
      <w:r w:rsidRPr="00F63979">
        <w:rPr>
          <w:rStyle w:val="messagebody"/>
        </w:rPr>
        <w:t>any</w:t>
      </w:r>
      <w:proofErr w:type="spellEnd"/>
      <w:r w:rsidRPr="00F63979">
        <w:rPr>
          <w:rStyle w:val="messagebody"/>
        </w:rPr>
        <w:t xml:space="preserve"> Act though, family leave, H-1B, etc.</w:t>
      </w:r>
      <w:r>
        <w:rPr>
          <w:rStyle w:val="messagebody"/>
        </w:rPr>
        <w:t xml:space="preserve"> </w:t>
      </w:r>
      <w:r w:rsidRPr="00F63979">
        <w:rPr>
          <w:rStyle w:val="messagebody"/>
        </w:rPr>
        <w:t xml:space="preserve">I was just looking at a ballpark if there was four or twelve - I started with construction because I know the industry </w:t>
      </w:r>
      <w:proofErr w:type="spellStart"/>
      <w:r w:rsidRPr="00F63979">
        <w:rPr>
          <w:rStyle w:val="messagebody"/>
        </w:rPr>
        <w:t>well</w:t>
      </w:r>
      <w:proofErr w:type="spellEnd"/>
      <w:r w:rsidRPr="00F63979">
        <w:rPr>
          <w:rStyle w:val="messagebody"/>
        </w:rPr>
        <w:t xml:space="preserve"> enough that I can tell if the charts don't make sense</w:t>
      </w:r>
      <w:r w:rsidRPr="00F63979">
        <w:t xml:space="preserve">. </w:t>
      </w:r>
      <w:r w:rsidRPr="00F63979">
        <w:rPr>
          <w:rStyle w:val="messagebody"/>
        </w:rPr>
        <w:t xml:space="preserve">Once I get the process down then I can replicate for </w:t>
      </w:r>
      <w:proofErr w:type="spellStart"/>
      <w:r w:rsidRPr="00F63979">
        <w:rPr>
          <w:rStyle w:val="messagebody"/>
        </w:rPr>
        <w:t>all</w:t>
      </w:r>
      <w:proofErr w:type="spellEnd"/>
      <w:r w:rsidRPr="00F63979">
        <w:rPr>
          <w:rStyle w:val="messagebody"/>
        </w:rPr>
        <w:t xml:space="preserve"> the other industries and assume it worked for construction then the results should be valid for the others</w:t>
      </w:r>
      <w:r w:rsidRPr="00F63979">
        <w:t xml:space="preserve">. </w:t>
      </w:r>
      <w:r w:rsidRPr="00F63979">
        <w:rPr>
          <w:rStyle w:val="messagebody"/>
        </w:rPr>
        <w:t xml:space="preserve">I think the main takeaway is there is a huge 'other' category to be looking for when </w:t>
      </w:r>
      <w:proofErr w:type="spellStart"/>
      <w:r w:rsidRPr="00F63979">
        <w:rPr>
          <w:rStyle w:val="messagebody"/>
        </w:rPr>
        <w:t>we</w:t>
      </w:r>
      <w:proofErr w:type="spellEnd"/>
      <w:r w:rsidRPr="00F63979">
        <w:rPr>
          <w:rStyle w:val="messagebody"/>
        </w:rPr>
        <w:t xml:space="preserve"> move over to care homes or restaurants</w:t>
      </w:r>
      <w:r>
        <w:t xml:space="preserve">. </w:t>
      </w:r>
      <w:r>
        <w:rPr>
          <w:rStyle w:val="messagebody"/>
        </w:rPr>
        <w:t>Z</w:t>
      </w:r>
      <w:r w:rsidRPr="00F63979">
        <w:rPr>
          <w:rStyle w:val="messagebody"/>
        </w:rPr>
        <w:t>eroing on the workers that transit between occupations as a part of their occupation is a class of worker in itself</w:t>
      </w:r>
      <w:r>
        <w:rPr>
          <w:rStyle w:val="messagebody"/>
        </w:rPr>
        <w:t>.</w:t>
      </w:r>
    </w:p>
    <w:p w:rsidR="00D25981" w:rsidRDefault="00D25981" w:rsidP="00D25981">
      <w:bookmarkStart w:id="0" w:name="_GoBack"/>
      <w:bookmarkEnd w:id="0"/>
      <w:r>
        <w:t xml:space="preserve">To validate this intuition I suggest interviewing a sample of violators and ask </w:t>
      </w:r>
      <w:proofErr w:type="spellStart"/>
      <w:r>
        <w:t>about</w:t>
      </w:r>
      <w:proofErr w:type="spellEnd"/>
      <w:r>
        <w:t xml:space="preserve"> t</w:t>
      </w:r>
      <w:r w:rsidR="005C5A0A">
        <w:t>he workers craft category.</w:t>
      </w:r>
    </w:p>
    <w:p w:rsidR="005C5A0A" w:rsidRDefault="005C5A0A" w:rsidP="00D25981"/>
    <w:p w:rsidR="002A7EA0" w:rsidRDefault="009D4578" w:rsidP="002A7EA0">
      <w:pPr>
        <w:keepNext/>
        <w:spacing w:after="0" w:line="240" w:lineRule="auto"/>
      </w:pPr>
      <w:r>
        <w:rPr>
          <w:noProof/>
        </w:rPr>
        <w:lastRenderedPageBreak/>
        <w:drawing>
          <wp:inline distT="0" distB="0" distL="0" distR="0" wp14:anchorId="60F420D6" wp14:editId="109C8AFC">
            <wp:extent cx="5948979" cy="4604273"/>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D4578" w:rsidRDefault="002A7EA0" w:rsidP="002A7EA0">
      <w:pPr>
        <w:pStyle w:val="Caption"/>
      </w:pPr>
      <w:r>
        <w:t xml:space="preserve">Figure </w:t>
      </w:r>
      <w:r w:rsidR="00F63979">
        <w:fldChar w:fldCharType="begin"/>
      </w:r>
      <w:r w:rsidR="00F63979">
        <w:instrText xml:space="preserve"> SEQ Figure \* ARABIC </w:instrText>
      </w:r>
      <w:r w:rsidR="00F63979">
        <w:fldChar w:fldCharType="separate"/>
      </w:r>
      <w:r>
        <w:rPr>
          <w:noProof/>
        </w:rPr>
        <w:t>1</w:t>
      </w:r>
      <w:r w:rsidR="00F63979">
        <w:rPr>
          <w:noProof/>
        </w:rPr>
        <w:fldChar w:fldCharType="end"/>
      </w:r>
      <w:r>
        <w:t xml:space="preserve"> The ratio of violations by work type generalizes and scales from the San Jose metropolitan region to the entire state</w:t>
      </w:r>
    </w:p>
    <w:p w:rsidR="002A7EA0" w:rsidRDefault="002A7EA0" w:rsidP="008736E8"/>
    <w:p w:rsidR="008736E8" w:rsidRPr="00F63979" w:rsidRDefault="008736E8" w:rsidP="00F63979">
      <w:r w:rsidRPr="008736E8">
        <w:t xml:space="preserve">Using construction as a case study: I could map 40% of the DOL cases from NAICS to SOC format, the other 60% map from 1 NAICS code </w:t>
      </w:r>
      <w:proofErr w:type="gramStart"/>
      <w:r w:rsidRPr="008736E8">
        <w:t>to</w:t>
      </w:r>
      <w:proofErr w:type="gramEnd"/>
      <w:r w:rsidRPr="008736E8">
        <w:t xml:space="preserve"> </w:t>
      </w:r>
      <w:proofErr w:type="spellStart"/>
      <w:r w:rsidRPr="008736E8">
        <w:t>many</w:t>
      </w:r>
      <w:proofErr w:type="spellEnd"/>
      <w:r w:rsidRPr="008736E8">
        <w:t xml:space="preserve"> undefinable SOC codes.  For example, </w:t>
      </w:r>
      <w:proofErr w:type="spellStart"/>
      <w:r w:rsidRPr="008736E8">
        <w:t>NAICS</w:t>
      </w:r>
      <w:proofErr w:type="gramStart"/>
      <w:r w:rsidRPr="008736E8">
        <w:t>:Residential</w:t>
      </w:r>
      <w:proofErr w:type="gramEnd"/>
      <w:r w:rsidRPr="008736E8">
        <w:t>_Construction</w:t>
      </w:r>
      <w:proofErr w:type="spellEnd"/>
      <w:r w:rsidRPr="008736E8">
        <w:t xml:space="preserve"> maps to 45 SOC codes such as electrician, roofer, framer, mason, etc.  30% of the DOL dataset is essentially coded as 'Residenti</w:t>
      </w:r>
      <w:r w:rsidR="003C7554">
        <w:t xml:space="preserve">al &amp; Commercial Construction. In the </w:t>
      </w:r>
      <w:proofErr w:type="spellStart"/>
      <w:r w:rsidR="003C7554">
        <w:t>best</w:t>
      </w:r>
      <w:proofErr w:type="spellEnd"/>
      <w:r w:rsidR="003C7554">
        <w:t xml:space="preserve"> case </w:t>
      </w:r>
      <w:r w:rsidR="003C7554" w:rsidRPr="00F63979">
        <w:t>both codes should be used by the DOL so they have a code looking like</w:t>
      </w:r>
      <w:r w:rsidR="00DB6F37" w:rsidRPr="00F63979">
        <w:t xml:space="preserve"> 23.</w:t>
      </w:r>
      <w:r w:rsidR="007B0A0E" w:rsidRPr="00F63979">
        <w:t>6117</w:t>
      </w:r>
      <w:r w:rsidR="00DB6F37" w:rsidRPr="00F63979">
        <w:t xml:space="preserve">-47.4031 for </w:t>
      </w:r>
      <w:proofErr w:type="spellStart"/>
      <w:r w:rsidR="00DB6F37" w:rsidRPr="00F63979">
        <w:t>Building</w:t>
      </w:r>
      <w:proofErr w:type="gramStart"/>
      <w:r w:rsidR="00DB6F37" w:rsidRPr="00F63979">
        <w:t>:New</w:t>
      </w:r>
      <w:proofErr w:type="spellEnd"/>
      <w:proofErr w:type="gramEnd"/>
      <w:r w:rsidR="00DB6F37" w:rsidRPr="00F63979">
        <w:t xml:space="preserve"> Housing Fence Erectors. You could find these workers by visiting a new housing </w:t>
      </w:r>
      <w:r w:rsidR="007B0A0E" w:rsidRPr="00F63979">
        <w:t xml:space="preserve">subdivision </w:t>
      </w:r>
      <w:r w:rsidR="00DB6F37" w:rsidRPr="00F63979">
        <w:t>development and look for the guys building the fences.</w:t>
      </w:r>
      <w:r w:rsidR="007B0A0E" w:rsidRPr="00F63979">
        <w:t xml:space="preserve"> There is a </w:t>
      </w:r>
      <w:proofErr w:type="spellStart"/>
      <w:r w:rsidR="007B0A0E" w:rsidRPr="00F63979">
        <w:t>good</w:t>
      </w:r>
      <w:proofErr w:type="spellEnd"/>
      <w:r w:rsidR="007B0A0E" w:rsidRPr="00F63979">
        <w:t xml:space="preserve"> chance these guys are paid in cash, are not paid overtime, and are not having contributions made to their benefits.</w:t>
      </w:r>
      <w:r w:rsidR="0080618F" w:rsidRPr="00F63979">
        <w:t xml:space="preserve"> </w:t>
      </w:r>
      <w:proofErr w:type="gramStart"/>
      <w:r w:rsidR="0080618F" w:rsidRPr="00F63979">
        <w:t>Knowing just 23.6117 or 47.4031is not enough to pinpoint fence erectors on subdivisions.</w:t>
      </w:r>
      <w:proofErr w:type="gramEnd"/>
      <w:r w:rsidR="0080618F" w:rsidRPr="00F63979">
        <w:t xml:space="preserve">  Knowing just 23.6117 only </w:t>
      </w:r>
      <w:proofErr w:type="gramStart"/>
      <w:r w:rsidR="0080618F" w:rsidRPr="00F63979">
        <w:t>tells</w:t>
      </w:r>
      <w:proofErr w:type="gramEnd"/>
      <w:r w:rsidR="0080618F" w:rsidRPr="00F63979">
        <w:t xml:space="preserve"> me new housing and this can mean anything from fence erectors to roofers and electricians. Knowing fence erectors is </w:t>
      </w:r>
      <w:proofErr w:type="spellStart"/>
      <w:r w:rsidR="0080618F" w:rsidRPr="00F63979">
        <w:t>more</w:t>
      </w:r>
      <w:proofErr w:type="spellEnd"/>
      <w:r w:rsidR="0080618F" w:rsidRPr="00F63979">
        <w:t xml:space="preserve"> helpful since they cross multiple domains of NAICS codes.</w:t>
      </w:r>
    </w:p>
    <w:p w:rsidR="00F63979" w:rsidRPr="00F63979" w:rsidRDefault="00F63979" w:rsidP="00F63979">
      <w:r w:rsidRPr="00F63979">
        <w:rPr>
          <w:rStyle w:val="messagebody"/>
        </w:rPr>
        <w:t xml:space="preserve">One thing I found - in construction, half the cases are basically NAICS coded to 'other.'  For example they have residential construction but this category of worker does not exist. The electrician on a residential project (NAICS 236) is just as likely to drive next to install </w:t>
      </w:r>
      <w:proofErr w:type="spellStart"/>
      <w:r w:rsidRPr="00F63979">
        <w:rPr>
          <w:rStyle w:val="messagebody"/>
        </w:rPr>
        <w:t>some</w:t>
      </w:r>
      <w:proofErr w:type="spellEnd"/>
      <w:r w:rsidRPr="00F63979">
        <w:rPr>
          <w:rStyle w:val="messagebody"/>
        </w:rPr>
        <w:t xml:space="preserve"> specialty equipment (NAICS 238) maybe </w:t>
      </w:r>
      <w:r w:rsidRPr="00F63979">
        <w:rPr>
          <w:rStyle w:val="messagebody"/>
        </w:rPr>
        <w:lastRenderedPageBreak/>
        <w:t>on the same project where they would be doing NAICS 236 work. It makes it a hack assigning SOC employee population.</w:t>
      </w:r>
    </w:p>
    <w:p w:rsidR="00F63979" w:rsidRPr="00F63979" w:rsidRDefault="00F63979" w:rsidP="00F63979">
      <w:r w:rsidRPr="00F63979">
        <w:rPr>
          <w:rStyle w:val="messagebody"/>
        </w:rPr>
        <w:t>I suspect the residential/commercial building and the various 'other' categories are a catchall for '</w:t>
      </w:r>
      <w:proofErr w:type="spellStart"/>
      <w:r w:rsidRPr="00F63979">
        <w:rPr>
          <w:rStyle w:val="messagebody"/>
        </w:rPr>
        <w:t>multicraft</w:t>
      </w:r>
      <w:proofErr w:type="spellEnd"/>
      <w:r w:rsidRPr="00F63979">
        <w:rPr>
          <w:rStyle w:val="messagebody"/>
        </w:rPr>
        <w:t xml:space="preserve">' workers; they are electricians today, plumbers tomorrow, and do the roof at the end of the project. This is fairly </w:t>
      </w:r>
      <w:proofErr w:type="spellStart"/>
      <w:r w:rsidRPr="00F63979">
        <w:rPr>
          <w:rStyle w:val="messagebody"/>
        </w:rPr>
        <w:t>common</w:t>
      </w:r>
      <w:proofErr w:type="spellEnd"/>
      <w:r w:rsidRPr="00F63979">
        <w:rPr>
          <w:rStyle w:val="messagebody"/>
        </w:rPr>
        <w:t xml:space="preserve"> and difficult to then pinpoint the craft; I created a new category for 'multi-</w:t>
      </w:r>
      <w:proofErr w:type="gramStart"/>
      <w:r w:rsidRPr="00F63979">
        <w:rPr>
          <w:rStyle w:val="messagebody"/>
        </w:rPr>
        <w:t>craft.'.</w:t>
      </w:r>
      <w:proofErr w:type="gramEnd"/>
    </w:p>
    <w:p w:rsidR="008A435A" w:rsidRDefault="008A435A" w:rsidP="008A435A">
      <w:pPr>
        <w:pStyle w:val="Heading1"/>
      </w:pPr>
      <w:r>
        <w:t>Mismatch in comparison between current BLS population and DOL violations over 20 years.</w:t>
      </w:r>
    </w:p>
    <w:p w:rsidR="008A435A" w:rsidRPr="008A435A" w:rsidRDefault="008A435A" w:rsidP="008A435A">
      <w:r>
        <w:t>[</w:t>
      </w:r>
      <w:proofErr w:type="spellStart"/>
      <w:proofErr w:type="gramStart"/>
      <w:r>
        <w:t>average</w:t>
      </w:r>
      <w:proofErr w:type="spellEnd"/>
      <w:proofErr w:type="gramEnd"/>
      <w:r>
        <w:t xml:space="preserve"> DOL data over 20 years for comparison ratios with current population. For example, the violations affecting pointers, take the mean number of painters affected by cases each year and compare this to the current population of painters ( 100 painters over 20 years is 5 painters per year; 5/10,000 painters is the ratio </w:t>
      </w:r>
      <w:proofErr w:type="spellStart"/>
      <w:r>
        <w:t>we</w:t>
      </w:r>
      <w:proofErr w:type="spellEnd"/>
      <w:r>
        <w:t xml:space="preserve"> use].</w:t>
      </w:r>
    </w:p>
    <w:p w:rsidR="008A435A" w:rsidRPr="008A435A" w:rsidRDefault="008A435A" w:rsidP="008A435A">
      <w:pPr>
        <w:spacing w:after="0" w:line="240" w:lineRule="auto"/>
        <w:rPr>
          <w:rFonts w:eastAsia="Times New Roman" w:cs="Times New Roman"/>
          <w:sz w:val="20"/>
          <w:szCs w:val="20"/>
        </w:rPr>
      </w:pPr>
      <w:r w:rsidRPr="008A435A">
        <w:rPr>
          <w:rFonts w:eastAsia="Times New Roman" w:cs="Segoe UI"/>
          <w:color w:val="212121"/>
          <w:sz w:val="20"/>
          <w:szCs w:val="20"/>
          <w:shd w:val="clear" w:color="auto" w:fill="FFFFFF"/>
        </w:rPr>
        <w:t xml:space="preserve">Each row in the main </w:t>
      </w:r>
      <w:proofErr w:type="spellStart"/>
      <w:r w:rsidRPr="008A435A">
        <w:rPr>
          <w:rFonts w:eastAsia="Times New Roman" w:cs="Segoe UI"/>
          <w:color w:val="212121"/>
          <w:sz w:val="20"/>
          <w:szCs w:val="20"/>
          <w:shd w:val="clear" w:color="auto" w:fill="FFFFFF"/>
        </w:rPr>
        <w:t>whd_whisard</w:t>
      </w:r>
      <w:proofErr w:type="spellEnd"/>
      <w:r w:rsidRPr="008A435A">
        <w:rPr>
          <w:rFonts w:eastAsia="Times New Roman" w:cs="Segoe UI"/>
          <w:color w:val="212121"/>
          <w:sz w:val="20"/>
          <w:szCs w:val="20"/>
          <w:shd w:val="clear" w:color="auto" w:fill="FFFFFF"/>
        </w:rPr>
        <w:t xml:space="preserve"> dataset on the DOL data enforcement website is defined as "</w:t>
      </w:r>
      <w:proofErr w:type="spellStart"/>
      <w:r w:rsidRPr="008A435A">
        <w:rPr>
          <w:rFonts w:eastAsia="Times New Roman" w:cs="Lucida Sans Unicode"/>
          <w:color w:val="333333"/>
          <w:sz w:val="20"/>
          <w:szCs w:val="20"/>
          <w:shd w:val="clear" w:color="auto" w:fill="FFFFFF"/>
        </w:rPr>
        <w:t>all</w:t>
      </w:r>
      <w:proofErr w:type="spellEnd"/>
      <w:r w:rsidRPr="008A435A">
        <w:rPr>
          <w:rFonts w:eastAsia="Times New Roman" w:cs="Lucida Sans Unicode"/>
          <w:color w:val="333333"/>
          <w:sz w:val="20"/>
          <w:szCs w:val="20"/>
          <w:shd w:val="clear" w:color="auto" w:fill="FFFFFF"/>
        </w:rPr>
        <w:t xml:space="preserve"> concluded WHD compliance actions since FY 2007”. I have the following questions:</w:t>
      </w:r>
    </w:p>
    <w:p w:rsidR="008A435A" w:rsidRPr="008A435A" w:rsidRDefault="008A435A" w:rsidP="008A435A">
      <w:pPr>
        <w:numPr>
          <w:ilvl w:val="0"/>
          <w:numId w:val="7"/>
        </w:numPr>
        <w:shd w:val="clear" w:color="auto" w:fill="FFFFFF"/>
        <w:spacing w:before="100" w:beforeAutospacing="1" w:after="100" w:afterAutospacing="1" w:line="240" w:lineRule="auto"/>
        <w:rPr>
          <w:rFonts w:eastAsia="Times New Roman" w:cs="Segoe UI"/>
          <w:color w:val="212121"/>
          <w:sz w:val="20"/>
          <w:szCs w:val="20"/>
        </w:rPr>
      </w:pPr>
      <w:r w:rsidRPr="008A435A">
        <w:rPr>
          <w:rFonts w:eastAsia="Times New Roman" w:cs="Lucida Sans Unicode"/>
          <w:color w:val="333333"/>
          <w:sz w:val="20"/>
          <w:szCs w:val="20"/>
          <w:shd w:val="clear" w:color="auto" w:fill="FFFFFF"/>
        </w:rPr>
        <w:t xml:space="preserve">I </w:t>
      </w:r>
      <w:r>
        <w:rPr>
          <w:rFonts w:eastAsia="Times New Roman" w:cs="Lucida Sans Unicode"/>
          <w:color w:val="333333"/>
          <w:sz w:val="20"/>
          <w:szCs w:val="20"/>
          <w:shd w:val="clear" w:color="auto" w:fill="FFFFFF"/>
        </w:rPr>
        <w:t xml:space="preserve">(Ash) </w:t>
      </w:r>
      <w:r w:rsidRPr="008A435A">
        <w:rPr>
          <w:rFonts w:eastAsia="Times New Roman" w:cs="Lucida Sans Unicode"/>
          <w:color w:val="333333"/>
          <w:sz w:val="20"/>
          <w:szCs w:val="20"/>
          <w:shd w:val="clear" w:color="auto" w:fill="FFFFFF"/>
        </w:rPr>
        <w:t xml:space="preserve">see that the gap between “findings start” and “findings end” date range from 1985 to 2015 (there are </w:t>
      </w:r>
      <w:proofErr w:type="spellStart"/>
      <w:r w:rsidRPr="008A435A">
        <w:rPr>
          <w:rFonts w:eastAsia="Times New Roman" w:cs="Lucida Sans Unicode"/>
          <w:color w:val="333333"/>
          <w:sz w:val="20"/>
          <w:szCs w:val="20"/>
          <w:shd w:val="clear" w:color="auto" w:fill="FFFFFF"/>
        </w:rPr>
        <w:t>some</w:t>
      </w:r>
      <w:proofErr w:type="spellEnd"/>
      <w:r w:rsidRPr="008A435A">
        <w:rPr>
          <w:rFonts w:eastAsia="Times New Roman" w:cs="Lucida Sans Unicode"/>
          <w:color w:val="333333"/>
          <w:sz w:val="20"/>
          <w:szCs w:val="20"/>
          <w:shd w:val="clear" w:color="auto" w:fill="FFFFFF"/>
        </w:rPr>
        <w:t xml:space="preserve"> errors in date entry). My concerns are with matching up the numbers by NAICS code across years. An industry could have violations that went as far back as the 80s, but if </w:t>
      </w:r>
      <w:proofErr w:type="spellStart"/>
      <w:r w:rsidRPr="008A435A">
        <w:rPr>
          <w:rFonts w:eastAsia="Times New Roman" w:cs="Lucida Sans Unicode"/>
          <w:color w:val="333333"/>
          <w:sz w:val="20"/>
          <w:szCs w:val="20"/>
          <w:shd w:val="clear" w:color="auto" w:fill="FFFFFF"/>
        </w:rPr>
        <w:t>we</w:t>
      </w:r>
      <w:proofErr w:type="spellEnd"/>
      <w:r w:rsidRPr="008A435A">
        <w:rPr>
          <w:rFonts w:eastAsia="Times New Roman" w:cs="Lucida Sans Unicode"/>
          <w:color w:val="333333"/>
          <w:sz w:val="20"/>
          <w:szCs w:val="20"/>
          <w:shd w:val="clear" w:color="auto" w:fill="FFFFFF"/>
        </w:rPr>
        <w:t xml:space="preserve"> compare, for example, “EEs employed in violation” with external datasets from the SUSB or CBP (</w:t>
      </w:r>
      <w:proofErr w:type="spellStart"/>
      <w:r w:rsidRPr="008A435A">
        <w:rPr>
          <w:rFonts w:eastAsia="Times New Roman" w:cs="Lucida Sans Unicode"/>
          <w:color w:val="333333"/>
          <w:sz w:val="20"/>
          <w:szCs w:val="20"/>
          <w:shd w:val="clear" w:color="auto" w:fill="FFFFFF"/>
        </w:rPr>
        <w:t>e.g.</w:t>
      </w:r>
      <w:proofErr w:type="spellEnd"/>
      <w:r w:rsidRPr="008A435A">
        <w:rPr>
          <w:rFonts w:eastAsia="Times New Roman" w:cs="Lucida Sans Unicode"/>
          <w:color w:val="333333"/>
          <w:sz w:val="20"/>
          <w:szCs w:val="20"/>
          <w:shd w:val="clear" w:color="auto" w:fill="FFFFFF"/>
        </w:rPr>
        <w:t xml:space="preserve"> “total employees in industry group”) then isn’t it </w:t>
      </w:r>
      <w:proofErr w:type="spellStart"/>
      <w:r w:rsidRPr="008A435A">
        <w:rPr>
          <w:rFonts w:eastAsia="Times New Roman" w:cs="Lucida Sans Unicode"/>
          <w:color w:val="333333"/>
          <w:sz w:val="20"/>
          <w:szCs w:val="20"/>
          <w:shd w:val="clear" w:color="auto" w:fill="FFFFFF"/>
        </w:rPr>
        <w:t>somewhat</w:t>
      </w:r>
      <w:proofErr w:type="spellEnd"/>
      <w:r w:rsidRPr="008A435A">
        <w:rPr>
          <w:rFonts w:eastAsia="Times New Roman" w:cs="Lucida Sans Unicode"/>
          <w:color w:val="333333"/>
          <w:sz w:val="20"/>
          <w:szCs w:val="20"/>
          <w:shd w:val="clear" w:color="auto" w:fill="FFFFFF"/>
        </w:rPr>
        <w:t xml:space="preserve"> misleading? Say we’re using 2014 industry aggregate numbers by NAICS code. Then </w:t>
      </w:r>
      <w:proofErr w:type="spellStart"/>
      <w:r w:rsidRPr="008A435A">
        <w:rPr>
          <w:rFonts w:eastAsia="Times New Roman" w:cs="Lucida Sans Unicode"/>
          <w:color w:val="333333"/>
          <w:sz w:val="20"/>
          <w:szCs w:val="20"/>
          <w:shd w:val="clear" w:color="auto" w:fill="FFFFFF"/>
        </w:rPr>
        <w:t>something</w:t>
      </w:r>
      <w:proofErr w:type="spellEnd"/>
      <w:r w:rsidRPr="008A435A">
        <w:rPr>
          <w:rFonts w:eastAsia="Times New Roman" w:cs="Lucida Sans Unicode"/>
          <w:color w:val="333333"/>
          <w:sz w:val="20"/>
          <w:szCs w:val="20"/>
          <w:shd w:val="clear" w:color="auto" w:fill="FFFFFF"/>
        </w:rPr>
        <w:t xml:space="preserve"> like “Backwages per employee” when compared to aggregate 2015 numbers doesn’t seem right because these back wages were owed over a 25-30 year span. We’re essentially comparing past violations to current numbers to create </w:t>
      </w:r>
      <w:proofErr w:type="spellStart"/>
      <w:r w:rsidRPr="008A435A">
        <w:rPr>
          <w:rFonts w:eastAsia="Times New Roman" w:cs="Lucida Sans Unicode"/>
          <w:color w:val="333333"/>
          <w:sz w:val="20"/>
          <w:szCs w:val="20"/>
          <w:shd w:val="clear" w:color="auto" w:fill="FFFFFF"/>
        </w:rPr>
        <w:t>any</w:t>
      </w:r>
      <w:proofErr w:type="spellEnd"/>
      <w:r w:rsidRPr="008A435A">
        <w:rPr>
          <w:rFonts w:eastAsia="Times New Roman" w:cs="Lucida Sans Unicode"/>
          <w:color w:val="333333"/>
          <w:sz w:val="20"/>
          <w:szCs w:val="20"/>
          <w:shd w:val="clear" w:color="auto" w:fill="FFFFFF"/>
        </w:rPr>
        <w:t xml:space="preserve"> ratios, and this could be misleading in subsequent analyses. Does this make sense? I’d love to hear your thoughts.</w:t>
      </w:r>
    </w:p>
    <w:p w:rsidR="008A435A" w:rsidRPr="00083343" w:rsidRDefault="008A435A" w:rsidP="008A435A">
      <w:pPr>
        <w:numPr>
          <w:ilvl w:val="0"/>
          <w:numId w:val="7"/>
        </w:numPr>
        <w:shd w:val="clear" w:color="auto" w:fill="FFFFFF"/>
        <w:spacing w:before="100" w:beforeAutospacing="1" w:after="100" w:afterAutospacing="1" w:line="240" w:lineRule="auto"/>
        <w:rPr>
          <w:rFonts w:eastAsia="Times New Roman" w:cs="Segoe UI"/>
          <w:color w:val="212121"/>
          <w:sz w:val="20"/>
          <w:szCs w:val="20"/>
        </w:rPr>
      </w:pPr>
      <w:r w:rsidRPr="008A435A">
        <w:rPr>
          <w:rFonts w:eastAsia="Times New Roman" w:cs="Lucida Sans Unicode"/>
          <w:color w:val="333333"/>
          <w:sz w:val="20"/>
          <w:szCs w:val="20"/>
          <w:shd w:val="clear" w:color="auto" w:fill="FFFFFF"/>
        </w:rPr>
        <w:t xml:space="preserve">Assuming this is a cause for concern, a possible solution could be to take the </w:t>
      </w:r>
      <w:proofErr w:type="spellStart"/>
      <w:r w:rsidRPr="008A435A">
        <w:rPr>
          <w:rFonts w:eastAsia="Times New Roman" w:cs="Lucida Sans Unicode"/>
          <w:color w:val="333333"/>
          <w:sz w:val="20"/>
          <w:szCs w:val="20"/>
          <w:shd w:val="clear" w:color="auto" w:fill="FFFFFF"/>
        </w:rPr>
        <w:t>average</w:t>
      </w:r>
      <w:proofErr w:type="spellEnd"/>
      <w:r w:rsidRPr="008A435A">
        <w:rPr>
          <w:rFonts w:eastAsia="Times New Roman" w:cs="Lucida Sans Unicode"/>
          <w:color w:val="333333"/>
          <w:sz w:val="20"/>
          <w:szCs w:val="20"/>
          <w:shd w:val="clear" w:color="auto" w:fill="FFFFFF"/>
        </w:rPr>
        <w:t xml:space="preserve"> of industry statistics over the same 25 or so year span, and then calculate </w:t>
      </w:r>
      <w:proofErr w:type="spellStart"/>
      <w:r w:rsidRPr="008A435A">
        <w:rPr>
          <w:rFonts w:eastAsia="Times New Roman" w:cs="Lucida Sans Unicode"/>
          <w:color w:val="333333"/>
          <w:sz w:val="20"/>
          <w:szCs w:val="20"/>
          <w:shd w:val="clear" w:color="auto" w:fill="FFFFFF"/>
        </w:rPr>
        <w:t>any</w:t>
      </w:r>
      <w:proofErr w:type="spellEnd"/>
      <w:r w:rsidRPr="008A435A">
        <w:rPr>
          <w:rFonts w:eastAsia="Times New Roman" w:cs="Lucida Sans Unicode"/>
          <w:color w:val="333333"/>
          <w:sz w:val="20"/>
          <w:szCs w:val="20"/>
          <w:shd w:val="clear" w:color="auto" w:fill="FFFFFF"/>
        </w:rPr>
        <w:t xml:space="preserve"> ratios against industry numbers. This sort of analysis, in essence, will discount </w:t>
      </w:r>
      <w:proofErr w:type="spellStart"/>
      <w:r w:rsidRPr="008A435A">
        <w:rPr>
          <w:rFonts w:eastAsia="Times New Roman" w:cs="Lucida Sans Unicode"/>
          <w:color w:val="333333"/>
          <w:sz w:val="20"/>
          <w:szCs w:val="20"/>
          <w:shd w:val="clear" w:color="auto" w:fill="FFFFFF"/>
        </w:rPr>
        <w:t>any</w:t>
      </w:r>
      <w:proofErr w:type="spellEnd"/>
      <w:r w:rsidRPr="008A435A">
        <w:rPr>
          <w:rFonts w:eastAsia="Times New Roman" w:cs="Lucida Sans Unicode"/>
          <w:color w:val="333333"/>
          <w:sz w:val="20"/>
          <w:szCs w:val="20"/>
          <w:shd w:val="clear" w:color="auto" w:fill="FFFFFF"/>
        </w:rPr>
        <w:t xml:space="preserve"> variations in an industry group’s violation patterns over time. </w:t>
      </w:r>
    </w:p>
    <w:p w:rsidR="00AD46A2" w:rsidRPr="00AD46A2" w:rsidRDefault="00083343" w:rsidP="00AD46A2">
      <w:pPr>
        <w:numPr>
          <w:ilvl w:val="0"/>
          <w:numId w:val="7"/>
        </w:numPr>
        <w:shd w:val="clear" w:color="auto" w:fill="FFFFFF"/>
        <w:spacing w:before="100" w:beforeAutospacing="1" w:after="100" w:afterAutospacing="1" w:line="240" w:lineRule="auto"/>
        <w:rPr>
          <w:rFonts w:eastAsia="Times New Roman" w:cs="Segoe UI"/>
          <w:color w:val="212121"/>
          <w:sz w:val="20"/>
          <w:szCs w:val="20"/>
        </w:rPr>
      </w:pPr>
      <w:r>
        <w:rPr>
          <w:rFonts w:eastAsia="Times New Roman" w:cs="Lucida Sans Unicode"/>
          <w:color w:val="333333"/>
          <w:sz w:val="20"/>
          <w:szCs w:val="20"/>
          <w:shd w:val="clear" w:color="auto" w:fill="FFFFFF"/>
        </w:rPr>
        <w:t xml:space="preserve">FP: For California the first cases are 2002 and the last are end of 2015; there are a </w:t>
      </w:r>
      <w:proofErr w:type="spellStart"/>
      <w:r>
        <w:rPr>
          <w:rFonts w:eastAsia="Times New Roman" w:cs="Lucida Sans Unicode"/>
          <w:color w:val="333333"/>
          <w:sz w:val="20"/>
          <w:szCs w:val="20"/>
          <w:shd w:val="clear" w:color="auto" w:fill="FFFFFF"/>
        </w:rPr>
        <w:t>few</w:t>
      </w:r>
      <w:proofErr w:type="spellEnd"/>
      <w:r>
        <w:rPr>
          <w:rFonts w:eastAsia="Times New Roman" w:cs="Lucida Sans Unicode"/>
          <w:color w:val="333333"/>
          <w:sz w:val="20"/>
          <w:szCs w:val="20"/>
          <w:shd w:val="clear" w:color="auto" w:fill="FFFFFF"/>
        </w:rPr>
        <w:t xml:space="preserve"> earlier cases but </w:t>
      </w:r>
      <w:r w:rsidRPr="00AD46A2">
        <w:rPr>
          <w:rFonts w:eastAsia="Times New Roman" w:cs="Lucida Sans Unicode"/>
          <w:color w:val="333333"/>
          <w:sz w:val="20"/>
          <w:szCs w:val="20"/>
          <w:shd w:val="clear" w:color="auto" w:fill="FFFFFF"/>
        </w:rPr>
        <w:t xml:space="preserve">these look like </w:t>
      </w:r>
      <w:proofErr w:type="spellStart"/>
      <w:r w:rsidRPr="00AD46A2">
        <w:rPr>
          <w:rFonts w:eastAsia="Times New Roman" w:cs="Lucida Sans Unicode"/>
          <w:color w:val="333333"/>
          <w:sz w:val="20"/>
          <w:szCs w:val="20"/>
          <w:shd w:val="clear" w:color="auto" w:fill="FFFFFF"/>
        </w:rPr>
        <w:t>investgations</w:t>
      </w:r>
      <w:proofErr w:type="spellEnd"/>
      <w:r w:rsidRPr="00AD46A2">
        <w:rPr>
          <w:rFonts w:eastAsia="Times New Roman" w:cs="Lucida Sans Unicode"/>
          <w:color w:val="333333"/>
          <w:sz w:val="20"/>
          <w:szCs w:val="20"/>
          <w:shd w:val="clear" w:color="auto" w:fill="FFFFFF"/>
        </w:rPr>
        <w:t xml:space="preserve"> that started in 2002 or 2003 with an earlier violation start date; assumed based on number of cases in 2002 (111) versus 2001 (37)</w:t>
      </w:r>
      <w:r w:rsidR="00AD46A2" w:rsidRPr="00AD46A2">
        <w:rPr>
          <w:rFonts w:eastAsia="Times New Roman" w:cs="Lucida Sans Unicode"/>
          <w:color w:val="333333"/>
          <w:sz w:val="20"/>
          <w:szCs w:val="20"/>
          <w:shd w:val="clear" w:color="auto" w:fill="FFFFFF"/>
        </w:rPr>
        <w:t xml:space="preserve">, each preceding year has vastly </w:t>
      </w:r>
      <w:proofErr w:type="spellStart"/>
      <w:r w:rsidR="00AD46A2" w:rsidRPr="00AD46A2">
        <w:rPr>
          <w:rFonts w:eastAsia="Times New Roman" w:cs="Lucida Sans Unicode"/>
          <w:color w:val="333333"/>
          <w:sz w:val="20"/>
          <w:szCs w:val="20"/>
          <w:shd w:val="clear" w:color="auto" w:fill="FFFFFF"/>
        </w:rPr>
        <w:t>fewer</w:t>
      </w:r>
      <w:proofErr w:type="spellEnd"/>
      <w:r w:rsidR="00AD46A2" w:rsidRPr="00AD46A2">
        <w:rPr>
          <w:rFonts w:eastAsia="Times New Roman" w:cs="Lucida Sans Unicode"/>
          <w:color w:val="333333"/>
          <w:sz w:val="20"/>
          <w:szCs w:val="20"/>
          <w:shd w:val="clear" w:color="auto" w:fill="FFFFFF"/>
        </w:rPr>
        <w:t xml:space="preserve"> cases. This is 15 years.</w:t>
      </w:r>
    </w:p>
    <w:p w:rsidR="00AD46A2" w:rsidRPr="00AD46A2" w:rsidRDefault="00AD46A2" w:rsidP="00AD46A2">
      <w:pPr>
        <w:numPr>
          <w:ilvl w:val="0"/>
          <w:numId w:val="7"/>
        </w:numPr>
        <w:shd w:val="clear" w:color="auto" w:fill="FFFFFF"/>
        <w:spacing w:before="100" w:beforeAutospacing="1" w:after="100" w:afterAutospacing="1" w:line="240" w:lineRule="auto"/>
        <w:rPr>
          <w:rFonts w:eastAsia="Times New Roman" w:cs="Segoe UI"/>
          <w:color w:val="212121"/>
          <w:sz w:val="20"/>
          <w:szCs w:val="20"/>
        </w:rPr>
      </w:pPr>
      <w:r w:rsidRPr="00AD46A2">
        <w:rPr>
          <w:rFonts w:eastAsia="Times New Roman" w:cs="Lucida Sans Unicode"/>
          <w:color w:val="333333"/>
          <w:sz w:val="20"/>
          <w:szCs w:val="20"/>
          <w:shd w:val="clear" w:color="auto" w:fill="FFFFFF"/>
        </w:rPr>
        <w:t xml:space="preserve">Averaging the violations by 15 years seems too </w:t>
      </w:r>
      <w:proofErr w:type="spellStart"/>
      <w:r w:rsidRPr="00AD46A2">
        <w:rPr>
          <w:rFonts w:eastAsia="Times New Roman" w:cs="Lucida Sans Unicode"/>
          <w:color w:val="333333"/>
          <w:sz w:val="20"/>
          <w:szCs w:val="20"/>
          <w:shd w:val="clear" w:color="auto" w:fill="FFFFFF"/>
        </w:rPr>
        <w:t>much</w:t>
      </w:r>
      <w:proofErr w:type="spellEnd"/>
      <w:r w:rsidRPr="00AD46A2">
        <w:rPr>
          <w:rFonts w:eastAsia="Times New Roman" w:cs="Lucida Sans Unicode"/>
          <w:color w:val="333333"/>
          <w:sz w:val="20"/>
          <w:szCs w:val="20"/>
          <w:shd w:val="clear" w:color="auto" w:fill="FFFFFF"/>
        </w:rPr>
        <w:t xml:space="preserve">. In the </w:t>
      </w:r>
      <w:r w:rsidRPr="00AD46A2">
        <w:rPr>
          <w:rFonts w:ascii="Calibri" w:eastAsia="Times New Roman" w:hAnsi="Calibri" w:cs="Times New Roman"/>
          <w:sz w:val="20"/>
          <w:szCs w:val="20"/>
        </w:rPr>
        <w:t xml:space="preserve">San Francisco-Redwood City-South San Francisco, CA metro region there are </w:t>
      </w:r>
      <w:r>
        <w:rPr>
          <w:rFonts w:ascii="Calibri" w:eastAsia="Times New Roman" w:hAnsi="Calibri" w:cs="Times New Roman"/>
          <w:sz w:val="20"/>
          <w:szCs w:val="20"/>
        </w:rPr>
        <w:t xml:space="preserve">425 construction (div 23) cases. Currently there are 30,000 construction workers in this region. Just due to retirements </w:t>
      </w:r>
      <w:proofErr w:type="spellStart"/>
      <w:r>
        <w:rPr>
          <w:rFonts w:ascii="Calibri" w:eastAsia="Times New Roman" w:hAnsi="Calibri" w:cs="Times New Roman"/>
          <w:sz w:val="20"/>
          <w:szCs w:val="20"/>
        </w:rPr>
        <w:t>we</w:t>
      </w:r>
      <w:proofErr w:type="spellEnd"/>
      <w:r>
        <w:rPr>
          <w:rFonts w:ascii="Calibri" w:eastAsia="Times New Roman" w:hAnsi="Calibri" w:cs="Times New Roman"/>
          <w:sz w:val="20"/>
          <w:szCs w:val="20"/>
        </w:rPr>
        <w:t xml:space="preserve"> can assume half those 30,000 workers were in construction 15 years ago, the other half retired. Construction has a </w:t>
      </w:r>
      <w:proofErr w:type="spellStart"/>
      <w:r>
        <w:rPr>
          <w:rFonts w:ascii="Calibri" w:eastAsia="Times New Roman" w:hAnsi="Calibri" w:cs="Times New Roman"/>
          <w:sz w:val="20"/>
          <w:szCs w:val="20"/>
        </w:rPr>
        <w:t>higher</w:t>
      </w:r>
      <w:proofErr w:type="spellEnd"/>
      <w:r>
        <w:rPr>
          <w:rFonts w:ascii="Calibri" w:eastAsia="Times New Roman" w:hAnsi="Calibri" w:cs="Times New Roman"/>
          <w:sz w:val="20"/>
          <w:szCs w:val="20"/>
        </w:rPr>
        <w:t xml:space="preserve"> velocity of turnover entering and exiting the industry (citation, </w:t>
      </w:r>
      <w:proofErr w:type="spellStart"/>
      <w:r>
        <w:rPr>
          <w:rFonts w:ascii="Calibri" w:eastAsia="Times New Roman" w:hAnsi="Calibri" w:cs="Times New Roman"/>
          <w:sz w:val="20"/>
          <w:szCs w:val="20"/>
        </w:rPr>
        <w:t>xxxx</w:t>
      </w:r>
      <w:proofErr w:type="spellEnd"/>
      <w:r>
        <w:rPr>
          <w:rFonts w:ascii="Calibri" w:eastAsia="Times New Roman" w:hAnsi="Calibri" w:cs="Times New Roman"/>
          <w:sz w:val="20"/>
          <w:szCs w:val="20"/>
        </w:rPr>
        <w:t xml:space="preserve">) due to the rigorous conditions. There for </w:t>
      </w:r>
      <w:proofErr w:type="spellStart"/>
      <w:r>
        <w:rPr>
          <w:rFonts w:ascii="Calibri" w:eastAsia="Times New Roman" w:hAnsi="Calibri" w:cs="Times New Roman"/>
          <w:sz w:val="20"/>
          <w:szCs w:val="20"/>
        </w:rPr>
        <w:t>we</w:t>
      </w:r>
      <w:proofErr w:type="spellEnd"/>
      <w:r>
        <w:rPr>
          <w:rFonts w:ascii="Calibri" w:eastAsia="Times New Roman" w:hAnsi="Calibri" w:cs="Times New Roman"/>
          <w:sz w:val="20"/>
          <w:szCs w:val="20"/>
        </w:rPr>
        <w:t xml:space="preserve"> can assume 15 years is excessive. My intuition is six to twelve years is the mean construction career (citation, </w:t>
      </w:r>
      <w:proofErr w:type="spellStart"/>
      <w:r>
        <w:rPr>
          <w:rFonts w:ascii="Calibri" w:eastAsia="Times New Roman" w:hAnsi="Calibri" w:cs="Times New Roman"/>
          <w:sz w:val="20"/>
          <w:szCs w:val="20"/>
        </w:rPr>
        <w:t>xxxx</w:t>
      </w:r>
      <w:proofErr w:type="spellEnd"/>
      <w:r>
        <w:rPr>
          <w:rFonts w:ascii="Calibri" w:eastAsia="Times New Roman" w:hAnsi="Calibri" w:cs="Times New Roman"/>
          <w:sz w:val="20"/>
          <w:szCs w:val="20"/>
        </w:rPr>
        <w:t xml:space="preserve">). Of the 30,000 current workers, I would assume three years ago the majority were the same 30,000. Six years ago, </w:t>
      </w:r>
      <w:proofErr w:type="gramStart"/>
      <w:r>
        <w:rPr>
          <w:rFonts w:ascii="Calibri" w:eastAsia="Times New Roman" w:hAnsi="Calibri" w:cs="Times New Roman"/>
          <w:sz w:val="20"/>
          <w:szCs w:val="20"/>
        </w:rPr>
        <w:t>man are</w:t>
      </w:r>
      <w:proofErr w:type="gramEnd"/>
      <w:r>
        <w:rPr>
          <w:rFonts w:ascii="Calibri" w:eastAsia="Times New Roman" w:hAnsi="Calibri" w:cs="Times New Roman"/>
          <w:sz w:val="20"/>
          <w:szCs w:val="20"/>
        </w:rPr>
        <w:t xml:space="preserve"> but before six years ago, thirty percent are probably new workers. </w:t>
      </w:r>
    </w:p>
    <w:p w:rsidR="00AD46A2" w:rsidRPr="00C4654F" w:rsidRDefault="00AD46A2" w:rsidP="00AD46A2">
      <w:pPr>
        <w:numPr>
          <w:ilvl w:val="0"/>
          <w:numId w:val="7"/>
        </w:numPr>
        <w:shd w:val="clear" w:color="auto" w:fill="FFFFFF"/>
        <w:spacing w:before="100" w:beforeAutospacing="1" w:after="100" w:afterAutospacing="1" w:line="240" w:lineRule="auto"/>
        <w:rPr>
          <w:rFonts w:eastAsia="Times New Roman" w:cs="Segoe UI"/>
          <w:color w:val="212121"/>
          <w:sz w:val="20"/>
          <w:szCs w:val="20"/>
        </w:rPr>
      </w:pPr>
      <w:r>
        <w:rPr>
          <w:rFonts w:eastAsia="Times New Roman" w:cs="Lucida Sans Unicode"/>
          <w:color w:val="333333"/>
          <w:sz w:val="20"/>
          <w:szCs w:val="20"/>
          <w:shd w:val="clear" w:color="auto" w:fill="FFFFFF"/>
        </w:rPr>
        <w:t xml:space="preserve">I propose </w:t>
      </w:r>
      <w:proofErr w:type="spellStart"/>
      <w:r>
        <w:rPr>
          <w:rFonts w:eastAsia="Times New Roman" w:cs="Lucida Sans Unicode"/>
          <w:color w:val="333333"/>
          <w:sz w:val="20"/>
          <w:szCs w:val="20"/>
          <w:shd w:val="clear" w:color="auto" w:fill="FFFFFF"/>
        </w:rPr>
        <w:t>we</w:t>
      </w:r>
      <w:proofErr w:type="spellEnd"/>
      <w:r>
        <w:rPr>
          <w:rFonts w:eastAsia="Times New Roman" w:cs="Lucida Sans Unicode"/>
          <w:color w:val="333333"/>
          <w:sz w:val="20"/>
          <w:szCs w:val="20"/>
          <w:shd w:val="clear" w:color="auto" w:fill="FFFFFF"/>
        </w:rPr>
        <w:t xml:space="preserve"> take the mean citations as over six years. For example, 425/6 = 70 </w:t>
      </w:r>
      <w:r w:rsidR="004872E7">
        <w:rPr>
          <w:rFonts w:eastAsia="Times New Roman" w:cs="Lucida Sans Unicode"/>
          <w:color w:val="333333"/>
          <w:sz w:val="20"/>
          <w:szCs w:val="20"/>
          <w:shd w:val="clear" w:color="auto" w:fill="FFFFFF"/>
        </w:rPr>
        <w:t xml:space="preserve">and then 70/30,000 = </w:t>
      </w:r>
      <w:r w:rsidR="00AC378B">
        <w:rPr>
          <w:rFonts w:eastAsia="Times New Roman" w:cs="Lucida Sans Unicode"/>
          <w:color w:val="333333"/>
          <w:sz w:val="20"/>
          <w:szCs w:val="20"/>
          <w:shd w:val="clear" w:color="auto" w:fill="FFFFFF"/>
        </w:rPr>
        <w:t>0.</w:t>
      </w:r>
      <w:r w:rsidR="004872E7">
        <w:rPr>
          <w:rFonts w:eastAsia="Times New Roman" w:cs="Lucida Sans Unicode"/>
          <w:color w:val="333333"/>
          <w:sz w:val="20"/>
          <w:szCs w:val="20"/>
          <w:shd w:val="clear" w:color="auto" w:fill="FFFFFF"/>
        </w:rPr>
        <w:t xml:space="preserve">2% </w:t>
      </w:r>
      <w:r w:rsidR="00AC378B">
        <w:rPr>
          <w:rFonts w:eastAsia="Times New Roman" w:cs="Lucida Sans Unicode"/>
          <w:color w:val="333333"/>
          <w:sz w:val="20"/>
          <w:szCs w:val="20"/>
          <w:shd w:val="clear" w:color="auto" w:fill="FFFFFF"/>
        </w:rPr>
        <w:t>of</w:t>
      </w:r>
      <w:r w:rsidR="004872E7">
        <w:rPr>
          <w:rFonts w:eastAsia="Times New Roman" w:cs="Lucida Sans Unicode"/>
          <w:color w:val="333333"/>
          <w:sz w:val="20"/>
          <w:szCs w:val="20"/>
          <w:shd w:val="clear" w:color="auto" w:fill="FFFFFF"/>
        </w:rPr>
        <w:t xml:space="preserve"> worker</w:t>
      </w:r>
      <w:r w:rsidR="00AC378B">
        <w:rPr>
          <w:rFonts w:eastAsia="Times New Roman" w:cs="Lucida Sans Unicode"/>
          <w:color w:val="333333"/>
          <w:sz w:val="20"/>
          <w:szCs w:val="20"/>
          <w:shd w:val="clear" w:color="auto" w:fill="FFFFFF"/>
        </w:rPr>
        <w:t>s</w:t>
      </w:r>
      <w:r w:rsidR="004872E7">
        <w:rPr>
          <w:rFonts w:eastAsia="Times New Roman" w:cs="Lucida Sans Unicode"/>
          <w:color w:val="333333"/>
          <w:sz w:val="20"/>
          <w:szCs w:val="20"/>
          <w:shd w:val="clear" w:color="auto" w:fill="FFFFFF"/>
        </w:rPr>
        <w:t xml:space="preserve"> </w:t>
      </w:r>
      <w:r w:rsidR="00AC378B">
        <w:rPr>
          <w:rFonts w:eastAsia="Times New Roman" w:cs="Lucida Sans Unicode"/>
          <w:color w:val="333333"/>
          <w:sz w:val="20"/>
          <w:szCs w:val="20"/>
          <w:shd w:val="clear" w:color="auto" w:fill="FFFFFF"/>
        </w:rPr>
        <w:t>in</w:t>
      </w:r>
      <w:r>
        <w:rPr>
          <w:rFonts w:eastAsia="Times New Roman" w:cs="Lucida Sans Unicode"/>
          <w:color w:val="333333"/>
          <w:sz w:val="20"/>
          <w:szCs w:val="20"/>
          <w:shd w:val="clear" w:color="auto" w:fill="FFFFFF"/>
        </w:rPr>
        <w:t xml:space="preserve"> this metropolitan area</w:t>
      </w:r>
      <w:r w:rsidR="00AC378B">
        <w:rPr>
          <w:rFonts w:eastAsia="Times New Roman" w:cs="Lucida Sans Unicode"/>
          <w:color w:val="333333"/>
          <w:sz w:val="20"/>
          <w:szCs w:val="20"/>
          <w:shd w:val="clear" w:color="auto" w:fill="FFFFFF"/>
        </w:rPr>
        <w:t xml:space="preserve"> have been part of a DOL case</w:t>
      </w:r>
      <w:r>
        <w:rPr>
          <w:rFonts w:eastAsia="Times New Roman" w:cs="Lucida Sans Unicode"/>
          <w:color w:val="333333"/>
          <w:sz w:val="20"/>
          <w:szCs w:val="20"/>
          <w:shd w:val="clear" w:color="auto" w:fill="FFFFFF"/>
        </w:rPr>
        <w:t xml:space="preserve">. 425/15 = 28 violations </w:t>
      </w:r>
      <w:r w:rsidR="004872E7">
        <w:rPr>
          <w:rFonts w:eastAsia="Times New Roman" w:cs="Lucida Sans Unicode"/>
          <w:color w:val="333333"/>
          <w:sz w:val="20"/>
          <w:szCs w:val="20"/>
          <w:shd w:val="clear" w:color="auto" w:fill="FFFFFF"/>
        </w:rPr>
        <w:t xml:space="preserve">and so 28/30,000 0.1% violations per worker </w:t>
      </w:r>
      <w:r>
        <w:rPr>
          <w:rFonts w:eastAsia="Times New Roman" w:cs="Lucida Sans Unicode"/>
          <w:color w:val="333333"/>
          <w:sz w:val="20"/>
          <w:szCs w:val="20"/>
          <w:shd w:val="clear" w:color="auto" w:fill="FFFFFF"/>
        </w:rPr>
        <w:t>seem</w:t>
      </w:r>
      <w:r w:rsidR="004872E7">
        <w:rPr>
          <w:rFonts w:eastAsia="Times New Roman" w:cs="Lucida Sans Unicode"/>
          <w:color w:val="333333"/>
          <w:sz w:val="20"/>
          <w:szCs w:val="20"/>
          <w:shd w:val="clear" w:color="auto" w:fill="FFFFFF"/>
        </w:rPr>
        <w:t>s</w:t>
      </w:r>
      <w:r>
        <w:rPr>
          <w:rFonts w:eastAsia="Times New Roman" w:cs="Lucida Sans Unicode"/>
          <w:color w:val="333333"/>
          <w:sz w:val="20"/>
          <w:szCs w:val="20"/>
          <w:shd w:val="clear" w:color="auto" w:fill="FFFFFF"/>
        </w:rPr>
        <w:t xml:space="preserve"> too </w:t>
      </w:r>
      <w:proofErr w:type="spellStart"/>
      <w:r>
        <w:rPr>
          <w:rFonts w:eastAsia="Times New Roman" w:cs="Lucida Sans Unicode"/>
          <w:color w:val="333333"/>
          <w:sz w:val="20"/>
          <w:szCs w:val="20"/>
          <w:shd w:val="clear" w:color="auto" w:fill="FFFFFF"/>
        </w:rPr>
        <w:t>much</w:t>
      </w:r>
      <w:proofErr w:type="spellEnd"/>
      <w:r>
        <w:rPr>
          <w:rFonts w:eastAsia="Times New Roman" w:cs="Lucida Sans Unicode"/>
          <w:color w:val="333333"/>
          <w:sz w:val="20"/>
          <w:szCs w:val="20"/>
          <w:shd w:val="clear" w:color="auto" w:fill="FFFFFF"/>
        </w:rPr>
        <w:t xml:space="preserve"> of a discount. </w:t>
      </w:r>
      <w:r w:rsidR="00AC378B">
        <w:rPr>
          <w:rFonts w:eastAsia="Times New Roman" w:cs="Lucida Sans Unicode"/>
          <w:color w:val="333333"/>
          <w:sz w:val="20"/>
          <w:szCs w:val="20"/>
          <w:shd w:val="clear" w:color="auto" w:fill="FFFFFF"/>
        </w:rPr>
        <w:t>I agree that 425/30,000 = 1% of workers have been part of a DOL case is unrealistic given this is over 15 years. A six year interval seems fair.</w:t>
      </w:r>
    </w:p>
    <w:p w:rsidR="00C4654F" w:rsidRPr="007D566A" w:rsidRDefault="00C4654F" w:rsidP="00C4654F">
      <w:pPr>
        <w:pStyle w:val="ListParagraph"/>
        <w:numPr>
          <w:ilvl w:val="0"/>
          <w:numId w:val="7"/>
        </w:numPr>
      </w:pPr>
      <w:r w:rsidRPr="007D566A">
        <w:lastRenderedPageBreak/>
        <w:t xml:space="preserve">Ash thought comparing 15 years of cases to current population is a mismatch; I think he is using the mean cases per </w:t>
      </w:r>
      <w:proofErr w:type="gramStart"/>
      <w:r w:rsidRPr="007D566A">
        <w:t>year,</w:t>
      </w:r>
      <w:proofErr w:type="gramEnd"/>
      <w:r w:rsidRPr="007D566A">
        <w:t xml:space="preserve"> I am using mean cases for 6 years. So, mean cases per 6 years normalized by # of workers in that region.  </w:t>
      </w:r>
      <w:proofErr w:type="spellStart"/>
      <w:r w:rsidRPr="007D566A">
        <w:t>We</w:t>
      </w:r>
      <w:proofErr w:type="spellEnd"/>
      <w:r w:rsidRPr="007D566A">
        <w:t xml:space="preserve"> are ignoring population growth. The idea is the construction worker standing here today was not the same dude standing there 15 years ago so a DOL case from 10 years ago means squat to his working conditions</w:t>
      </w:r>
    </w:p>
    <w:p w:rsidR="00C4654F" w:rsidRPr="007D566A" w:rsidRDefault="00C4654F" w:rsidP="00C4654F">
      <w:pPr>
        <w:pStyle w:val="ListParagraph"/>
        <w:numPr>
          <w:ilvl w:val="0"/>
          <w:numId w:val="7"/>
        </w:numPr>
      </w:pPr>
      <w:r w:rsidRPr="007D566A">
        <w:t xml:space="preserve">My </w:t>
      </w:r>
      <w:r>
        <w:t>six year i</w:t>
      </w:r>
      <w:r w:rsidRPr="007D566A">
        <w:t xml:space="preserve">ntuition is based on: From my </w:t>
      </w:r>
      <w:proofErr w:type="spellStart"/>
      <w:r w:rsidRPr="007D566A">
        <w:t>LiUNA</w:t>
      </w:r>
      <w:proofErr w:type="spellEnd"/>
      <w:r w:rsidRPr="007D566A">
        <w:t xml:space="preserve"> survey, the </w:t>
      </w:r>
      <w:proofErr w:type="spellStart"/>
      <w:r w:rsidRPr="007D566A">
        <w:t>average</w:t>
      </w:r>
      <w:proofErr w:type="spellEnd"/>
      <w:r w:rsidRPr="007D566A">
        <w:t xml:space="preserve"> Union laborer has 10 years. 1/3 </w:t>
      </w:r>
      <w:proofErr w:type="gramStart"/>
      <w:r w:rsidRPr="007D566A">
        <w:t>are</w:t>
      </w:r>
      <w:proofErr w:type="gramEnd"/>
      <w:r w:rsidRPr="007D566A">
        <w:t xml:space="preserve"> under five years and 2/3 are over 5 years. The Laborers are thought to have the </w:t>
      </w:r>
      <w:proofErr w:type="spellStart"/>
      <w:r w:rsidRPr="007D566A">
        <w:t>highest</w:t>
      </w:r>
      <w:proofErr w:type="spellEnd"/>
      <w:r w:rsidRPr="007D566A">
        <w:t xml:space="preserve"> velocity in turn over simply because it is difficult. Non-Union </w:t>
      </w:r>
      <w:proofErr w:type="spellStart"/>
      <w:r w:rsidRPr="007D566A">
        <w:t>usually</w:t>
      </w:r>
      <w:proofErr w:type="spellEnd"/>
      <w:r w:rsidRPr="007D566A">
        <w:t xml:space="preserve"> have a </w:t>
      </w:r>
      <w:proofErr w:type="spellStart"/>
      <w:r w:rsidRPr="007D566A">
        <w:t>higher</w:t>
      </w:r>
      <w:proofErr w:type="spellEnd"/>
      <w:r w:rsidRPr="007D566A">
        <w:t xml:space="preserve"> velocity in turnover, if the Laborers are the benchmark then non-union are probably on </w:t>
      </w:r>
      <w:proofErr w:type="spellStart"/>
      <w:r w:rsidRPr="007D566A">
        <w:t>average</w:t>
      </w:r>
      <w:proofErr w:type="spellEnd"/>
      <w:r w:rsidRPr="007D566A">
        <w:t xml:space="preserve"> </w:t>
      </w:r>
      <w:proofErr w:type="spellStart"/>
      <w:r w:rsidRPr="007D566A">
        <w:t>less</w:t>
      </w:r>
      <w:proofErr w:type="spellEnd"/>
      <w:r w:rsidRPr="007D566A">
        <w:t xml:space="preserve"> than 10 years in a trade before they move on. The foreman and supervisors have </w:t>
      </w:r>
      <w:proofErr w:type="spellStart"/>
      <w:r w:rsidRPr="007D566A">
        <w:t>more</w:t>
      </w:r>
      <w:proofErr w:type="spellEnd"/>
      <w:r w:rsidRPr="007D566A">
        <w:t xml:space="preserve"> longevity (the Judas fucks they are</w:t>
      </w:r>
      <w:proofErr w:type="gramStart"/>
      <w:r w:rsidRPr="007D566A">
        <w:t>)  but</w:t>
      </w:r>
      <w:proofErr w:type="gramEnd"/>
      <w:r w:rsidRPr="007D566A">
        <w:t xml:space="preserve"> they know the rest will turn over every ten years. I think I have seen supervisors that assume they can get away with it because they know you won't be </w:t>
      </w:r>
      <w:proofErr w:type="spellStart"/>
      <w:r w:rsidRPr="007D566A">
        <w:t>around</w:t>
      </w:r>
      <w:proofErr w:type="spellEnd"/>
      <w:r w:rsidRPr="007D566A">
        <w:t xml:space="preserve"> in another five years. If there was a recent action, a </w:t>
      </w:r>
      <w:proofErr w:type="spellStart"/>
      <w:r w:rsidRPr="007D566A">
        <w:t>few</w:t>
      </w:r>
      <w:proofErr w:type="spellEnd"/>
      <w:r w:rsidRPr="007D566A">
        <w:t xml:space="preserve"> years, they shape up and treat </w:t>
      </w:r>
      <w:proofErr w:type="spellStart"/>
      <w:r w:rsidRPr="007D566A">
        <w:t>us</w:t>
      </w:r>
      <w:proofErr w:type="spellEnd"/>
      <w:r w:rsidRPr="007D566A">
        <w:t xml:space="preserve"> </w:t>
      </w:r>
      <w:proofErr w:type="spellStart"/>
      <w:r w:rsidRPr="007D566A">
        <w:t>better</w:t>
      </w:r>
      <w:proofErr w:type="spellEnd"/>
      <w:r w:rsidRPr="007D566A">
        <w:t>.</w:t>
      </w:r>
    </w:p>
    <w:p w:rsidR="006836B7" w:rsidRDefault="006836B7" w:rsidP="006836B7">
      <w:pPr>
        <w:pStyle w:val="Heading1"/>
      </w:pPr>
      <w:r>
        <w:t>Checks</w:t>
      </w:r>
    </w:p>
    <w:p w:rsidR="008A435A" w:rsidRDefault="006836B7" w:rsidP="006836B7">
      <w:pPr>
        <w:pStyle w:val="ListParagraph"/>
        <w:numPr>
          <w:ilvl w:val="0"/>
          <w:numId w:val="10"/>
        </w:numPr>
      </w:pPr>
      <w:r>
        <w:t>DOL case where these is no BLS population – none found in Bay Area Metro regions</w:t>
      </w:r>
    </w:p>
    <w:p w:rsidR="006836B7" w:rsidRDefault="002C5A89" w:rsidP="002C5A89">
      <w:pPr>
        <w:pStyle w:val="Heading1"/>
      </w:pPr>
      <w:r>
        <w:t xml:space="preserve">Construction Bay Area Dive: </w:t>
      </w:r>
      <w:proofErr w:type="spellStart"/>
      <w:r>
        <w:t>Heatmap</w:t>
      </w:r>
      <w:proofErr w:type="spellEnd"/>
      <w:r>
        <w:t xml:space="preserve"> by Region and Occupation</w:t>
      </w:r>
    </w:p>
    <w:p w:rsidR="002C5A89" w:rsidRPr="007D566A" w:rsidRDefault="002C5A89" w:rsidP="002C5A89">
      <w:proofErr w:type="spellStart"/>
      <w:r w:rsidRPr="007D566A">
        <w:t>Mean_wage</w:t>
      </w:r>
      <w:proofErr w:type="spellEnd"/>
      <w:r w:rsidRPr="007D566A">
        <w:t xml:space="preserve"> = </w:t>
      </w:r>
      <w:proofErr w:type="spellStart"/>
      <w:r w:rsidRPr="007D566A">
        <w:t>average</w:t>
      </w:r>
      <w:proofErr w:type="spellEnd"/>
      <w:r w:rsidRPr="007D566A">
        <w:t xml:space="preserve"> of mean wage and median wage</w:t>
      </w:r>
    </w:p>
    <w:p w:rsidR="002C5A89" w:rsidRPr="007D566A" w:rsidRDefault="002C5A89" w:rsidP="002C5A89">
      <w:proofErr w:type="spellStart"/>
      <w:r w:rsidRPr="007D566A">
        <w:t>DOL_ratio</w:t>
      </w:r>
      <w:proofErr w:type="spellEnd"/>
      <w:r w:rsidRPr="007D566A">
        <w:t xml:space="preserve"> = ratio of </w:t>
      </w:r>
      <w:proofErr w:type="spellStart"/>
      <w:r w:rsidRPr="007D566A">
        <w:t>DOL_annual_case</w:t>
      </w:r>
      <w:proofErr w:type="spellEnd"/>
      <w:r w:rsidRPr="007D566A">
        <w:t xml:space="preserve"> to regional occupation population</w:t>
      </w:r>
    </w:p>
    <w:p w:rsidR="002C5A89" w:rsidRPr="007D566A" w:rsidRDefault="002C5A89" w:rsidP="002C5A89">
      <w:proofErr w:type="spellStart"/>
      <w:r w:rsidRPr="007D566A">
        <w:t>DOL_annual_case</w:t>
      </w:r>
      <w:proofErr w:type="spellEnd"/>
      <w:r w:rsidRPr="007D566A">
        <w:t xml:space="preserve"> = DOL cases total divided by 6 (years)</w:t>
      </w:r>
    </w:p>
    <w:p w:rsidR="002C5A89" w:rsidRPr="007D566A" w:rsidRDefault="002C5A89" w:rsidP="00C4654F">
      <w:r w:rsidRPr="007D566A">
        <w:t xml:space="preserve">Heat Index = </w:t>
      </w:r>
      <w:r w:rsidRPr="007D566A">
        <w:rPr>
          <w:rFonts w:cs="GreekC"/>
        </w:rPr>
        <w:t>b (</w:t>
      </w:r>
      <w:r w:rsidRPr="007D566A">
        <w:t>(100-mean_wage)/100</w:t>
      </w:r>
      <w:proofErr w:type="gramStart"/>
      <w:r w:rsidRPr="007D566A">
        <w:t>)  +</w:t>
      </w:r>
      <w:proofErr w:type="gramEnd"/>
      <w:r w:rsidRPr="007D566A">
        <w:rPr>
          <w:rFonts w:cs="GreekC"/>
        </w:rPr>
        <w:t xml:space="preserve"> b</w:t>
      </w:r>
      <w:r w:rsidRPr="007D566A">
        <w:t xml:space="preserve"> (</w:t>
      </w:r>
      <w:proofErr w:type="spellStart"/>
      <w:r w:rsidRPr="007D566A">
        <w:t>regional_ee</w:t>
      </w:r>
      <w:proofErr w:type="spellEnd"/>
      <w:r w:rsidRPr="007D566A">
        <w:t>/10,000) +</w:t>
      </w:r>
      <w:r w:rsidRPr="007D566A">
        <w:rPr>
          <w:rFonts w:cs="GreekC"/>
        </w:rPr>
        <w:t xml:space="preserve"> b</w:t>
      </w:r>
      <w:r w:rsidRPr="007D566A">
        <w:t xml:space="preserve"> (1-(</w:t>
      </w:r>
      <w:proofErr w:type="spellStart"/>
      <w:r w:rsidRPr="007D566A">
        <w:t>DOL_ratio</w:t>
      </w:r>
      <w:proofErr w:type="spellEnd"/>
      <w:r w:rsidRPr="007D566A">
        <w:t>) )</w:t>
      </w:r>
    </w:p>
    <w:p w:rsidR="002C5A89" w:rsidRPr="007D566A" w:rsidRDefault="002C5A89" w:rsidP="00C4654F">
      <w:r w:rsidRPr="007D566A">
        <w:t xml:space="preserve">To clean up the duplicate NAICS to </w:t>
      </w:r>
      <w:proofErr w:type="gramStart"/>
      <w:r w:rsidRPr="007D566A">
        <w:t>SOC  codes</w:t>
      </w:r>
      <w:proofErr w:type="gramEnd"/>
      <w:r w:rsidRPr="007D566A">
        <w:t xml:space="preserve"> I went through and by hand looked for NAICS codes violations that have no SOC coded population – indicating that the NAICS is duplicate (can’t have a violation without workers).</w:t>
      </w:r>
    </w:p>
    <w:p w:rsidR="00754572" w:rsidRPr="007D566A" w:rsidRDefault="00754572" w:rsidP="002C5A89">
      <w:r w:rsidRPr="007D566A">
        <w:t>Missed data</w:t>
      </w:r>
    </w:p>
    <w:p w:rsidR="00754572" w:rsidRDefault="00754572" w:rsidP="00754572">
      <w:pPr>
        <w:pStyle w:val="ListParagraph"/>
        <w:numPr>
          <w:ilvl w:val="0"/>
          <w:numId w:val="10"/>
        </w:numPr>
      </w:pPr>
      <w:r>
        <w:t xml:space="preserve">Salinas BLS dataset is missing but has DOL cases </w:t>
      </w:r>
    </w:p>
    <w:p w:rsidR="00754572" w:rsidRPr="002C5A89" w:rsidRDefault="00754572" w:rsidP="00754572">
      <w:pPr>
        <w:pStyle w:val="ListParagraph"/>
        <w:numPr>
          <w:ilvl w:val="0"/>
          <w:numId w:val="10"/>
        </w:numPr>
      </w:pPr>
      <w:r>
        <w:t>Napa has BLS but no DOL cases</w:t>
      </w:r>
    </w:p>
    <w:sectPr w:rsidR="00754572" w:rsidRPr="002C5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GreekC">
    <w:panose1 w:val="00000400000000000000"/>
    <w:charset w:val="00"/>
    <w:family w:val="auto"/>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3819"/>
    <w:multiLevelType w:val="multilevel"/>
    <w:tmpl w:val="BD08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7503F7"/>
    <w:multiLevelType w:val="hybridMultilevel"/>
    <w:tmpl w:val="99A4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6678C"/>
    <w:multiLevelType w:val="hybridMultilevel"/>
    <w:tmpl w:val="4D7850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F35A0A"/>
    <w:multiLevelType w:val="hybridMultilevel"/>
    <w:tmpl w:val="670A7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CF6C94"/>
    <w:multiLevelType w:val="hybridMultilevel"/>
    <w:tmpl w:val="23B07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A30B0B"/>
    <w:multiLevelType w:val="hybridMultilevel"/>
    <w:tmpl w:val="B18E2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DB03B8"/>
    <w:multiLevelType w:val="hybridMultilevel"/>
    <w:tmpl w:val="94FC14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7929EF"/>
    <w:multiLevelType w:val="hybridMultilevel"/>
    <w:tmpl w:val="DE62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812195"/>
    <w:multiLevelType w:val="hybridMultilevel"/>
    <w:tmpl w:val="5BD68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02E1B"/>
    <w:multiLevelType w:val="hybridMultilevel"/>
    <w:tmpl w:val="0D56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9"/>
  </w:num>
  <w:num w:numId="5">
    <w:abstractNumId w:val="2"/>
  </w:num>
  <w:num w:numId="6">
    <w:abstractNumId w:val="6"/>
  </w:num>
  <w:num w:numId="7">
    <w:abstractNumId w:val="0"/>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8A5"/>
    <w:rsid w:val="00027E21"/>
    <w:rsid w:val="0006480B"/>
    <w:rsid w:val="000710F9"/>
    <w:rsid w:val="000725E1"/>
    <w:rsid w:val="00083343"/>
    <w:rsid w:val="000B6332"/>
    <w:rsid w:val="00180AAF"/>
    <w:rsid w:val="00234EF8"/>
    <w:rsid w:val="00265ED3"/>
    <w:rsid w:val="002A7EA0"/>
    <w:rsid w:val="002C5A89"/>
    <w:rsid w:val="00343B35"/>
    <w:rsid w:val="0036658A"/>
    <w:rsid w:val="00381E6B"/>
    <w:rsid w:val="003C7554"/>
    <w:rsid w:val="004872E7"/>
    <w:rsid w:val="00532E0E"/>
    <w:rsid w:val="005830BD"/>
    <w:rsid w:val="005C5A0A"/>
    <w:rsid w:val="006836B7"/>
    <w:rsid w:val="00754572"/>
    <w:rsid w:val="007B0A0E"/>
    <w:rsid w:val="007D566A"/>
    <w:rsid w:val="007E619C"/>
    <w:rsid w:val="0080618F"/>
    <w:rsid w:val="00827644"/>
    <w:rsid w:val="00861F7F"/>
    <w:rsid w:val="008736E8"/>
    <w:rsid w:val="008801E1"/>
    <w:rsid w:val="00894E42"/>
    <w:rsid w:val="008A435A"/>
    <w:rsid w:val="008B2454"/>
    <w:rsid w:val="009964A7"/>
    <w:rsid w:val="009A48A5"/>
    <w:rsid w:val="009D4578"/>
    <w:rsid w:val="00A972EB"/>
    <w:rsid w:val="00AA1E63"/>
    <w:rsid w:val="00AC2549"/>
    <w:rsid w:val="00AC378B"/>
    <w:rsid w:val="00AD46A2"/>
    <w:rsid w:val="00BD7CE0"/>
    <w:rsid w:val="00C30947"/>
    <w:rsid w:val="00C4654F"/>
    <w:rsid w:val="00CB6D9C"/>
    <w:rsid w:val="00D25981"/>
    <w:rsid w:val="00DB6F37"/>
    <w:rsid w:val="00DB754C"/>
    <w:rsid w:val="00EC1229"/>
    <w:rsid w:val="00EC5261"/>
    <w:rsid w:val="00F44747"/>
    <w:rsid w:val="00F536CD"/>
    <w:rsid w:val="00F63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981"/>
    <w:pPr>
      <w:spacing w:after="120"/>
    </w:pPr>
  </w:style>
  <w:style w:type="paragraph" w:styleId="Heading1">
    <w:name w:val="heading 1"/>
    <w:basedOn w:val="Normal"/>
    <w:next w:val="Normal"/>
    <w:link w:val="Heading1Char"/>
    <w:uiPriority w:val="9"/>
    <w:qFormat/>
    <w:rsid w:val="00A97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2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72EB"/>
    <w:pPr>
      <w:ind w:left="720"/>
      <w:contextualSpacing/>
    </w:pPr>
  </w:style>
  <w:style w:type="paragraph" w:styleId="BalloonText">
    <w:name w:val="Balloon Text"/>
    <w:basedOn w:val="Normal"/>
    <w:link w:val="BalloonTextChar"/>
    <w:uiPriority w:val="99"/>
    <w:semiHidden/>
    <w:unhideWhenUsed/>
    <w:rsid w:val="009D4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578"/>
    <w:rPr>
      <w:rFonts w:ascii="Tahoma" w:hAnsi="Tahoma" w:cs="Tahoma"/>
      <w:sz w:val="16"/>
      <w:szCs w:val="16"/>
    </w:rPr>
  </w:style>
  <w:style w:type="paragraph" w:styleId="Caption">
    <w:name w:val="caption"/>
    <w:basedOn w:val="Normal"/>
    <w:next w:val="Normal"/>
    <w:uiPriority w:val="35"/>
    <w:unhideWhenUsed/>
    <w:qFormat/>
    <w:rsid w:val="002A7EA0"/>
    <w:pPr>
      <w:spacing w:line="240" w:lineRule="auto"/>
    </w:pPr>
    <w:rPr>
      <w:b/>
      <w:bCs/>
      <w:color w:val="4F81BD" w:themeColor="accent1"/>
      <w:sz w:val="18"/>
      <w:szCs w:val="18"/>
    </w:rPr>
  </w:style>
  <w:style w:type="character" w:customStyle="1" w:styleId="messagebody">
    <w:name w:val="message_body"/>
    <w:basedOn w:val="DefaultParagraphFont"/>
    <w:rsid w:val="007D566A"/>
  </w:style>
  <w:style w:type="character" w:styleId="Hyperlink">
    <w:name w:val="Hyperlink"/>
    <w:basedOn w:val="DefaultParagraphFont"/>
    <w:uiPriority w:val="99"/>
    <w:unhideWhenUsed/>
    <w:rsid w:val="007D566A"/>
    <w:rPr>
      <w:color w:val="0000FF"/>
      <w:u w:val="single"/>
    </w:rPr>
  </w:style>
  <w:style w:type="character" w:customStyle="1" w:styleId="lightonly">
    <w:name w:val="light_only"/>
    <w:basedOn w:val="DefaultParagraphFont"/>
    <w:rsid w:val="007D566A"/>
  </w:style>
  <w:style w:type="character" w:customStyle="1" w:styleId="apple-converted-space">
    <w:name w:val="apple-converted-space"/>
    <w:basedOn w:val="DefaultParagraphFont"/>
    <w:rsid w:val="007D56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981"/>
    <w:pPr>
      <w:spacing w:after="120"/>
    </w:pPr>
  </w:style>
  <w:style w:type="paragraph" w:styleId="Heading1">
    <w:name w:val="heading 1"/>
    <w:basedOn w:val="Normal"/>
    <w:next w:val="Normal"/>
    <w:link w:val="Heading1Char"/>
    <w:uiPriority w:val="9"/>
    <w:qFormat/>
    <w:rsid w:val="00A97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2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72EB"/>
    <w:pPr>
      <w:ind w:left="720"/>
      <w:contextualSpacing/>
    </w:pPr>
  </w:style>
  <w:style w:type="paragraph" w:styleId="BalloonText">
    <w:name w:val="Balloon Text"/>
    <w:basedOn w:val="Normal"/>
    <w:link w:val="BalloonTextChar"/>
    <w:uiPriority w:val="99"/>
    <w:semiHidden/>
    <w:unhideWhenUsed/>
    <w:rsid w:val="009D4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578"/>
    <w:rPr>
      <w:rFonts w:ascii="Tahoma" w:hAnsi="Tahoma" w:cs="Tahoma"/>
      <w:sz w:val="16"/>
      <w:szCs w:val="16"/>
    </w:rPr>
  </w:style>
  <w:style w:type="paragraph" w:styleId="Caption">
    <w:name w:val="caption"/>
    <w:basedOn w:val="Normal"/>
    <w:next w:val="Normal"/>
    <w:uiPriority w:val="35"/>
    <w:unhideWhenUsed/>
    <w:qFormat/>
    <w:rsid w:val="002A7EA0"/>
    <w:pPr>
      <w:spacing w:line="240" w:lineRule="auto"/>
    </w:pPr>
    <w:rPr>
      <w:b/>
      <w:bCs/>
      <w:color w:val="4F81BD" w:themeColor="accent1"/>
      <w:sz w:val="18"/>
      <w:szCs w:val="18"/>
    </w:rPr>
  </w:style>
  <w:style w:type="character" w:customStyle="1" w:styleId="messagebody">
    <w:name w:val="message_body"/>
    <w:basedOn w:val="DefaultParagraphFont"/>
    <w:rsid w:val="007D566A"/>
  </w:style>
  <w:style w:type="character" w:styleId="Hyperlink">
    <w:name w:val="Hyperlink"/>
    <w:basedOn w:val="DefaultParagraphFont"/>
    <w:uiPriority w:val="99"/>
    <w:unhideWhenUsed/>
    <w:rsid w:val="007D566A"/>
    <w:rPr>
      <w:color w:val="0000FF"/>
      <w:u w:val="single"/>
    </w:rPr>
  </w:style>
  <w:style w:type="character" w:customStyle="1" w:styleId="lightonly">
    <w:name w:val="light_only"/>
    <w:basedOn w:val="DefaultParagraphFont"/>
    <w:rsid w:val="007D566A"/>
  </w:style>
  <w:style w:type="character" w:customStyle="1" w:styleId="apple-converted-space">
    <w:name w:val="apple-converted-space"/>
    <w:basedOn w:val="DefaultParagraphFont"/>
    <w:rsid w:val="007D5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41865">
      <w:bodyDiv w:val="1"/>
      <w:marLeft w:val="0"/>
      <w:marRight w:val="0"/>
      <w:marTop w:val="0"/>
      <w:marBottom w:val="0"/>
      <w:divBdr>
        <w:top w:val="none" w:sz="0" w:space="0" w:color="auto"/>
        <w:left w:val="none" w:sz="0" w:space="0" w:color="auto"/>
        <w:bottom w:val="none" w:sz="0" w:space="0" w:color="auto"/>
        <w:right w:val="none" w:sz="0" w:space="0" w:color="auto"/>
      </w:divBdr>
    </w:div>
    <w:div w:id="422916866">
      <w:bodyDiv w:val="1"/>
      <w:marLeft w:val="0"/>
      <w:marRight w:val="0"/>
      <w:marTop w:val="0"/>
      <w:marBottom w:val="0"/>
      <w:divBdr>
        <w:top w:val="none" w:sz="0" w:space="0" w:color="auto"/>
        <w:left w:val="none" w:sz="0" w:space="0" w:color="auto"/>
        <w:bottom w:val="none" w:sz="0" w:space="0" w:color="auto"/>
        <w:right w:val="none" w:sz="0" w:space="0" w:color="auto"/>
      </w:divBdr>
    </w:div>
    <w:div w:id="434326478">
      <w:bodyDiv w:val="1"/>
      <w:marLeft w:val="0"/>
      <w:marRight w:val="0"/>
      <w:marTop w:val="0"/>
      <w:marBottom w:val="0"/>
      <w:divBdr>
        <w:top w:val="none" w:sz="0" w:space="0" w:color="auto"/>
        <w:left w:val="none" w:sz="0" w:space="0" w:color="auto"/>
        <w:bottom w:val="none" w:sz="0" w:space="0" w:color="auto"/>
        <w:right w:val="none" w:sz="0" w:space="0" w:color="auto"/>
      </w:divBdr>
    </w:div>
    <w:div w:id="511846626">
      <w:bodyDiv w:val="1"/>
      <w:marLeft w:val="0"/>
      <w:marRight w:val="0"/>
      <w:marTop w:val="0"/>
      <w:marBottom w:val="0"/>
      <w:divBdr>
        <w:top w:val="none" w:sz="0" w:space="0" w:color="auto"/>
        <w:left w:val="none" w:sz="0" w:space="0" w:color="auto"/>
        <w:bottom w:val="none" w:sz="0" w:space="0" w:color="auto"/>
        <w:right w:val="none" w:sz="0" w:space="0" w:color="auto"/>
      </w:divBdr>
    </w:div>
    <w:div w:id="537009200">
      <w:bodyDiv w:val="1"/>
      <w:marLeft w:val="0"/>
      <w:marRight w:val="0"/>
      <w:marTop w:val="0"/>
      <w:marBottom w:val="0"/>
      <w:divBdr>
        <w:top w:val="none" w:sz="0" w:space="0" w:color="auto"/>
        <w:left w:val="none" w:sz="0" w:space="0" w:color="auto"/>
        <w:bottom w:val="none" w:sz="0" w:space="0" w:color="auto"/>
        <w:right w:val="none" w:sz="0" w:space="0" w:color="auto"/>
      </w:divBdr>
    </w:div>
    <w:div w:id="759911440">
      <w:bodyDiv w:val="1"/>
      <w:marLeft w:val="0"/>
      <w:marRight w:val="0"/>
      <w:marTop w:val="0"/>
      <w:marBottom w:val="0"/>
      <w:divBdr>
        <w:top w:val="none" w:sz="0" w:space="0" w:color="auto"/>
        <w:left w:val="none" w:sz="0" w:space="0" w:color="auto"/>
        <w:bottom w:val="none" w:sz="0" w:space="0" w:color="auto"/>
        <w:right w:val="none" w:sz="0" w:space="0" w:color="auto"/>
      </w:divBdr>
      <w:divsChild>
        <w:div w:id="1019769675">
          <w:marLeft w:val="0"/>
          <w:marRight w:val="0"/>
          <w:marTop w:val="0"/>
          <w:marBottom w:val="0"/>
          <w:divBdr>
            <w:top w:val="none" w:sz="0" w:space="0" w:color="auto"/>
            <w:left w:val="none" w:sz="0" w:space="0" w:color="auto"/>
            <w:bottom w:val="none" w:sz="0" w:space="0" w:color="auto"/>
            <w:right w:val="none" w:sz="0" w:space="0" w:color="auto"/>
          </w:divBdr>
        </w:div>
        <w:div w:id="679429479">
          <w:marLeft w:val="0"/>
          <w:marRight w:val="0"/>
          <w:marTop w:val="0"/>
          <w:marBottom w:val="0"/>
          <w:divBdr>
            <w:top w:val="none" w:sz="0" w:space="0" w:color="auto"/>
            <w:left w:val="none" w:sz="0" w:space="0" w:color="auto"/>
            <w:bottom w:val="none" w:sz="0" w:space="0" w:color="auto"/>
            <w:right w:val="none" w:sz="0" w:space="0" w:color="auto"/>
          </w:divBdr>
        </w:div>
      </w:divsChild>
    </w:div>
    <w:div w:id="781270065">
      <w:bodyDiv w:val="1"/>
      <w:marLeft w:val="0"/>
      <w:marRight w:val="0"/>
      <w:marTop w:val="0"/>
      <w:marBottom w:val="0"/>
      <w:divBdr>
        <w:top w:val="none" w:sz="0" w:space="0" w:color="auto"/>
        <w:left w:val="none" w:sz="0" w:space="0" w:color="auto"/>
        <w:bottom w:val="none" w:sz="0" w:space="0" w:color="auto"/>
        <w:right w:val="none" w:sz="0" w:space="0" w:color="auto"/>
      </w:divBdr>
    </w:div>
    <w:div w:id="841579183">
      <w:bodyDiv w:val="1"/>
      <w:marLeft w:val="0"/>
      <w:marRight w:val="0"/>
      <w:marTop w:val="0"/>
      <w:marBottom w:val="0"/>
      <w:divBdr>
        <w:top w:val="none" w:sz="0" w:space="0" w:color="auto"/>
        <w:left w:val="none" w:sz="0" w:space="0" w:color="auto"/>
        <w:bottom w:val="none" w:sz="0" w:space="0" w:color="auto"/>
        <w:right w:val="none" w:sz="0" w:space="0" w:color="auto"/>
      </w:divBdr>
    </w:div>
    <w:div w:id="971597148">
      <w:bodyDiv w:val="1"/>
      <w:marLeft w:val="0"/>
      <w:marRight w:val="0"/>
      <w:marTop w:val="0"/>
      <w:marBottom w:val="0"/>
      <w:divBdr>
        <w:top w:val="none" w:sz="0" w:space="0" w:color="auto"/>
        <w:left w:val="none" w:sz="0" w:space="0" w:color="auto"/>
        <w:bottom w:val="none" w:sz="0" w:space="0" w:color="auto"/>
        <w:right w:val="none" w:sz="0" w:space="0" w:color="auto"/>
      </w:divBdr>
    </w:div>
    <w:div w:id="1074863914">
      <w:bodyDiv w:val="1"/>
      <w:marLeft w:val="0"/>
      <w:marRight w:val="0"/>
      <w:marTop w:val="0"/>
      <w:marBottom w:val="0"/>
      <w:divBdr>
        <w:top w:val="none" w:sz="0" w:space="0" w:color="auto"/>
        <w:left w:val="none" w:sz="0" w:space="0" w:color="auto"/>
        <w:bottom w:val="none" w:sz="0" w:space="0" w:color="auto"/>
        <w:right w:val="none" w:sz="0" w:space="0" w:color="auto"/>
      </w:divBdr>
    </w:div>
    <w:div w:id="1303122503">
      <w:bodyDiv w:val="1"/>
      <w:marLeft w:val="0"/>
      <w:marRight w:val="0"/>
      <w:marTop w:val="0"/>
      <w:marBottom w:val="0"/>
      <w:divBdr>
        <w:top w:val="none" w:sz="0" w:space="0" w:color="auto"/>
        <w:left w:val="none" w:sz="0" w:space="0" w:color="auto"/>
        <w:bottom w:val="none" w:sz="0" w:space="0" w:color="auto"/>
        <w:right w:val="none" w:sz="0" w:space="0" w:color="auto"/>
      </w:divBdr>
      <w:divsChild>
        <w:div w:id="1138567427">
          <w:marLeft w:val="0"/>
          <w:marRight w:val="0"/>
          <w:marTop w:val="0"/>
          <w:marBottom w:val="0"/>
          <w:divBdr>
            <w:top w:val="none" w:sz="0" w:space="0" w:color="auto"/>
            <w:left w:val="none" w:sz="0" w:space="0" w:color="auto"/>
            <w:bottom w:val="none" w:sz="0" w:space="0" w:color="auto"/>
            <w:right w:val="none" w:sz="0" w:space="0" w:color="auto"/>
          </w:divBdr>
        </w:div>
        <w:div w:id="1996109308">
          <w:marLeft w:val="0"/>
          <w:marRight w:val="0"/>
          <w:marTop w:val="0"/>
          <w:marBottom w:val="0"/>
          <w:divBdr>
            <w:top w:val="none" w:sz="0" w:space="0" w:color="auto"/>
            <w:left w:val="none" w:sz="0" w:space="0" w:color="auto"/>
            <w:bottom w:val="none" w:sz="0" w:space="0" w:color="auto"/>
            <w:right w:val="none" w:sz="0" w:space="0" w:color="auto"/>
          </w:divBdr>
        </w:div>
        <w:div w:id="308750903">
          <w:marLeft w:val="0"/>
          <w:marRight w:val="0"/>
          <w:marTop w:val="0"/>
          <w:marBottom w:val="0"/>
          <w:divBdr>
            <w:top w:val="none" w:sz="0" w:space="0" w:color="auto"/>
            <w:left w:val="none" w:sz="0" w:space="0" w:color="auto"/>
            <w:bottom w:val="none" w:sz="0" w:space="0" w:color="auto"/>
            <w:right w:val="none" w:sz="0" w:space="0" w:color="auto"/>
          </w:divBdr>
        </w:div>
        <w:div w:id="322663734">
          <w:marLeft w:val="0"/>
          <w:marRight w:val="0"/>
          <w:marTop w:val="0"/>
          <w:marBottom w:val="0"/>
          <w:divBdr>
            <w:top w:val="none" w:sz="0" w:space="0" w:color="auto"/>
            <w:left w:val="none" w:sz="0" w:space="0" w:color="auto"/>
            <w:bottom w:val="none" w:sz="0" w:space="0" w:color="auto"/>
            <w:right w:val="none" w:sz="0" w:space="0" w:color="auto"/>
          </w:divBdr>
        </w:div>
      </w:divsChild>
    </w:div>
    <w:div w:id="1391609851">
      <w:bodyDiv w:val="1"/>
      <w:marLeft w:val="0"/>
      <w:marRight w:val="0"/>
      <w:marTop w:val="0"/>
      <w:marBottom w:val="0"/>
      <w:divBdr>
        <w:top w:val="none" w:sz="0" w:space="0" w:color="auto"/>
        <w:left w:val="none" w:sz="0" w:space="0" w:color="auto"/>
        <w:bottom w:val="none" w:sz="0" w:space="0" w:color="auto"/>
        <w:right w:val="none" w:sz="0" w:space="0" w:color="auto"/>
      </w:divBdr>
    </w:div>
    <w:div w:id="1506869754">
      <w:bodyDiv w:val="1"/>
      <w:marLeft w:val="0"/>
      <w:marRight w:val="0"/>
      <w:marTop w:val="0"/>
      <w:marBottom w:val="0"/>
      <w:divBdr>
        <w:top w:val="none" w:sz="0" w:space="0" w:color="auto"/>
        <w:left w:val="none" w:sz="0" w:space="0" w:color="auto"/>
        <w:bottom w:val="none" w:sz="0" w:space="0" w:color="auto"/>
        <w:right w:val="none" w:sz="0" w:space="0" w:color="auto"/>
      </w:divBdr>
    </w:div>
    <w:div w:id="1545483881">
      <w:bodyDiv w:val="1"/>
      <w:marLeft w:val="0"/>
      <w:marRight w:val="0"/>
      <w:marTop w:val="0"/>
      <w:marBottom w:val="0"/>
      <w:divBdr>
        <w:top w:val="none" w:sz="0" w:space="0" w:color="auto"/>
        <w:left w:val="none" w:sz="0" w:space="0" w:color="auto"/>
        <w:bottom w:val="none" w:sz="0" w:space="0" w:color="auto"/>
        <w:right w:val="none" w:sz="0" w:space="0" w:color="auto"/>
      </w:divBdr>
    </w:div>
    <w:div w:id="1595358535">
      <w:bodyDiv w:val="1"/>
      <w:marLeft w:val="0"/>
      <w:marRight w:val="0"/>
      <w:marTop w:val="0"/>
      <w:marBottom w:val="0"/>
      <w:divBdr>
        <w:top w:val="none" w:sz="0" w:space="0" w:color="auto"/>
        <w:left w:val="none" w:sz="0" w:space="0" w:color="auto"/>
        <w:bottom w:val="none" w:sz="0" w:space="0" w:color="auto"/>
        <w:right w:val="none" w:sz="0" w:space="0" w:color="auto"/>
      </w:divBdr>
    </w:div>
    <w:div w:id="1652714652">
      <w:bodyDiv w:val="1"/>
      <w:marLeft w:val="0"/>
      <w:marRight w:val="0"/>
      <w:marTop w:val="0"/>
      <w:marBottom w:val="0"/>
      <w:divBdr>
        <w:top w:val="none" w:sz="0" w:space="0" w:color="auto"/>
        <w:left w:val="none" w:sz="0" w:space="0" w:color="auto"/>
        <w:bottom w:val="none" w:sz="0" w:space="0" w:color="auto"/>
        <w:right w:val="none" w:sz="0" w:space="0" w:color="auto"/>
      </w:divBdr>
      <w:divsChild>
        <w:div w:id="744455756">
          <w:marLeft w:val="0"/>
          <w:marRight w:val="0"/>
          <w:marTop w:val="0"/>
          <w:marBottom w:val="0"/>
          <w:divBdr>
            <w:top w:val="none" w:sz="0" w:space="0" w:color="auto"/>
            <w:left w:val="none" w:sz="0" w:space="0" w:color="auto"/>
            <w:bottom w:val="none" w:sz="0" w:space="0" w:color="auto"/>
            <w:right w:val="none" w:sz="0" w:space="0" w:color="auto"/>
          </w:divBdr>
        </w:div>
        <w:div w:id="1162232883">
          <w:marLeft w:val="0"/>
          <w:marRight w:val="0"/>
          <w:marTop w:val="0"/>
          <w:marBottom w:val="0"/>
          <w:divBdr>
            <w:top w:val="none" w:sz="0" w:space="0" w:color="auto"/>
            <w:left w:val="none" w:sz="0" w:space="0" w:color="auto"/>
            <w:bottom w:val="none" w:sz="0" w:space="0" w:color="auto"/>
            <w:right w:val="none" w:sz="0" w:space="0" w:color="auto"/>
          </w:divBdr>
        </w:div>
      </w:divsChild>
    </w:div>
    <w:div w:id="1688673394">
      <w:bodyDiv w:val="1"/>
      <w:marLeft w:val="0"/>
      <w:marRight w:val="0"/>
      <w:marTop w:val="0"/>
      <w:marBottom w:val="0"/>
      <w:divBdr>
        <w:top w:val="none" w:sz="0" w:space="0" w:color="auto"/>
        <w:left w:val="none" w:sz="0" w:space="0" w:color="auto"/>
        <w:bottom w:val="none" w:sz="0" w:space="0" w:color="auto"/>
        <w:right w:val="none" w:sz="0" w:space="0" w:color="auto"/>
      </w:divBdr>
    </w:div>
    <w:div w:id="1779594937">
      <w:bodyDiv w:val="1"/>
      <w:marLeft w:val="0"/>
      <w:marRight w:val="0"/>
      <w:marTop w:val="0"/>
      <w:marBottom w:val="0"/>
      <w:divBdr>
        <w:top w:val="none" w:sz="0" w:space="0" w:color="auto"/>
        <w:left w:val="none" w:sz="0" w:space="0" w:color="auto"/>
        <w:bottom w:val="none" w:sz="0" w:space="0" w:color="auto"/>
        <w:right w:val="none" w:sz="0" w:space="0" w:color="auto"/>
      </w:divBdr>
    </w:div>
    <w:div w:id="1921980894">
      <w:bodyDiv w:val="1"/>
      <w:marLeft w:val="0"/>
      <w:marRight w:val="0"/>
      <w:marTop w:val="0"/>
      <w:marBottom w:val="0"/>
      <w:divBdr>
        <w:top w:val="none" w:sz="0" w:space="0" w:color="auto"/>
        <w:left w:val="none" w:sz="0" w:space="0" w:color="auto"/>
        <w:bottom w:val="none" w:sz="0" w:space="0" w:color="auto"/>
        <w:right w:val="none" w:sz="0" w:space="0" w:color="auto"/>
      </w:divBdr>
    </w:div>
    <w:div w:id="2015956726">
      <w:bodyDiv w:val="1"/>
      <w:marLeft w:val="0"/>
      <w:marRight w:val="0"/>
      <w:marTop w:val="0"/>
      <w:marBottom w:val="0"/>
      <w:divBdr>
        <w:top w:val="none" w:sz="0" w:space="0" w:color="auto"/>
        <w:left w:val="none" w:sz="0" w:space="0" w:color="auto"/>
        <w:bottom w:val="none" w:sz="0" w:space="0" w:color="auto"/>
        <w:right w:val="none" w:sz="0" w:space="0" w:color="auto"/>
      </w:divBdr>
    </w:div>
    <w:div w:id="204914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www.bls.gov/oes/current/naics5_238140.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Box%20Sync\Labor_Dept_Wage_Theft\Datasets\whd_whisard_san_jose_div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6202182262392526"/>
          <c:y val="8.5983207034078191E-2"/>
          <c:w val="0.46995710536689544"/>
          <c:h val="0.81759653654323283"/>
        </c:manualLayout>
      </c:layout>
      <c:pieChart>
        <c:varyColors val="1"/>
        <c:ser>
          <c:idx val="0"/>
          <c:order val="0"/>
          <c:dLbls>
            <c:dLbl>
              <c:idx val="0"/>
              <c:delete val="1"/>
            </c:dLbl>
            <c:dLbl>
              <c:idx val="1"/>
              <c:delete val="1"/>
            </c:dLbl>
            <c:dLbl>
              <c:idx val="2"/>
              <c:delete val="1"/>
            </c:dLbl>
            <c:dLbl>
              <c:idx val="13"/>
              <c:layout>
                <c:manualLayout>
                  <c:x val="-0.15618160058556446"/>
                  <c:y val="0"/>
                </c:manualLayout>
              </c:layout>
              <c:showLegendKey val="0"/>
              <c:showVal val="1"/>
              <c:showCatName val="1"/>
              <c:showSerName val="0"/>
              <c:showPercent val="0"/>
              <c:showBubbleSize val="0"/>
            </c:dLbl>
            <c:dLbl>
              <c:idx val="14"/>
              <c:delete val="1"/>
            </c:dLbl>
            <c:dLbl>
              <c:idx val="15"/>
              <c:delete val="1"/>
            </c:dLbl>
            <c:dLbl>
              <c:idx val="16"/>
              <c:delete val="1"/>
            </c:dLbl>
            <c:dLbl>
              <c:idx val="18"/>
              <c:layout>
                <c:manualLayout>
                  <c:x val="6.3854318530961365E-2"/>
                  <c:y val="-0.10805288913146549"/>
                </c:manualLayout>
              </c:layout>
              <c:showLegendKey val="0"/>
              <c:showVal val="1"/>
              <c:showCatName val="1"/>
              <c:showSerName val="0"/>
              <c:showPercent val="0"/>
              <c:showBubbleSize val="0"/>
            </c:dLbl>
            <c:dLbl>
              <c:idx val="19"/>
              <c:delete val="1"/>
            </c:dLbl>
            <c:dLbl>
              <c:idx val="20"/>
              <c:delete val="1"/>
            </c:dLbl>
            <c:dLbl>
              <c:idx val="22"/>
              <c:delete val="1"/>
            </c:dLbl>
            <c:dLbl>
              <c:idx val="23"/>
              <c:delete val="1"/>
            </c:dLbl>
            <c:dLbl>
              <c:idx val="24"/>
              <c:layout>
                <c:manualLayout>
                  <c:x val="0.19693799557873712"/>
                  <c:y val="-7.8891716455562033E-2"/>
                </c:manualLayout>
              </c:layout>
              <c:showLegendKey val="0"/>
              <c:showVal val="1"/>
              <c:showCatName val="1"/>
              <c:showSerName val="0"/>
              <c:showPercent val="0"/>
              <c:showBubbleSize val="0"/>
            </c:dLbl>
            <c:dLbl>
              <c:idx val="25"/>
              <c:delete val="1"/>
            </c:dLbl>
            <c:dLbl>
              <c:idx val="26"/>
              <c:layout>
                <c:manualLayout>
                  <c:x val="0.14846782952167087"/>
                  <c:y val="-7.0478879076023515E-2"/>
                </c:manualLayout>
              </c:layout>
              <c:showLegendKey val="0"/>
              <c:showVal val="1"/>
              <c:showCatName val="1"/>
              <c:showSerName val="0"/>
              <c:showPercent val="0"/>
              <c:showBubbleSize val="0"/>
            </c:dLbl>
            <c:dLbl>
              <c:idx val="27"/>
              <c:layout>
                <c:manualLayout>
                  <c:x val="0.14646815865377907"/>
                  <c:y val="-1.275771441007082E-3"/>
                </c:manualLayout>
              </c:layout>
              <c:showLegendKey val="0"/>
              <c:showVal val="1"/>
              <c:showCatName val="1"/>
              <c:showSerName val="0"/>
              <c:showPercent val="0"/>
              <c:showBubbleSize val="0"/>
            </c:dLbl>
            <c:dLbl>
              <c:idx val="28"/>
              <c:delete val="1"/>
            </c:dLbl>
            <c:dLbl>
              <c:idx val="29"/>
              <c:layout>
                <c:manualLayout>
                  <c:x val="0.10754551327210939"/>
                  <c:y val="-8.0675059884589822E-3"/>
                </c:manualLayout>
              </c:layout>
              <c:showLegendKey val="0"/>
              <c:showVal val="1"/>
              <c:showCatName val="1"/>
              <c:showSerName val="0"/>
              <c:showPercent val="0"/>
              <c:showBubbleSize val="0"/>
            </c:dLbl>
            <c:dLbl>
              <c:idx val="30"/>
              <c:delete val="1"/>
            </c:dLbl>
            <c:dLbl>
              <c:idx val="31"/>
              <c:layout>
                <c:manualLayout>
                  <c:x val="7.0982936735866781E-2"/>
                  <c:y val="6.1804762662856873E-2"/>
                </c:manualLayout>
              </c:layout>
              <c:showLegendKey val="0"/>
              <c:showVal val="1"/>
              <c:showCatName val="1"/>
              <c:showSerName val="0"/>
              <c:showPercent val="0"/>
              <c:showBubbleSize val="0"/>
            </c:dLbl>
            <c:dLbl>
              <c:idx val="32"/>
              <c:delete val="1"/>
            </c:dLbl>
            <c:dLbl>
              <c:idx val="33"/>
              <c:layout>
                <c:manualLayout>
                  <c:x val="4.871508203340439E-2"/>
                  <c:y val="9.6121580974890014E-2"/>
                </c:manualLayout>
              </c:layout>
              <c:showLegendKey val="0"/>
              <c:showVal val="1"/>
              <c:showCatName val="1"/>
              <c:showSerName val="0"/>
              <c:showPercent val="0"/>
              <c:showBubbleSize val="0"/>
            </c:dLbl>
            <c:dLbl>
              <c:idx val="34"/>
              <c:layout>
                <c:manualLayout>
                  <c:x val="1.3242516349726006E-2"/>
                  <c:y val="1.4744181344965754E-2"/>
                </c:manualLayout>
              </c:layout>
              <c:showLegendKey val="0"/>
              <c:showVal val="1"/>
              <c:showCatName val="1"/>
              <c:showSerName val="0"/>
              <c:showPercent val="0"/>
              <c:showBubbleSize val="0"/>
            </c:dLbl>
            <c:dLbl>
              <c:idx val="35"/>
              <c:delete val="1"/>
            </c:dLbl>
            <c:dLbl>
              <c:idx val="36"/>
              <c:delete val="1"/>
            </c:dLbl>
            <c:dLbl>
              <c:idx val="37"/>
              <c:layout>
                <c:manualLayout>
                  <c:x val="4.2372817251498114E-2"/>
                  <c:y val="4.7999977412286267E-2"/>
                </c:manualLayout>
              </c:layout>
              <c:showLegendKey val="0"/>
              <c:showVal val="1"/>
              <c:showCatName val="1"/>
              <c:showSerName val="0"/>
              <c:showPercent val="0"/>
              <c:showBubbleSize val="0"/>
            </c:dLbl>
            <c:dLbl>
              <c:idx val="39"/>
              <c:delete val="1"/>
            </c:dLbl>
            <c:dLbl>
              <c:idx val="40"/>
              <c:delete val="1"/>
            </c:dLbl>
            <c:dLbl>
              <c:idx val="41"/>
              <c:delete val="1"/>
            </c:dLbl>
            <c:dLbl>
              <c:idx val="42"/>
              <c:delete val="1"/>
            </c:dLbl>
            <c:dLbl>
              <c:idx val="43"/>
              <c:delete val="1"/>
            </c:dLbl>
            <c:dLbl>
              <c:idx val="44"/>
              <c:delete val="1"/>
            </c:dLbl>
            <c:dLbl>
              <c:idx val="45"/>
              <c:delete val="1"/>
            </c:dLbl>
            <c:showLegendKey val="0"/>
            <c:showVal val="1"/>
            <c:showCatName val="1"/>
            <c:showSerName val="0"/>
            <c:showPercent val="0"/>
            <c:showBubbleSize val="0"/>
            <c:showLeaderLines val="1"/>
          </c:dLbls>
          <c:cat>
            <c:strRef>
              <c:f>'NAICS_23 (2)'!$F$4:$F$50</c:f>
              <c:strCache>
                <c:ptCount val="47"/>
                <c:pt idx="0">
                  <c:v>Contractors</c:v>
                </c:pt>
                <c:pt idx="1">
                  <c:v>Building</c:v>
                </c:pt>
                <c:pt idx="2">
                  <c:v>Building:Residential</c:v>
                </c:pt>
                <c:pt idx="3">
                  <c:v>Building:Residential</c:v>
                </c:pt>
                <c:pt idx="4">
                  <c:v>Building:New Single-Family Housing (except For-Sale Builders)</c:v>
                </c:pt>
                <c:pt idx="5">
                  <c:v>Building:New Multifamily Housing (except For-Sale Builders)</c:v>
                </c:pt>
                <c:pt idx="6">
                  <c:v>Building:New Housing For-Sale</c:v>
                </c:pt>
                <c:pt idx="7">
                  <c:v>Building:Residential Remodelers</c:v>
                </c:pt>
                <c:pt idx="8">
                  <c:v>Building:Nonresidential</c:v>
                </c:pt>
                <c:pt idx="9">
                  <c:v>Building:Industrial</c:v>
                </c:pt>
                <c:pt idx="10">
                  <c:v>Building:Commercial and Institutional</c:v>
                </c:pt>
                <c:pt idx="11">
                  <c:v>Heavy</c:v>
                </c:pt>
                <c:pt idx="12">
                  <c:v>Heavy:Utility System</c:v>
                </c:pt>
                <c:pt idx="13">
                  <c:v>Heavy:Water and Sewer Line and Related Structures</c:v>
                </c:pt>
                <c:pt idx="14">
                  <c:v>Heavy:Oil and Gas Pipeline and Related Structures </c:v>
                </c:pt>
                <c:pt idx="15">
                  <c:v>Heavy:Power and Communication Line and Related Structures </c:v>
                </c:pt>
                <c:pt idx="16">
                  <c:v>Heavy:Land SubdivisionT</c:v>
                </c:pt>
                <c:pt idx="17">
                  <c:v>Heavy:Land SubdivisionT</c:v>
                </c:pt>
                <c:pt idx="18">
                  <c:v>Heavy:Highway, Street, and Bridge </c:v>
                </c:pt>
                <c:pt idx="19">
                  <c:v>Heavy:Highway, Street, and Bridge </c:v>
                </c:pt>
                <c:pt idx="20">
                  <c:v>Heavy:Other</c:v>
                </c:pt>
                <c:pt idx="21">
                  <c:v>Heavy:Other</c:v>
                </c:pt>
                <c:pt idx="22">
                  <c:v>Specialty:Specialty Trade </c:v>
                </c:pt>
                <c:pt idx="23">
                  <c:v>Specialty:Foundation, Structure, and Building Exterior </c:v>
                </c:pt>
                <c:pt idx="24">
                  <c:v>Specialty:Poured Concrete Foundation and Structure </c:v>
                </c:pt>
                <c:pt idx="25">
                  <c:v>Specialty:Structural Steel and Precast Concrete </c:v>
                </c:pt>
                <c:pt idx="26">
                  <c:v>Specialty:Framing </c:v>
                </c:pt>
                <c:pt idx="27">
                  <c:v>Specialty:Masonry </c:v>
                </c:pt>
                <c:pt idx="28">
                  <c:v>Specialty:Glass and Glazing </c:v>
                </c:pt>
                <c:pt idx="29">
                  <c:v>Specialty:Roofing </c:v>
                </c:pt>
                <c:pt idx="30">
                  <c:v>Specialty:Siding </c:v>
                </c:pt>
                <c:pt idx="31">
                  <c:v>Specialty:Other Foundation, Structure, and Building Exterior </c:v>
                </c:pt>
                <c:pt idx="32">
                  <c:v>Specialty:Building Equipment </c:v>
                </c:pt>
                <c:pt idx="33">
                  <c:v>Specialty:Electrical  and Other Wiring Installation </c:v>
                </c:pt>
                <c:pt idx="34">
                  <c:v>Specialty:Plumbing, Heating, and Air-Conditioning </c:v>
                </c:pt>
                <c:pt idx="35">
                  <c:v>Specialty:Other Building Equipment </c:v>
                </c:pt>
                <c:pt idx="36">
                  <c:v>Specialty:Building Finishing </c:v>
                </c:pt>
                <c:pt idx="37">
                  <c:v>Specialty:Drywall and Insulation </c:v>
                </c:pt>
                <c:pt idx="38">
                  <c:v>Specialty:Painting and Wall Covering </c:v>
                </c:pt>
                <c:pt idx="39">
                  <c:v>Specialty:Flooring </c:v>
                </c:pt>
                <c:pt idx="40">
                  <c:v>Specialty:Tile and Terrazzo </c:v>
                </c:pt>
                <c:pt idx="41">
                  <c:v>Specialty:Finish Carpentry </c:v>
                </c:pt>
                <c:pt idx="42">
                  <c:v>Specialty:Other Building Finishing </c:v>
                </c:pt>
                <c:pt idx="43">
                  <c:v>Specialty:Other Specialty Trade </c:v>
                </c:pt>
                <c:pt idx="44">
                  <c:v>Specialty:Site Preparation </c:v>
                </c:pt>
                <c:pt idx="45">
                  <c:v>Specialty:Other Specialty Trade </c:v>
                </c:pt>
                <c:pt idx="46">
                  <c:v>Other: multitrade</c:v>
                </c:pt>
              </c:strCache>
            </c:strRef>
          </c:cat>
          <c:val>
            <c:numRef>
              <c:f>'NAICS_23 (2)'!$I$4:$I$50</c:f>
              <c:numCache>
                <c:formatCode>General</c:formatCode>
                <c:ptCount val="47"/>
                <c:pt idx="13" formatCode="_(* #,##0_);_(* \(#,##0\);_(* &quot;-&quot;??_);_(@_)">
                  <c:v>1</c:v>
                </c:pt>
                <c:pt idx="18" formatCode="_(* #,##0_);_(* \(#,##0\);_(* &quot;-&quot;??_);_(@_)">
                  <c:v>2</c:v>
                </c:pt>
                <c:pt idx="24" formatCode="_(* #,##0_);_(* \(#,##0\);_(* &quot;-&quot;??_);_(@_)">
                  <c:v>4</c:v>
                </c:pt>
                <c:pt idx="26" formatCode="_(* #,##0_);_(* \(#,##0\);_(* &quot;-&quot;??_);_(@_)">
                  <c:v>1</c:v>
                </c:pt>
                <c:pt idx="27" formatCode="_(* #,##0_);_(* \(#,##0\);_(* &quot;-&quot;??_);_(@_)">
                  <c:v>1</c:v>
                </c:pt>
                <c:pt idx="29" formatCode="_(* #,##0_);_(* \(#,##0\);_(* &quot;-&quot;??_);_(@_)">
                  <c:v>3</c:v>
                </c:pt>
                <c:pt idx="31" formatCode="_(* #,##0_);_(* \(#,##0\);_(* &quot;-&quot;??_);_(@_)">
                  <c:v>1</c:v>
                </c:pt>
                <c:pt idx="33" formatCode="_(* #,##0_);_(* \(#,##0\);_(* &quot;-&quot;??_);_(@_)">
                  <c:v>4</c:v>
                </c:pt>
                <c:pt idx="34" formatCode="_(* #,##0_);_(* \(#,##0\);_(* &quot;-&quot;??_);_(@_)">
                  <c:v>7</c:v>
                </c:pt>
                <c:pt idx="37" formatCode="_(* #,##0_);_(* \(#,##0\);_(* &quot;-&quot;??_);_(@_)">
                  <c:v>5</c:v>
                </c:pt>
                <c:pt idx="38" formatCode="_(* #,##0_);_(* \(#,##0\);_(* &quot;-&quot;??_);_(@_)">
                  <c:v>6</c:v>
                </c:pt>
                <c:pt idx="46" formatCode="_(* #,##0_);_(* \(#,##0\);_(* &quot;-&quot;??_);_(@_)">
                  <c:v>35</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840B3-61E9-43F4-B07A-88E1BC962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5</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ForestP</dc:creator>
  <cp:lastModifiedBy>ForestP</cp:lastModifiedBy>
  <cp:revision>45</cp:revision>
  <dcterms:created xsi:type="dcterms:W3CDTF">2016-07-03T20:44:00Z</dcterms:created>
  <dcterms:modified xsi:type="dcterms:W3CDTF">2016-07-06T18:51:00Z</dcterms:modified>
</cp:coreProperties>
</file>