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Close Checklist</w:t>
      </w:r>
    </w:p>
    <w:p>
      <w:r>
        <w:t>CY2024 Massachusetts RPS Class I | Contract REC-2024-017 | Status: PENDING REVIEW</w:t>
      </w:r>
    </w:p>
    <w:p>
      <w:r>
        <w:t>Complete each evidence check before procurement and accounting approval. Outcome cells remain blank by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Evidence check</w:t>
            </w:r>
          </w:p>
        </w:tc>
        <w:tc>
          <w:tcPr>
            <w:tcW w:type="dxa" w:w="2045"/>
          </w:tcPr>
          <w:p>
            <w:r>
              <w:t>Primary owner</w:t>
            </w:r>
          </w:p>
        </w:tc>
        <w:tc>
          <w:tcPr>
            <w:tcW w:type="dxa" w:w="2045"/>
          </w:tcPr>
          <w:p>
            <w:r>
              <w:t>Supporting record</w:t>
            </w:r>
          </w:p>
        </w:tc>
        <w:tc>
          <w:tcPr>
            <w:tcW w:type="dxa" w:w="2045"/>
          </w:tcPr>
          <w:p>
            <w:r>
              <w:t>Due control</w:t>
            </w:r>
          </w:p>
        </w:tc>
        <w:tc>
          <w:tcPr>
            <w:tcW w:type="dxa" w:w="2045"/>
          </w:tcPr>
          <w:p>
            <w:r>
              <w:t>Outcome</w:t>
            </w:r>
          </w:p>
        </w:tc>
      </w:tr>
      <w:tr>
        <w:tc>
          <w:tcPr>
            <w:tcW w:type="dxa" w:w="2045"/>
          </w:tcPr>
          <w:p>
            <w:r>
              <w:t>Program authority and unit effective dates</w:t>
            </w:r>
          </w:p>
        </w:tc>
        <w:tc>
          <w:tcPr>
            <w:tcW w:type="dxa" w:w="2045"/>
          </w:tcPr>
          <w:p>
            <w:r>
              <w:t>Compliance</w:t>
            </w:r>
          </w:p>
        </w:tc>
        <w:tc>
          <w:tcPr>
            <w:tcW w:type="dxa" w:w="2045"/>
          </w:tcPr>
          <w:p>
            <w:r>
              <w:t>Regulation, qualified-unit workbook, authority index</w:t>
            </w:r>
          </w:p>
        </w:tc>
        <w:tc>
          <w:tcPr>
            <w:tcW w:type="dxa" w:w="2045"/>
          </w:tcPr>
          <w:p>
            <w:r>
              <w:t>July 1 filing readiness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Executed contract and amendment precedence</w:t>
            </w:r>
          </w:p>
        </w:tc>
        <w:tc>
          <w:tcPr>
            <w:tcW w:type="dxa" w:w="2045"/>
          </w:tcPr>
          <w:p>
            <w:r>
              <w:t>Legal / Procurement</w:t>
            </w:r>
          </w:p>
        </w:tc>
        <w:tc>
          <w:tcPr>
            <w:tcW w:type="dxa" w:w="2045"/>
          </w:tcPr>
          <w:p>
            <w:r>
              <w:t>Confirmation and Amendment 1</w:t>
            </w:r>
          </w:p>
        </w:tc>
        <w:tc>
          <w:tcPr>
            <w:tcW w:type="dxa" w:w="2045"/>
          </w:tcPr>
          <w:p>
            <w:r>
              <w:t>Before remedy application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Tender identity, vintage, and serial ranges</w:t>
            </w:r>
          </w:p>
        </w:tc>
        <w:tc>
          <w:tcPr>
            <w:tcW w:type="dxa" w:w="2045"/>
          </w:tcPr>
          <w:p>
            <w:r>
              <w:t>Certificate Operations</w:t>
            </w:r>
          </w:p>
        </w:tc>
        <w:tc>
          <w:tcPr>
            <w:tcW w:type="dxa" w:w="2045"/>
          </w:tcPr>
          <w:p>
            <w:r>
              <w:t>Final delivery statement</w:t>
            </w:r>
          </w:p>
        </w:tc>
        <w:tc>
          <w:tcPr>
            <w:tcW w:type="dxa" w:w="2045"/>
          </w:tcPr>
          <w:p>
            <w:r>
              <w:t>Before acceptance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Registry custody and unique-serial review</w:t>
            </w:r>
          </w:p>
        </w:tc>
        <w:tc>
          <w:tcPr>
            <w:tcW w:type="dxa" w:w="2045"/>
          </w:tcPr>
          <w:p>
            <w:r>
              <w:t>Registry Operations</w:t>
            </w:r>
          </w:p>
        </w:tc>
        <w:tc>
          <w:tcPr>
            <w:tcW w:type="dxa" w:w="2045"/>
          </w:tcPr>
          <w:p>
            <w:r>
              <w:t>Event export, live packet, analyst markup</w:t>
            </w:r>
          </w:p>
        </w:tc>
        <w:tc>
          <w:tcPr>
            <w:tcW w:type="dxa" w:w="2045"/>
          </w:tcPr>
          <w:p>
            <w:r>
              <w:t>Evidence cutoff June 9 noon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Seller cure election and substitute testing</w:t>
            </w:r>
          </w:p>
        </w:tc>
        <w:tc>
          <w:tcPr>
            <w:tcW w:type="dxa" w:w="2045"/>
          </w:tcPr>
          <w:p>
            <w:r>
              <w:t>Settlement Management</w:t>
            </w:r>
          </w:p>
        </w:tc>
        <w:tc>
          <w:tcPr>
            <w:tcW w:type="dxa" w:w="2045"/>
          </w:tcPr>
          <w:p>
            <w:r>
              <w:t>Exception notice and election scan</w:t>
            </w:r>
          </w:p>
        </w:tc>
        <w:tc>
          <w:tcPr>
            <w:tcW w:type="dxa" w:w="2045"/>
          </w:tcPr>
          <w:p>
            <w:r>
              <w:t>June 6 cure control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Buyer cover execution and payment linkage</w:t>
            </w:r>
          </w:p>
        </w:tc>
        <w:tc>
          <w:tcPr>
            <w:tcW w:type="dxa" w:w="2045"/>
          </w:tcPr>
          <w:p>
            <w:r>
              <w:t>Energy Procurement</w:t>
            </w:r>
          </w:p>
        </w:tc>
        <w:tc>
          <w:tcPr>
            <w:tcW w:type="dxa" w:w="2045"/>
          </w:tcPr>
          <w:p>
            <w:r>
              <w:t>Terminal, blotter, payment advice</w:t>
            </w:r>
          </w:p>
        </w:tc>
        <w:tc>
          <w:tcPr>
            <w:tcW w:type="dxa" w:w="2045"/>
          </w:tcPr>
          <w:p>
            <w:r>
              <w:t>After cure; before cutoff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Inventory reconciliation</w:t>
            </w:r>
          </w:p>
        </w:tc>
        <w:tc>
          <w:tcPr>
            <w:tcW w:type="dxa" w:w="2045"/>
          </w:tcPr>
          <w:p>
            <w:r>
              <w:t>Compliance</w:t>
            </w:r>
          </w:p>
        </w:tc>
        <w:tc>
          <w:tcPr>
            <w:tcW w:type="dxa" w:w="2045"/>
          </w:tcPr>
          <w:p>
            <w:r>
              <w:t>Pre-settlement inventory control</w:t>
            </w:r>
          </w:p>
        </w:tc>
        <w:tc>
          <w:tcPr>
            <w:tcW w:type="dxa" w:w="2045"/>
          </w:tcPr>
          <w:p>
            <w:r>
              <w:t>Before July 1 filing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Invoice approval and supported adjustment</w:t>
            </w:r>
          </w:p>
        </w:tc>
        <w:tc>
          <w:tcPr>
            <w:tcW w:type="dxa" w:w="2045"/>
          </w:tcPr>
          <w:p>
            <w:r>
              <w:t>Accounting</w:t>
            </w:r>
          </w:p>
        </w:tc>
        <w:tc>
          <w:tcPr>
            <w:tcW w:type="dxa" w:w="2045"/>
          </w:tcPr>
          <w:p>
            <w:r>
              <w:t>Invoice and AP ledger</w:t>
            </w:r>
          </w:p>
        </w:tc>
        <w:tc>
          <w:tcPr>
            <w:tcW w:type="dxa" w:w="2045"/>
          </w:tcPr>
          <w:p>
            <w:r>
              <w:t>Dispute by June 16 at 17:00 EDT</w:t>
            </w:r>
          </w:p>
        </w:tc>
        <w:tc>
          <w:tcPr>
            <w:tcW w:type="dxa" w:w="2045"/>
          </w:tcPr>
          <w:p>
            <w:r/>
          </w:p>
        </w:tc>
      </w:tr>
    </w:tbl>
    <w:p>
      <w:r>
        <w:t>Required actions: preserve July 1 filing readiness and send any supported commercial dispute by June 16 at 17:00 EDT.</w:t>
      </w:r>
    </w:p>
    <w:p>
      <w:r>
        <w:t>Procurement reviewer: ____________________   Accounting reviewer: 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