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Seller Cure Election — Transmittal</w:t>
      </w:r>
    </w:p>
    <w:p>
      <w:r>
        <w:t>Case reference: EXC-24017. Contract reference: REC-2024-017.</w:t>
      </w:r>
    </w:p>
    <w:p>
      <w:r>
        <w:t>The seller returned one signed election form through the designated settlement channel. The controlling selection and receipt marks appear only on the attached scan.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8366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GN01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36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Settlement Operations intake copy. Outcome fields intentionally remain open pending certificate validation.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