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267F" w14:textId="167B3D1E" w:rsidR="00B443D3" w:rsidRDefault="00B443D3" w:rsidP="001370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1"/>
          <w:szCs w:val="21"/>
        </w:rPr>
      </w:pPr>
      <w:r w:rsidRPr="00DE7603">
        <w:rPr>
          <w:rFonts w:cstheme="minorHAnsi"/>
          <w:b/>
          <w:bCs/>
          <w:sz w:val="21"/>
          <w:szCs w:val="21"/>
        </w:rPr>
        <w:t xml:space="preserve">Resolution </w:t>
      </w:r>
      <w:r w:rsidR="001370C7" w:rsidRPr="00DE7603">
        <w:rPr>
          <w:rFonts w:cstheme="minorHAnsi"/>
          <w:b/>
          <w:bCs/>
          <w:sz w:val="21"/>
          <w:szCs w:val="21"/>
        </w:rPr>
        <w:t>on</w:t>
      </w:r>
      <w:r w:rsidRPr="00DE7603">
        <w:rPr>
          <w:rFonts w:cstheme="minorHAnsi"/>
          <w:b/>
          <w:bCs/>
          <w:sz w:val="21"/>
          <w:szCs w:val="21"/>
        </w:rPr>
        <w:t xml:space="preserve"> </w:t>
      </w:r>
      <w:r w:rsidR="00BB11BC" w:rsidRPr="00DE7603">
        <w:rPr>
          <w:rFonts w:cstheme="minorHAnsi"/>
          <w:b/>
          <w:bCs/>
          <w:sz w:val="21"/>
          <w:szCs w:val="21"/>
        </w:rPr>
        <w:t xml:space="preserve">Adjunct Compensation for Pedagogical </w:t>
      </w:r>
      <w:r w:rsidR="00952AFE">
        <w:rPr>
          <w:rFonts w:cstheme="minorHAnsi"/>
          <w:b/>
          <w:bCs/>
          <w:sz w:val="21"/>
          <w:szCs w:val="21"/>
        </w:rPr>
        <w:t>Development</w:t>
      </w:r>
    </w:p>
    <w:p w14:paraId="388D554C" w14:textId="77777777" w:rsidR="003E36C1" w:rsidRPr="00DE7603" w:rsidRDefault="003E36C1" w:rsidP="001370C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1"/>
          <w:szCs w:val="21"/>
        </w:rPr>
      </w:pPr>
    </w:p>
    <w:p w14:paraId="3A8AA26B" w14:textId="77777777" w:rsidR="00B443D3" w:rsidRPr="003E36C1" w:rsidRDefault="00B443D3" w:rsidP="0037507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6C8B42F8" w14:textId="09CB6365" w:rsidR="00375077" w:rsidRPr="003E36C1" w:rsidRDefault="00375077" w:rsidP="0037507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3E36C1">
        <w:rPr>
          <w:rFonts w:cstheme="minorHAnsi"/>
          <w:i/>
          <w:iCs/>
          <w:sz w:val="21"/>
          <w:szCs w:val="21"/>
        </w:rPr>
        <w:t>Whereas</w:t>
      </w:r>
      <w:r w:rsidRPr="003E36C1">
        <w:rPr>
          <w:rFonts w:cstheme="minorHAnsi"/>
          <w:sz w:val="21"/>
          <w:szCs w:val="21"/>
        </w:rPr>
        <w:t xml:space="preserve"> the existing Distance Learning Policy</w:t>
      </w:r>
      <w:r w:rsidR="00661C8E" w:rsidRPr="003E36C1">
        <w:rPr>
          <w:rStyle w:val="FootnoteReference"/>
          <w:rFonts w:cstheme="minorHAnsi"/>
          <w:sz w:val="21"/>
          <w:szCs w:val="21"/>
        </w:rPr>
        <w:footnoteReference w:id="1"/>
      </w:r>
      <w:r w:rsidR="00661C8E" w:rsidRPr="003E36C1">
        <w:rPr>
          <w:rFonts w:cstheme="minorHAnsi"/>
          <w:sz w:val="21"/>
          <w:szCs w:val="21"/>
        </w:rPr>
        <w:t xml:space="preserve"> </w:t>
      </w:r>
      <w:r w:rsidRPr="003E36C1">
        <w:rPr>
          <w:rFonts w:cstheme="minorHAnsi"/>
          <w:sz w:val="21"/>
          <w:szCs w:val="21"/>
        </w:rPr>
        <w:t>requires that faculty</w:t>
      </w:r>
      <w:r w:rsidR="00661C8E" w:rsidRPr="003E36C1">
        <w:rPr>
          <w:rFonts w:cstheme="minorHAnsi"/>
          <w:sz w:val="21"/>
          <w:szCs w:val="21"/>
        </w:rPr>
        <w:t xml:space="preserve"> </w:t>
      </w:r>
      <w:r w:rsidRPr="003E36C1">
        <w:rPr>
          <w:rFonts w:cstheme="minorHAnsi"/>
          <w:sz w:val="21"/>
          <w:szCs w:val="21"/>
        </w:rPr>
        <w:t xml:space="preserve">complete </w:t>
      </w:r>
      <w:r w:rsidR="00661C8E" w:rsidRPr="003E36C1">
        <w:rPr>
          <w:rFonts w:cstheme="minorHAnsi"/>
          <w:sz w:val="21"/>
          <w:szCs w:val="21"/>
        </w:rPr>
        <w:t xml:space="preserve">training offered by the Office of Distance Learning </w:t>
      </w:r>
      <w:r w:rsidR="001E2738" w:rsidRPr="003E36C1">
        <w:rPr>
          <w:rFonts w:cstheme="minorHAnsi"/>
          <w:sz w:val="21"/>
          <w:szCs w:val="21"/>
        </w:rPr>
        <w:t xml:space="preserve">(ODL) </w:t>
      </w:r>
      <w:r w:rsidR="00661C8E" w:rsidRPr="003E36C1">
        <w:rPr>
          <w:rFonts w:cstheme="minorHAnsi"/>
          <w:sz w:val="21"/>
          <w:szCs w:val="21"/>
        </w:rPr>
        <w:t>in</w:t>
      </w:r>
      <w:r w:rsidRPr="003E36C1">
        <w:rPr>
          <w:rFonts w:cstheme="minorHAnsi"/>
          <w:sz w:val="21"/>
          <w:szCs w:val="21"/>
        </w:rPr>
        <w:t xml:space="preserve"> </w:t>
      </w:r>
      <w:r w:rsidR="00661C8E" w:rsidRPr="003E36C1">
        <w:rPr>
          <w:rFonts w:cstheme="minorHAnsi"/>
          <w:sz w:val="21"/>
          <w:szCs w:val="21"/>
        </w:rPr>
        <w:t>hybrid, blended, and online (asynchronous) instruction prior to teaching in any of these modalities, and</w:t>
      </w:r>
    </w:p>
    <w:p w14:paraId="5AB0BEDB" w14:textId="735F7BDE" w:rsidR="00072AF0" w:rsidRPr="003E36C1" w:rsidRDefault="00072AF0" w:rsidP="0037507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4A9040B7" w14:textId="70601AE0" w:rsidR="00072AF0" w:rsidRPr="003E36C1" w:rsidRDefault="00072AF0" w:rsidP="00072AF0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3E36C1">
        <w:rPr>
          <w:i/>
          <w:iCs/>
          <w:sz w:val="21"/>
          <w:szCs w:val="21"/>
        </w:rPr>
        <w:t xml:space="preserve">Whereas </w:t>
      </w:r>
      <w:r w:rsidR="003E36C1">
        <w:rPr>
          <w:sz w:val="21"/>
          <w:szCs w:val="21"/>
        </w:rPr>
        <w:t xml:space="preserve">for several years </w:t>
      </w:r>
      <w:r w:rsidRPr="003E36C1">
        <w:rPr>
          <w:sz w:val="21"/>
          <w:szCs w:val="21"/>
        </w:rPr>
        <w:t xml:space="preserve">the ODL </w:t>
      </w:r>
      <w:r w:rsidR="00E117A7">
        <w:rPr>
          <w:sz w:val="21"/>
          <w:szCs w:val="21"/>
        </w:rPr>
        <w:t xml:space="preserve">incentivized </w:t>
      </w:r>
      <w:r w:rsidRPr="003E36C1">
        <w:rPr>
          <w:sz w:val="21"/>
          <w:szCs w:val="21"/>
        </w:rPr>
        <w:t xml:space="preserve">faculty training in distance modalities via the </w:t>
      </w:r>
      <w:r w:rsidR="0080542C">
        <w:rPr>
          <w:sz w:val="21"/>
          <w:szCs w:val="21"/>
        </w:rPr>
        <w:t>“Distance Stipend” and “</w:t>
      </w:r>
      <w:r w:rsidRPr="003E36C1">
        <w:rPr>
          <w:sz w:val="21"/>
          <w:szCs w:val="21"/>
        </w:rPr>
        <w:t>New Enhanced Distance Course Development</w:t>
      </w:r>
      <w:r w:rsidR="0080542C">
        <w:rPr>
          <w:sz w:val="21"/>
          <w:szCs w:val="21"/>
        </w:rPr>
        <w:t>”</w:t>
      </w:r>
      <w:r w:rsidRPr="003E36C1">
        <w:rPr>
          <w:sz w:val="21"/>
          <w:szCs w:val="21"/>
        </w:rPr>
        <w:t xml:space="preserve"> initiative</w:t>
      </w:r>
      <w:r w:rsidR="0080542C">
        <w:rPr>
          <w:sz w:val="21"/>
          <w:szCs w:val="21"/>
        </w:rPr>
        <w:t>s</w:t>
      </w:r>
      <w:r w:rsidRPr="003E36C1">
        <w:rPr>
          <w:sz w:val="21"/>
          <w:szCs w:val="21"/>
        </w:rPr>
        <w:t xml:space="preserve">, </w:t>
      </w:r>
      <w:r w:rsidR="00E117A7">
        <w:rPr>
          <w:sz w:val="21"/>
          <w:szCs w:val="21"/>
        </w:rPr>
        <w:t>which offered</w:t>
      </w:r>
      <w:r w:rsidR="0080542C">
        <w:rPr>
          <w:sz w:val="21"/>
          <w:szCs w:val="21"/>
        </w:rPr>
        <w:t xml:space="preserve"> financial compensation for training and course development,</w:t>
      </w:r>
      <w:r w:rsidR="00E117A7">
        <w:rPr>
          <w:sz w:val="21"/>
          <w:szCs w:val="21"/>
        </w:rPr>
        <w:t xml:space="preserve"> </w:t>
      </w:r>
      <w:r w:rsidRPr="003E36C1">
        <w:rPr>
          <w:sz w:val="21"/>
          <w:szCs w:val="21"/>
        </w:rPr>
        <w:t>and</w:t>
      </w:r>
    </w:p>
    <w:p w14:paraId="3E3C027A" w14:textId="77777777" w:rsidR="00072AF0" w:rsidRPr="003E36C1" w:rsidRDefault="00072AF0" w:rsidP="00072AF0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3B173215" w14:textId="3E217D5F" w:rsidR="00072AF0" w:rsidRPr="003E36C1" w:rsidRDefault="00072AF0" w:rsidP="00072AF0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80542C">
        <w:rPr>
          <w:i/>
          <w:iCs/>
          <w:sz w:val="21"/>
          <w:szCs w:val="21"/>
        </w:rPr>
        <w:t>Whereas</w:t>
      </w:r>
      <w:r w:rsidRPr="003E36C1">
        <w:rPr>
          <w:sz w:val="21"/>
          <w:szCs w:val="21"/>
        </w:rPr>
        <w:t xml:space="preserve"> the stipend attached to th</w:t>
      </w:r>
      <w:r w:rsidR="0080542C">
        <w:rPr>
          <w:sz w:val="21"/>
          <w:szCs w:val="21"/>
        </w:rPr>
        <w:t>ese</w:t>
      </w:r>
      <w:r w:rsidRPr="003E36C1">
        <w:rPr>
          <w:sz w:val="21"/>
          <w:szCs w:val="21"/>
        </w:rPr>
        <w:t xml:space="preserve"> ODL initiative</w:t>
      </w:r>
      <w:r w:rsidR="0080542C">
        <w:rPr>
          <w:sz w:val="21"/>
          <w:szCs w:val="21"/>
        </w:rPr>
        <w:t>s</w:t>
      </w:r>
      <w:r w:rsidRPr="003E36C1">
        <w:rPr>
          <w:sz w:val="21"/>
          <w:szCs w:val="21"/>
        </w:rPr>
        <w:t xml:space="preserve"> served as an acknowledgement of the labor required to learn</w:t>
      </w:r>
      <w:r w:rsidR="00CE31BF">
        <w:rPr>
          <w:sz w:val="21"/>
          <w:szCs w:val="21"/>
        </w:rPr>
        <w:t xml:space="preserve"> and apply</w:t>
      </w:r>
      <w:r w:rsidRPr="003E36C1">
        <w:rPr>
          <w:sz w:val="21"/>
          <w:szCs w:val="21"/>
        </w:rPr>
        <w:t xml:space="preserve"> best practices in new modalities, and</w:t>
      </w:r>
    </w:p>
    <w:p w14:paraId="03E933D0" w14:textId="77777777" w:rsidR="00072AF0" w:rsidRPr="003E36C1" w:rsidRDefault="00072AF0" w:rsidP="00072AF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272C06ED" w14:textId="5F24992E" w:rsidR="00072AF0" w:rsidRPr="003E36C1" w:rsidRDefault="00072AF0" w:rsidP="00072AF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80542C">
        <w:rPr>
          <w:rFonts w:cstheme="minorHAnsi"/>
          <w:i/>
          <w:iCs/>
          <w:sz w:val="21"/>
          <w:szCs w:val="21"/>
        </w:rPr>
        <w:t>Whereas</w:t>
      </w:r>
      <w:r w:rsidRPr="003E36C1">
        <w:rPr>
          <w:rFonts w:cstheme="minorHAnsi"/>
          <w:sz w:val="21"/>
          <w:szCs w:val="21"/>
        </w:rPr>
        <w:t xml:space="preserve"> the faculty recognizes the</w:t>
      </w:r>
      <w:r w:rsidR="00CE31BF">
        <w:rPr>
          <w:rFonts w:cstheme="minorHAnsi"/>
          <w:sz w:val="21"/>
          <w:szCs w:val="21"/>
        </w:rPr>
        <w:t xml:space="preserve"> </w:t>
      </w:r>
      <w:r w:rsidRPr="003E36C1">
        <w:rPr>
          <w:rFonts w:cstheme="minorHAnsi"/>
          <w:sz w:val="21"/>
          <w:szCs w:val="21"/>
        </w:rPr>
        <w:t>un- and under-paid labor of our adjunct colleagues</w:t>
      </w:r>
      <w:r w:rsidR="00CE31BF">
        <w:rPr>
          <w:rFonts w:cstheme="minorHAnsi"/>
          <w:sz w:val="21"/>
          <w:szCs w:val="21"/>
        </w:rPr>
        <w:t xml:space="preserve"> in their efforts</w:t>
      </w:r>
      <w:r w:rsidRPr="003E36C1">
        <w:rPr>
          <w:rFonts w:cstheme="minorHAnsi"/>
          <w:sz w:val="21"/>
          <w:szCs w:val="21"/>
        </w:rPr>
        <w:t xml:space="preserve"> to contribute high quality instruction to Old Westbury students, and</w:t>
      </w:r>
    </w:p>
    <w:p w14:paraId="311FDA60" w14:textId="130F2565" w:rsidR="00072AF0" w:rsidRPr="003E36C1" w:rsidRDefault="00072AF0" w:rsidP="0037507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54C1BE75" w14:textId="5AD48136" w:rsidR="00072AF0" w:rsidRPr="003E36C1" w:rsidRDefault="00072AF0" w:rsidP="00072AF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3E36C1">
        <w:rPr>
          <w:rFonts w:cstheme="minorHAnsi"/>
          <w:i/>
          <w:iCs/>
          <w:sz w:val="21"/>
          <w:szCs w:val="21"/>
        </w:rPr>
        <w:t xml:space="preserve">Whereas </w:t>
      </w:r>
      <w:r w:rsidR="003E36C1" w:rsidRPr="003E36C1">
        <w:rPr>
          <w:rFonts w:cstheme="minorHAnsi"/>
          <w:sz w:val="21"/>
          <w:szCs w:val="21"/>
        </w:rPr>
        <w:t xml:space="preserve">in Spring 2020 </w:t>
      </w:r>
      <w:r w:rsidRPr="003E36C1">
        <w:rPr>
          <w:rFonts w:cstheme="minorHAnsi"/>
          <w:sz w:val="21"/>
          <w:szCs w:val="21"/>
        </w:rPr>
        <w:t xml:space="preserve">the Faculty Senate voted in </w:t>
      </w:r>
      <w:r w:rsidR="003E36C1" w:rsidRPr="003E36C1">
        <w:rPr>
          <w:rFonts w:cstheme="minorHAnsi"/>
          <w:sz w:val="21"/>
          <w:szCs w:val="21"/>
        </w:rPr>
        <w:t xml:space="preserve">support of </w:t>
      </w:r>
      <w:r w:rsidRPr="003E36C1">
        <w:rPr>
          <w:rFonts w:cstheme="minorHAnsi"/>
          <w:sz w:val="21"/>
          <w:szCs w:val="21"/>
        </w:rPr>
        <w:t>compensati</w:t>
      </w:r>
      <w:r w:rsidR="003E36C1" w:rsidRPr="003E36C1">
        <w:rPr>
          <w:rFonts w:cstheme="minorHAnsi"/>
          <w:sz w:val="21"/>
          <w:szCs w:val="21"/>
        </w:rPr>
        <w:t>ng adjunct faculty for the immense workload associated with transitioning courses to remote instruction,</w:t>
      </w:r>
      <w:r w:rsidR="00952AFE">
        <w:rPr>
          <w:rFonts w:cstheme="minorHAnsi"/>
          <w:sz w:val="21"/>
          <w:szCs w:val="21"/>
        </w:rPr>
        <w:t xml:space="preserve"> and</w:t>
      </w:r>
    </w:p>
    <w:p w14:paraId="44C4E928" w14:textId="77777777" w:rsidR="00072AF0" w:rsidRPr="003E36C1" w:rsidRDefault="00072AF0" w:rsidP="00072AF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51316BC3" w14:textId="77777777" w:rsidR="00072AF0" w:rsidRPr="003E36C1" w:rsidRDefault="00072AF0" w:rsidP="00072AF0">
      <w:pPr>
        <w:rPr>
          <w:rFonts w:cstheme="minorHAnsi"/>
          <w:sz w:val="21"/>
          <w:szCs w:val="21"/>
        </w:rPr>
      </w:pPr>
      <w:r w:rsidRPr="003E36C1">
        <w:rPr>
          <w:rFonts w:cstheme="minorHAnsi"/>
          <w:i/>
          <w:iCs/>
          <w:sz w:val="21"/>
          <w:szCs w:val="21"/>
        </w:rPr>
        <w:t xml:space="preserve">Whereas </w:t>
      </w:r>
      <w:r w:rsidRPr="003E36C1">
        <w:rPr>
          <w:rFonts w:cstheme="minorHAnsi"/>
          <w:sz w:val="21"/>
          <w:szCs w:val="21"/>
        </w:rPr>
        <w:t>the faculty supports continuing opportunities to develop our teaching practice, and to engage with and learn from colleagues on issues of pedagogy,</w:t>
      </w:r>
    </w:p>
    <w:p w14:paraId="3CE1C915" w14:textId="77777777" w:rsidR="00072AF0" w:rsidRPr="003E36C1" w:rsidRDefault="00072AF0" w:rsidP="00375077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7C397E81" w14:textId="03869816" w:rsidR="001370C7" w:rsidRPr="003E36C1" w:rsidRDefault="001370C7" w:rsidP="00B443D3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5D852B67" w14:textId="77777777" w:rsidR="0034290B" w:rsidRPr="003E36C1" w:rsidRDefault="0034290B" w:rsidP="00B443D3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75F67557" w14:textId="0ED4A945" w:rsidR="004F1120" w:rsidRDefault="00B443D3" w:rsidP="00BB11BC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CE31BF">
        <w:rPr>
          <w:rFonts w:cstheme="minorHAnsi"/>
          <w:sz w:val="21"/>
          <w:szCs w:val="21"/>
        </w:rPr>
        <w:t xml:space="preserve">Therefore, </w:t>
      </w:r>
      <w:r w:rsidRPr="00CE31BF">
        <w:rPr>
          <w:rFonts w:cstheme="minorHAnsi"/>
          <w:b/>
          <w:bCs/>
          <w:sz w:val="21"/>
          <w:szCs w:val="21"/>
        </w:rPr>
        <w:t>be it resolved</w:t>
      </w:r>
      <w:r w:rsidRPr="00CE31BF">
        <w:rPr>
          <w:rFonts w:cstheme="minorHAnsi"/>
          <w:sz w:val="21"/>
          <w:szCs w:val="21"/>
        </w:rPr>
        <w:t xml:space="preserve"> that </w:t>
      </w:r>
      <w:r w:rsidR="5526DF75" w:rsidRPr="00CE31BF">
        <w:rPr>
          <w:sz w:val="21"/>
          <w:szCs w:val="21"/>
        </w:rPr>
        <w:t xml:space="preserve">the faculty encourages the College to </w:t>
      </w:r>
      <w:r w:rsidR="00CE31BF">
        <w:rPr>
          <w:sz w:val="21"/>
          <w:szCs w:val="21"/>
        </w:rPr>
        <w:t>explore and pursue</w:t>
      </w:r>
      <w:r w:rsidR="5526DF75" w:rsidRPr="00CE31BF">
        <w:rPr>
          <w:sz w:val="21"/>
          <w:szCs w:val="21"/>
        </w:rPr>
        <w:t xml:space="preserve"> opportunities to compensate </w:t>
      </w:r>
      <w:r w:rsidR="00212A6E" w:rsidRPr="00CE31BF">
        <w:rPr>
          <w:sz w:val="21"/>
          <w:szCs w:val="21"/>
        </w:rPr>
        <w:t xml:space="preserve">adjunct faculty for </w:t>
      </w:r>
      <w:r w:rsidR="0080542C">
        <w:rPr>
          <w:sz w:val="21"/>
          <w:szCs w:val="21"/>
        </w:rPr>
        <w:t xml:space="preserve">continued </w:t>
      </w:r>
      <w:r w:rsidR="00212A6E" w:rsidRPr="00CE31BF">
        <w:rPr>
          <w:sz w:val="21"/>
          <w:szCs w:val="21"/>
        </w:rPr>
        <w:t xml:space="preserve">pedagogical </w:t>
      </w:r>
      <w:r w:rsidR="00CE31BF">
        <w:rPr>
          <w:sz w:val="21"/>
          <w:szCs w:val="21"/>
        </w:rPr>
        <w:t>development</w:t>
      </w:r>
      <w:r w:rsidR="5526DF75" w:rsidRPr="00CE31BF">
        <w:rPr>
          <w:sz w:val="21"/>
          <w:szCs w:val="21"/>
        </w:rPr>
        <w:t>, for example,</w:t>
      </w:r>
      <w:r w:rsidR="003E36C1" w:rsidRPr="00CE31BF">
        <w:rPr>
          <w:sz w:val="21"/>
          <w:szCs w:val="21"/>
        </w:rPr>
        <w:t xml:space="preserve"> by offering financial incentives </w:t>
      </w:r>
      <w:r w:rsidR="5526DF75" w:rsidRPr="00CE31BF">
        <w:rPr>
          <w:sz w:val="21"/>
          <w:szCs w:val="21"/>
        </w:rPr>
        <w:t xml:space="preserve">to </w:t>
      </w:r>
      <w:r w:rsidR="003E36C1" w:rsidRPr="00CE31BF">
        <w:rPr>
          <w:sz w:val="21"/>
          <w:szCs w:val="21"/>
        </w:rPr>
        <w:t xml:space="preserve">participate in </w:t>
      </w:r>
      <w:r w:rsidR="00CE31BF">
        <w:rPr>
          <w:sz w:val="21"/>
          <w:szCs w:val="21"/>
        </w:rPr>
        <w:t xml:space="preserve">or lead </w:t>
      </w:r>
      <w:r w:rsidR="5526DF75" w:rsidRPr="00CE31BF">
        <w:rPr>
          <w:sz w:val="21"/>
          <w:szCs w:val="21"/>
        </w:rPr>
        <w:t xml:space="preserve">Innovation Laboratory </w:t>
      </w:r>
      <w:r w:rsidR="00CE31BF">
        <w:rPr>
          <w:sz w:val="21"/>
          <w:szCs w:val="21"/>
        </w:rPr>
        <w:t xml:space="preserve">or ODL </w:t>
      </w:r>
      <w:r w:rsidR="00CE31BF" w:rsidRPr="00CE31BF">
        <w:rPr>
          <w:sz w:val="21"/>
          <w:szCs w:val="21"/>
        </w:rPr>
        <w:t>workshops</w:t>
      </w:r>
      <w:r w:rsidR="00CE31BF">
        <w:rPr>
          <w:sz w:val="21"/>
          <w:szCs w:val="21"/>
        </w:rPr>
        <w:t>/training</w:t>
      </w:r>
      <w:r w:rsidR="5526DF75" w:rsidRPr="00CE31BF">
        <w:rPr>
          <w:sz w:val="21"/>
          <w:szCs w:val="21"/>
        </w:rPr>
        <w:t>.</w:t>
      </w:r>
    </w:p>
    <w:p w14:paraId="04172CE2" w14:textId="08218770" w:rsidR="00CE31BF" w:rsidRDefault="00CE31BF" w:rsidP="00BB11BC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0955830C" w14:textId="30910F0B" w:rsidR="00CE31BF" w:rsidRDefault="00CE31BF" w:rsidP="00BB11BC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47FAEEDD" w14:textId="256DDDE5" w:rsidR="00CE31BF" w:rsidRDefault="00CE31BF" w:rsidP="00BB11BC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02E6558A" w14:textId="596C3D36" w:rsidR="00952AFE" w:rsidRDefault="00952AFE" w:rsidP="00BB11BC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287535A9" w14:textId="3398543C" w:rsidR="00952AFE" w:rsidRDefault="00952AFE" w:rsidP="00BB11BC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75E45258" w14:textId="5337DDEC" w:rsidR="00952AFE" w:rsidRDefault="00952AFE" w:rsidP="00BB11BC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21498C90" w14:textId="1DA24462" w:rsidR="00952AFE" w:rsidRDefault="00952AFE" w:rsidP="00BB11BC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752635CC" w14:textId="77777777" w:rsidR="00952AFE" w:rsidRPr="003E36C1" w:rsidRDefault="00952AFE" w:rsidP="00BB11BC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14:paraId="7A822D6C" w14:textId="77777777" w:rsidR="00BB11BC" w:rsidRPr="00DE7603" w:rsidRDefault="00BB11BC" w:rsidP="00125726">
      <w:pPr>
        <w:rPr>
          <w:rFonts w:cstheme="minorHAnsi"/>
          <w:b/>
          <w:bCs/>
          <w:sz w:val="21"/>
          <w:szCs w:val="21"/>
          <w:highlight w:val="yellow"/>
        </w:rPr>
      </w:pPr>
    </w:p>
    <w:p w14:paraId="03EA336C" w14:textId="77777777" w:rsidR="003E36C1" w:rsidRDefault="003E36C1" w:rsidP="003E36C1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Sponsored by: Teaching and Learning Resources Committee, Executive Committee of the Faculty Senate </w:t>
      </w:r>
    </w:p>
    <w:p w14:paraId="03727556" w14:textId="4485AB92" w:rsidR="0017467D" w:rsidRPr="0034290B" w:rsidRDefault="0017467D">
      <w:pPr>
        <w:rPr>
          <w:rFonts w:cstheme="minorHAnsi"/>
          <w:sz w:val="20"/>
          <w:szCs w:val="20"/>
        </w:rPr>
      </w:pPr>
    </w:p>
    <w:sectPr w:rsidR="0017467D" w:rsidRPr="0034290B" w:rsidSect="0034290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EB040" w14:textId="77777777" w:rsidR="005D3681" w:rsidRDefault="005D3681" w:rsidP="00661C8E">
      <w:pPr>
        <w:spacing w:after="0" w:line="240" w:lineRule="auto"/>
      </w:pPr>
      <w:r>
        <w:separator/>
      </w:r>
    </w:p>
  </w:endnote>
  <w:endnote w:type="continuationSeparator" w:id="0">
    <w:p w14:paraId="254098F0" w14:textId="77777777" w:rsidR="005D3681" w:rsidRDefault="005D3681" w:rsidP="0066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87086" w14:textId="77777777" w:rsidR="005D3681" w:rsidRDefault="005D3681" w:rsidP="00661C8E">
      <w:pPr>
        <w:spacing w:after="0" w:line="240" w:lineRule="auto"/>
      </w:pPr>
      <w:r>
        <w:separator/>
      </w:r>
    </w:p>
  </w:footnote>
  <w:footnote w:type="continuationSeparator" w:id="0">
    <w:p w14:paraId="68FB2C23" w14:textId="77777777" w:rsidR="005D3681" w:rsidRDefault="005D3681" w:rsidP="00661C8E">
      <w:pPr>
        <w:spacing w:after="0" w:line="240" w:lineRule="auto"/>
      </w:pPr>
      <w:r>
        <w:continuationSeparator/>
      </w:r>
    </w:p>
  </w:footnote>
  <w:footnote w:id="1">
    <w:p w14:paraId="5094F8BC" w14:textId="028B3493" w:rsidR="00661C8E" w:rsidRDefault="00661C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1C8E">
        <w:t>https://www.oldwestbury.edu/policies/distance-learning-policies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47"/>
    <w:rsid w:val="00072AF0"/>
    <w:rsid w:val="000920F1"/>
    <w:rsid w:val="000E5FFF"/>
    <w:rsid w:val="00112983"/>
    <w:rsid w:val="00125726"/>
    <w:rsid w:val="001370C7"/>
    <w:rsid w:val="00165C54"/>
    <w:rsid w:val="0017467D"/>
    <w:rsid w:val="001E2738"/>
    <w:rsid w:val="00212A6E"/>
    <w:rsid w:val="002C6948"/>
    <w:rsid w:val="0034290B"/>
    <w:rsid w:val="00375077"/>
    <w:rsid w:val="003E36C1"/>
    <w:rsid w:val="004A5E14"/>
    <w:rsid w:val="004F1120"/>
    <w:rsid w:val="00513547"/>
    <w:rsid w:val="005D3681"/>
    <w:rsid w:val="00611218"/>
    <w:rsid w:val="00661C8E"/>
    <w:rsid w:val="007823EE"/>
    <w:rsid w:val="0080542C"/>
    <w:rsid w:val="00943776"/>
    <w:rsid w:val="009451AD"/>
    <w:rsid w:val="00952AFE"/>
    <w:rsid w:val="009F1E38"/>
    <w:rsid w:val="00AB32E3"/>
    <w:rsid w:val="00B443D3"/>
    <w:rsid w:val="00BB11BC"/>
    <w:rsid w:val="00BE760C"/>
    <w:rsid w:val="00CB1E5C"/>
    <w:rsid w:val="00CE31BF"/>
    <w:rsid w:val="00D63396"/>
    <w:rsid w:val="00DE7603"/>
    <w:rsid w:val="00E117A7"/>
    <w:rsid w:val="023ABA85"/>
    <w:rsid w:val="5526DF75"/>
    <w:rsid w:val="60CB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C5D6"/>
  <w15:chartTrackingRefBased/>
  <w15:docId w15:val="{776D19C6-0971-470E-ADA7-20A861C0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61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1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1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FB21B-72F0-4DE6-9C53-F6E38CF5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Crocker</dc:creator>
  <cp:keywords/>
  <dc:description/>
  <cp:lastModifiedBy>Jillian Crocker</cp:lastModifiedBy>
  <cp:revision>2</cp:revision>
  <dcterms:created xsi:type="dcterms:W3CDTF">2021-03-08T13:52:00Z</dcterms:created>
  <dcterms:modified xsi:type="dcterms:W3CDTF">2021-03-08T13:52:00Z</dcterms:modified>
</cp:coreProperties>
</file>