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C69B" w14:textId="162D2CA1" w:rsidR="002A79FD" w:rsidRPr="00811911" w:rsidRDefault="00EC4FA8" w:rsidP="0048489F">
      <w:pPr>
        <w:tabs>
          <w:tab w:val="left" w:pos="5820"/>
        </w:tabs>
        <w:spacing w:after="0" w:line="240" w:lineRule="auto"/>
        <w:ind w:right="-360"/>
        <w:rPr>
          <w:rFonts w:cstheme="minorHAnsi"/>
          <w:b/>
        </w:rPr>
      </w:pPr>
      <w:r>
        <w:rPr>
          <w:rFonts w:cstheme="minorHAnsi"/>
          <w:b/>
        </w:rPr>
        <w:t>Submitted by Joanne Spadaro</w:t>
      </w:r>
      <w:r w:rsidR="0048489F" w:rsidRPr="00811911">
        <w:rPr>
          <w:rFonts w:cstheme="minorHAnsi"/>
          <w:b/>
        </w:rPr>
        <w:tab/>
      </w:r>
    </w:p>
    <w:p w14:paraId="33F51255" w14:textId="66E21A5E" w:rsidR="00C41C03" w:rsidRPr="00881A15" w:rsidRDefault="0078138D" w:rsidP="002A79FD">
      <w:pPr>
        <w:spacing w:after="0" w:line="240" w:lineRule="auto"/>
        <w:ind w:right="-360"/>
        <w:rPr>
          <w:rFonts w:cstheme="minorHAnsi"/>
          <w:b/>
        </w:rPr>
      </w:pPr>
      <w:r>
        <w:rPr>
          <w:rFonts w:cstheme="minorHAnsi"/>
          <w:b/>
        </w:rPr>
        <w:t>November</w:t>
      </w:r>
      <w:r w:rsidR="0074463A">
        <w:rPr>
          <w:rFonts w:cstheme="minorHAnsi"/>
          <w:b/>
        </w:rPr>
        <w:t xml:space="preserve"> 27</w:t>
      </w:r>
      <w:r w:rsidR="00FC2292">
        <w:rPr>
          <w:rFonts w:cstheme="minorHAnsi"/>
          <w:b/>
        </w:rPr>
        <w:t xml:space="preserve">, </w:t>
      </w:r>
      <w:r w:rsidR="0022380D" w:rsidRPr="00881A15">
        <w:rPr>
          <w:rFonts w:cstheme="minorHAnsi"/>
          <w:b/>
        </w:rPr>
        <w:t>2020</w:t>
      </w:r>
    </w:p>
    <w:p w14:paraId="5BCD218A" w14:textId="77777777" w:rsidR="00A149D7" w:rsidRPr="00881A15" w:rsidRDefault="00A149D7" w:rsidP="000473C2">
      <w:pPr>
        <w:spacing w:after="0" w:line="240" w:lineRule="auto"/>
        <w:ind w:left="-360" w:right="-360"/>
        <w:rPr>
          <w:rStyle w:val="Emphasis"/>
          <w:rFonts w:cstheme="minorHAnsi"/>
          <w:i w:val="0"/>
        </w:rPr>
      </w:pPr>
    </w:p>
    <w:p w14:paraId="678CA317" w14:textId="77777777" w:rsidR="00A86CFB" w:rsidRPr="00881A15" w:rsidRDefault="00B871C0" w:rsidP="00D86AC7">
      <w:pPr>
        <w:spacing w:after="0" w:line="240" w:lineRule="auto"/>
        <w:rPr>
          <w:rFonts w:cstheme="minorHAnsi"/>
          <w:b/>
        </w:rPr>
      </w:pPr>
      <w:r w:rsidRPr="00881A15">
        <w:rPr>
          <w:rFonts w:cstheme="minorHAnsi"/>
          <w:b/>
        </w:rPr>
        <w:t xml:space="preserve">I. </w:t>
      </w:r>
      <w:r w:rsidR="00A73F3C" w:rsidRPr="00881A15">
        <w:rPr>
          <w:rFonts w:cstheme="minorHAnsi"/>
          <w:b/>
        </w:rPr>
        <w:t>Membership</w:t>
      </w:r>
    </w:p>
    <w:p w14:paraId="1EAE116D" w14:textId="4B6A8D53" w:rsidR="007416BF" w:rsidRDefault="00461EB3" w:rsidP="00D86AC7">
      <w:pPr>
        <w:spacing w:after="0" w:line="240" w:lineRule="auto"/>
        <w:rPr>
          <w:rFonts w:cstheme="minorHAnsi"/>
        </w:rPr>
      </w:pPr>
      <w:r w:rsidRPr="00881A15">
        <w:rPr>
          <w:rFonts w:cstheme="minorHAnsi"/>
        </w:rPr>
        <w:t xml:space="preserve">The </w:t>
      </w:r>
      <w:r w:rsidR="00AC5B93" w:rsidRPr="00881A15">
        <w:rPr>
          <w:rFonts w:cstheme="minorHAnsi"/>
        </w:rPr>
        <w:t xml:space="preserve">current </w:t>
      </w:r>
      <w:r w:rsidRPr="00881A15">
        <w:rPr>
          <w:rFonts w:cstheme="minorHAnsi"/>
        </w:rPr>
        <w:t>membership of the Ad Hoc O</w:t>
      </w:r>
      <w:r w:rsidR="001B059F" w:rsidRPr="00881A15">
        <w:rPr>
          <w:rFonts w:cstheme="minorHAnsi"/>
        </w:rPr>
        <w:t xml:space="preserve">pen Educational Resources </w:t>
      </w:r>
      <w:r w:rsidRPr="00881A15">
        <w:rPr>
          <w:rFonts w:cstheme="minorHAnsi"/>
        </w:rPr>
        <w:t xml:space="preserve">Committee </w:t>
      </w:r>
      <w:r w:rsidR="00AB2706" w:rsidRPr="00881A15">
        <w:rPr>
          <w:rFonts w:cstheme="minorHAnsi"/>
        </w:rPr>
        <w:t>co</w:t>
      </w:r>
      <w:r w:rsidR="001139AD" w:rsidRPr="00881A15">
        <w:rPr>
          <w:rFonts w:cstheme="minorHAnsi"/>
        </w:rPr>
        <w:t xml:space="preserve">nsists of </w:t>
      </w:r>
      <w:r w:rsidR="00753A5E">
        <w:rPr>
          <w:rFonts w:cstheme="minorHAnsi"/>
        </w:rPr>
        <w:t>t</w:t>
      </w:r>
      <w:r w:rsidR="006C6460">
        <w:rPr>
          <w:rFonts w:cstheme="minorHAnsi"/>
        </w:rPr>
        <w:t>hree</w:t>
      </w:r>
      <w:r w:rsidR="00753A5E">
        <w:rPr>
          <w:rFonts w:cstheme="minorHAnsi"/>
        </w:rPr>
        <w:t xml:space="preserve"> </w:t>
      </w:r>
      <w:r w:rsidR="00A35D62" w:rsidRPr="00881A15">
        <w:rPr>
          <w:rFonts w:cstheme="minorHAnsi"/>
        </w:rPr>
        <w:t>full-time, tenure-</w:t>
      </w:r>
      <w:r w:rsidR="00AB2706" w:rsidRPr="00881A15">
        <w:rPr>
          <w:rFonts w:cstheme="minorHAnsi"/>
        </w:rPr>
        <w:t>stream</w:t>
      </w:r>
      <w:r w:rsidR="00674574" w:rsidRPr="00881A15">
        <w:rPr>
          <w:rFonts w:cstheme="minorHAnsi"/>
        </w:rPr>
        <w:t>ed</w:t>
      </w:r>
      <w:r w:rsidR="00AB2706" w:rsidRPr="00881A15">
        <w:rPr>
          <w:rFonts w:cstheme="minorHAnsi"/>
        </w:rPr>
        <w:t xml:space="preserve"> faculty </w:t>
      </w:r>
      <w:r w:rsidR="002F5F6F" w:rsidRPr="00881A15">
        <w:rPr>
          <w:rFonts w:cstheme="minorHAnsi"/>
        </w:rPr>
        <w:t xml:space="preserve">members </w:t>
      </w:r>
      <w:r w:rsidR="001139AD" w:rsidRPr="00881A15">
        <w:rPr>
          <w:rFonts w:cstheme="minorHAnsi"/>
        </w:rPr>
        <w:t xml:space="preserve">(three of </w:t>
      </w:r>
      <w:r w:rsidR="00FB7B18" w:rsidRPr="00881A15">
        <w:rPr>
          <w:rFonts w:cstheme="minorHAnsi"/>
        </w:rPr>
        <w:t>whom</w:t>
      </w:r>
      <w:r w:rsidR="00885E99" w:rsidRPr="00881A15">
        <w:rPr>
          <w:rFonts w:cstheme="minorHAnsi"/>
        </w:rPr>
        <w:t xml:space="preserve"> </w:t>
      </w:r>
      <w:r w:rsidR="001139AD" w:rsidRPr="00881A15">
        <w:rPr>
          <w:rFonts w:cstheme="minorHAnsi"/>
        </w:rPr>
        <w:t xml:space="preserve">have </w:t>
      </w:r>
      <w:r w:rsidR="00AB2706" w:rsidRPr="00881A15">
        <w:rPr>
          <w:rFonts w:cstheme="minorHAnsi"/>
        </w:rPr>
        <w:t xml:space="preserve">taught </w:t>
      </w:r>
      <w:r w:rsidR="00BB320C" w:rsidRPr="00881A15">
        <w:rPr>
          <w:rFonts w:cstheme="minorHAnsi"/>
        </w:rPr>
        <w:t>o</w:t>
      </w:r>
      <w:r w:rsidR="001B059F" w:rsidRPr="00881A15">
        <w:rPr>
          <w:rFonts w:cstheme="minorHAnsi"/>
        </w:rPr>
        <w:t xml:space="preserve">ne </w:t>
      </w:r>
      <w:r w:rsidR="00BB320C" w:rsidRPr="00881A15">
        <w:rPr>
          <w:rFonts w:cstheme="minorHAnsi"/>
        </w:rPr>
        <w:t xml:space="preserve">or more </w:t>
      </w:r>
      <w:r w:rsidR="00AB2706" w:rsidRPr="00881A15">
        <w:rPr>
          <w:rFonts w:cstheme="minorHAnsi"/>
        </w:rPr>
        <w:t>OER course</w:t>
      </w:r>
      <w:r w:rsidR="00BB320C" w:rsidRPr="00881A15">
        <w:rPr>
          <w:rFonts w:cstheme="minorHAnsi"/>
        </w:rPr>
        <w:t>s</w:t>
      </w:r>
      <w:r w:rsidR="001139AD" w:rsidRPr="00881A15">
        <w:rPr>
          <w:rFonts w:cstheme="minorHAnsi"/>
        </w:rPr>
        <w:t xml:space="preserve">) </w:t>
      </w:r>
      <w:r w:rsidR="00A35D62" w:rsidRPr="00881A15">
        <w:rPr>
          <w:rFonts w:cstheme="minorHAnsi"/>
        </w:rPr>
        <w:t>the O</w:t>
      </w:r>
      <w:r w:rsidR="001B059F" w:rsidRPr="00881A15">
        <w:rPr>
          <w:rFonts w:cstheme="minorHAnsi"/>
        </w:rPr>
        <w:t xml:space="preserve">ER </w:t>
      </w:r>
      <w:r w:rsidR="00A35D62" w:rsidRPr="00881A15">
        <w:rPr>
          <w:rFonts w:cstheme="minorHAnsi"/>
        </w:rPr>
        <w:t>Librarian</w:t>
      </w:r>
      <w:r w:rsidR="00DD47AB" w:rsidRPr="00881A15">
        <w:rPr>
          <w:rFonts w:cstheme="minorHAnsi"/>
        </w:rPr>
        <w:t xml:space="preserve"> (tenured</w:t>
      </w:r>
      <w:r w:rsidR="001B059F" w:rsidRPr="00881A15">
        <w:rPr>
          <w:rFonts w:cstheme="minorHAnsi"/>
        </w:rPr>
        <w:t>)</w:t>
      </w:r>
      <w:r w:rsidR="005E50B7" w:rsidRPr="00881A15">
        <w:rPr>
          <w:rFonts w:cstheme="minorHAnsi"/>
        </w:rPr>
        <w:t>, a full-time, tenure-</w:t>
      </w:r>
      <w:r w:rsidR="00A35D62" w:rsidRPr="00881A15">
        <w:rPr>
          <w:rFonts w:cstheme="minorHAnsi"/>
        </w:rPr>
        <w:t xml:space="preserve">streamed </w:t>
      </w:r>
      <w:r w:rsidR="000D5407" w:rsidRPr="00881A15">
        <w:rPr>
          <w:rFonts w:cstheme="minorHAnsi"/>
        </w:rPr>
        <w:t xml:space="preserve">faculty </w:t>
      </w:r>
      <w:r w:rsidR="00A35D62" w:rsidRPr="00881A15">
        <w:rPr>
          <w:rFonts w:cstheme="minorHAnsi"/>
        </w:rPr>
        <w:t>librarian with knowledge of OER, a student representative designated by the S</w:t>
      </w:r>
      <w:r w:rsidR="001B059F" w:rsidRPr="00881A15">
        <w:rPr>
          <w:rFonts w:cstheme="minorHAnsi"/>
        </w:rPr>
        <w:t>G</w:t>
      </w:r>
      <w:r w:rsidR="00A73F3C" w:rsidRPr="00881A15">
        <w:rPr>
          <w:rFonts w:cstheme="minorHAnsi"/>
        </w:rPr>
        <w:t xml:space="preserve">A </w:t>
      </w:r>
      <w:r w:rsidR="00A35D62" w:rsidRPr="00881A15">
        <w:rPr>
          <w:rFonts w:cstheme="minorHAnsi"/>
        </w:rPr>
        <w:t>Executive Board, the</w:t>
      </w:r>
      <w:r w:rsidR="00D50BF0">
        <w:rPr>
          <w:rFonts w:cstheme="minorHAnsi"/>
        </w:rPr>
        <w:t xml:space="preserve"> Manager of</w:t>
      </w:r>
      <w:r w:rsidR="00A35D62" w:rsidRPr="00881A15">
        <w:rPr>
          <w:rFonts w:cstheme="minorHAnsi"/>
        </w:rPr>
        <w:t xml:space="preserve"> Instructional Design, and the OER liaison for Academic Affairs. </w:t>
      </w:r>
      <w:r w:rsidR="00825499" w:rsidRPr="00881A15">
        <w:rPr>
          <w:rFonts w:cstheme="minorHAnsi"/>
        </w:rPr>
        <w:t xml:space="preserve"> Veronika</w:t>
      </w:r>
      <w:r w:rsidR="00980F7D" w:rsidRPr="00881A15">
        <w:rPr>
          <w:rFonts w:cstheme="minorHAnsi"/>
        </w:rPr>
        <w:t xml:space="preserve"> </w:t>
      </w:r>
      <w:proofErr w:type="spellStart"/>
      <w:r w:rsidR="00980F7D" w:rsidRPr="00881A15">
        <w:rPr>
          <w:rFonts w:cstheme="minorHAnsi"/>
        </w:rPr>
        <w:t>Dolar</w:t>
      </w:r>
      <w:proofErr w:type="spellEnd"/>
      <w:r w:rsidR="00980F7D" w:rsidRPr="00881A15">
        <w:rPr>
          <w:rFonts w:cstheme="minorHAnsi"/>
        </w:rPr>
        <w:t xml:space="preserve"> and Joanne Spadaro serve</w:t>
      </w:r>
      <w:r w:rsidR="00825499" w:rsidRPr="00881A15">
        <w:rPr>
          <w:rFonts w:cstheme="minorHAnsi"/>
        </w:rPr>
        <w:t xml:space="preserve"> as co-chairs, and Ch</w:t>
      </w:r>
      <w:r w:rsidR="00A73F3C" w:rsidRPr="00881A15">
        <w:rPr>
          <w:rFonts w:cstheme="minorHAnsi"/>
        </w:rPr>
        <w:t xml:space="preserve">rista </w:t>
      </w:r>
      <w:proofErr w:type="spellStart"/>
      <w:r w:rsidR="00A73F3C" w:rsidRPr="00881A15">
        <w:rPr>
          <w:rFonts w:cstheme="minorHAnsi"/>
        </w:rPr>
        <w:t>DeVirgilio</w:t>
      </w:r>
      <w:proofErr w:type="spellEnd"/>
      <w:r w:rsidR="00A73F3C" w:rsidRPr="00881A15">
        <w:rPr>
          <w:rFonts w:cstheme="minorHAnsi"/>
        </w:rPr>
        <w:t xml:space="preserve"> is the </w:t>
      </w:r>
      <w:r w:rsidR="00825499" w:rsidRPr="00881A15">
        <w:rPr>
          <w:rFonts w:cstheme="minorHAnsi"/>
        </w:rPr>
        <w:t>secretary.</w:t>
      </w:r>
      <w:r w:rsidR="00BB320C" w:rsidRPr="00881A15">
        <w:rPr>
          <w:rFonts w:cstheme="minorHAnsi"/>
        </w:rPr>
        <w:t xml:space="preserve"> </w:t>
      </w:r>
    </w:p>
    <w:p w14:paraId="51BC89E2" w14:textId="77777777" w:rsidR="005D5CF6" w:rsidRPr="00881A15" w:rsidRDefault="005D5CF6" w:rsidP="00D86AC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8"/>
      </w:tblGrid>
      <w:tr w:rsidR="00947E7A" w:rsidRPr="00881A15" w14:paraId="36ECFBEA" w14:textId="77777777" w:rsidTr="001E6E77">
        <w:trPr>
          <w:trHeight w:val="275"/>
          <w:jc w:val="center"/>
        </w:trPr>
        <w:tc>
          <w:tcPr>
            <w:tcW w:w="4672" w:type="dxa"/>
          </w:tcPr>
          <w:p w14:paraId="16DF4DFA" w14:textId="77777777" w:rsidR="00947E7A" w:rsidRPr="00881A15" w:rsidRDefault="00947E7A" w:rsidP="00947E7A">
            <w:pPr>
              <w:jc w:val="center"/>
              <w:rPr>
                <w:rFonts w:cstheme="minorHAnsi"/>
                <w:b/>
              </w:rPr>
            </w:pPr>
            <w:r w:rsidRPr="00881A15">
              <w:rPr>
                <w:rFonts w:cstheme="minorHAnsi"/>
                <w:b/>
              </w:rPr>
              <w:t>Members</w:t>
            </w:r>
          </w:p>
        </w:tc>
        <w:tc>
          <w:tcPr>
            <w:tcW w:w="4678" w:type="dxa"/>
          </w:tcPr>
          <w:p w14:paraId="0FBF3F53" w14:textId="77777777" w:rsidR="00947E7A" w:rsidRPr="00881A15" w:rsidRDefault="00947E7A" w:rsidP="00A86CFB">
            <w:pPr>
              <w:rPr>
                <w:rFonts w:cstheme="minorHAnsi"/>
                <w:b/>
              </w:rPr>
            </w:pPr>
            <w:r w:rsidRPr="00881A15">
              <w:rPr>
                <w:rFonts w:cstheme="minorHAnsi"/>
                <w:b/>
              </w:rPr>
              <w:t>Departments</w:t>
            </w:r>
            <w:r w:rsidR="00AB2D47" w:rsidRPr="00881A15">
              <w:rPr>
                <w:rFonts w:cstheme="minorHAnsi"/>
                <w:b/>
              </w:rPr>
              <w:t xml:space="preserve"> </w:t>
            </w:r>
          </w:p>
        </w:tc>
      </w:tr>
      <w:tr w:rsidR="00947E7A" w:rsidRPr="00881A15" w14:paraId="17143437" w14:textId="77777777" w:rsidTr="001E6E77">
        <w:trPr>
          <w:trHeight w:val="275"/>
          <w:jc w:val="center"/>
        </w:trPr>
        <w:tc>
          <w:tcPr>
            <w:tcW w:w="4672" w:type="dxa"/>
          </w:tcPr>
          <w:p w14:paraId="2F781FD0" w14:textId="77777777" w:rsidR="00947E7A" w:rsidRPr="00881A15" w:rsidRDefault="00947E7A" w:rsidP="00A86CFB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 xml:space="preserve">Christa </w:t>
            </w:r>
            <w:proofErr w:type="spellStart"/>
            <w:r w:rsidRPr="00881A15">
              <w:rPr>
                <w:rFonts w:cstheme="minorHAnsi"/>
              </w:rPr>
              <w:t>DeVirgilio</w:t>
            </w:r>
            <w:proofErr w:type="spellEnd"/>
          </w:p>
        </w:tc>
        <w:tc>
          <w:tcPr>
            <w:tcW w:w="4678" w:type="dxa"/>
          </w:tcPr>
          <w:p w14:paraId="2E6941F6" w14:textId="77777777" w:rsidR="00947E7A" w:rsidRPr="00881A15" w:rsidRDefault="00947E7A" w:rsidP="00A86CFB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>Library</w:t>
            </w:r>
          </w:p>
        </w:tc>
      </w:tr>
      <w:tr w:rsidR="00947E7A" w:rsidRPr="00881A15" w14:paraId="0EC18235" w14:textId="77777777" w:rsidTr="001E6E77">
        <w:trPr>
          <w:trHeight w:val="260"/>
          <w:jc w:val="center"/>
        </w:trPr>
        <w:tc>
          <w:tcPr>
            <w:tcW w:w="4672" w:type="dxa"/>
          </w:tcPr>
          <w:p w14:paraId="7D23DE25" w14:textId="77777777" w:rsidR="00947E7A" w:rsidRPr="00881A15" w:rsidRDefault="001F2767" w:rsidP="00A86CFB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>Veronik</w:t>
            </w:r>
            <w:r w:rsidR="00947E7A" w:rsidRPr="00881A15">
              <w:rPr>
                <w:rFonts w:cstheme="minorHAnsi"/>
              </w:rPr>
              <w:t xml:space="preserve">a </w:t>
            </w:r>
            <w:proofErr w:type="spellStart"/>
            <w:r w:rsidR="00947E7A" w:rsidRPr="00881A15">
              <w:rPr>
                <w:rFonts w:cstheme="minorHAnsi"/>
              </w:rPr>
              <w:t>Dolar</w:t>
            </w:r>
            <w:proofErr w:type="spellEnd"/>
          </w:p>
        </w:tc>
        <w:tc>
          <w:tcPr>
            <w:tcW w:w="4678" w:type="dxa"/>
          </w:tcPr>
          <w:p w14:paraId="640E2C2C" w14:textId="77777777" w:rsidR="00947E7A" w:rsidRPr="00881A15" w:rsidRDefault="00947E7A" w:rsidP="00A86CFB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>Politics, Economics &amp; Law</w:t>
            </w:r>
          </w:p>
        </w:tc>
      </w:tr>
      <w:tr w:rsidR="006C6460" w:rsidRPr="00881A15" w14:paraId="7A567004" w14:textId="77777777" w:rsidTr="001E6E77">
        <w:trPr>
          <w:trHeight w:val="260"/>
          <w:jc w:val="center"/>
        </w:trPr>
        <w:tc>
          <w:tcPr>
            <w:tcW w:w="4672" w:type="dxa"/>
          </w:tcPr>
          <w:p w14:paraId="60535CAA" w14:textId="54A70B79" w:rsidR="006C6460" w:rsidRPr="00881A15" w:rsidRDefault="006C6460" w:rsidP="00A86CFB">
            <w:pPr>
              <w:rPr>
                <w:rFonts w:cstheme="minorHAnsi"/>
              </w:rPr>
            </w:pPr>
            <w:r>
              <w:rPr>
                <w:rFonts w:cstheme="minorHAnsi"/>
              </w:rPr>
              <w:t>John Estes</w:t>
            </w:r>
          </w:p>
        </w:tc>
        <w:tc>
          <w:tcPr>
            <w:tcW w:w="4678" w:type="dxa"/>
          </w:tcPr>
          <w:p w14:paraId="7916CA29" w14:textId="2FDB116A" w:rsidR="006C6460" w:rsidRPr="00881A15" w:rsidRDefault="00CA3BE9" w:rsidP="00A86CFB">
            <w:pPr>
              <w:rPr>
                <w:rFonts w:cstheme="minorHAnsi"/>
              </w:rPr>
            </w:pPr>
            <w:r>
              <w:rPr>
                <w:rFonts w:cstheme="minorHAnsi"/>
              </w:rPr>
              <w:t>Chemistry &amp; Physics</w:t>
            </w:r>
          </w:p>
        </w:tc>
      </w:tr>
      <w:tr w:rsidR="00885E99" w:rsidRPr="00881A15" w14:paraId="27BF6FE0" w14:textId="77777777" w:rsidTr="001E6E77">
        <w:trPr>
          <w:trHeight w:val="275"/>
          <w:jc w:val="center"/>
        </w:trPr>
        <w:tc>
          <w:tcPr>
            <w:tcW w:w="4672" w:type="dxa"/>
          </w:tcPr>
          <w:p w14:paraId="30ACE626" w14:textId="57A56CE2" w:rsidR="00885E99" w:rsidRPr="00881A15" w:rsidRDefault="00885E99" w:rsidP="00A86CFB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>Svet</w:t>
            </w:r>
            <w:r w:rsidR="00674574" w:rsidRPr="00881A15">
              <w:rPr>
                <w:rFonts w:cstheme="minorHAnsi"/>
              </w:rPr>
              <w:t xml:space="preserve">lana </w:t>
            </w:r>
            <w:proofErr w:type="spellStart"/>
            <w:r w:rsidR="00674574" w:rsidRPr="00881A15">
              <w:rPr>
                <w:rFonts w:cstheme="minorHAnsi"/>
              </w:rPr>
              <w:t>Jovic</w:t>
            </w:r>
            <w:proofErr w:type="spellEnd"/>
            <w:r w:rsidR="00674574" w:rsidRPr="00881A15">
              <w:rPr>
                <w:rFonts w:cstheme="minorHAnsi"/>
              </w:rPr>
              <w:t xml:space="preserve">   </w:t>
            </w:r>
          </w:p>
        </w:tc>
        <w:tc>
          <w:tcPr>
            <w:tcW w:w="4678" w:type="dxa"/>
          </w:tcPr>
          <w:p w14:paraId="740610CD" w14:textId="77777777" w:rsidR="00885E99" w:rsidRPr="00881A15" w:rsidRDefault="00885E99" w:rsidP="00A86CFB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>Psychology</w:t>
            </w:r>
          </w:p>
        </w:tc>
      </w:tr>
      <w:tr w:rsidR="00947E7A" w:rsidRPr="00881A15" w14:paraId="3E9D5C03" w14:textId="77777777" w:rsidTr="001E6E77">
        <w:trPr>
          <w:trHeight w:val="275"/>
          <w:jc w:val="center"/>
        </w:trPr>
        <w:tc>
          <w:tcPr>
            <w:tcW w:w="4672" w:type="dxa"/>
          </w:tcPr>
          <w:p w14:paraId="7633B153" w14:textId="2C4FBCB8" w:rsidR="00947E7A" w:rsidRPr="00881A15" w:rsidRDefault="0022380D" w:rsidP="00A86CFB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>Cheyenne Sze</w:t>
            </w:r>
          </w:p>
        </w:tc>
        <w:tc>
          <w:tcPr>
            <w:tcW w:w="4678" w:type="dxa"/>
          </w:tcPr>
          <w:p w14:paraId="3826ABE6" w14:textId="77777777" w:rsidR="00947E7A" w:rsidRPr="00881A15" w:rsidRDefault="00947E7A" w:rsidP="00A86CFB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>Student Government Association</w:t>
            </w:r>
          </w:p>
        </w:tc>
      </w:tr>
      <w:tr w:rsidR="00947E7A" w:rsidRPr="00881A15" w14:paraId="6D391E6B" w14:textId="77777777" w:rsidTr="001E6E77">
        <w:trPr>
          <w:trHeight w:val="275"/>
          <w:jc w:val="center"/>
        </w:trPr>
        <w:tc>
          <w:tcPr>
            <w:tcW w:w="4672" w:type="dxa"/>
          </w:tcPr>
          <w:p w14:paraId="35DFC78A" w14:textId="77777777" w:rsidR="00947E7A" w:rsidRPr="00881A15" w:rsidRDefault="00947E7A" w:rsidP="00DD47AB">
            <w:pPr>
              <w:jc w:val="center"/>
              <w:rPr>
                <w:rFonts w:cstheme="minorHAnsi"/>
                <w:b/>
              </w:rPr>
            </w:pPr>
            <w:r w:rsidRPr="00881A15">
              <w:rPr>
                <w:rFonts w:cstheme="minorHAnsi"/>
                <w:b/>
              </w:rPr>
              <w:t>Ex-Officio Members</w:t>
            </w:r>
          </w:p>
        </w:tc>
        <w:tc>
          <w:tcPr>
            <w:tcW w:w="4678" w:type="dxa"/>
          </w:tcPr>
          <w:p w14:paraId="64F6DAEA" w14:textId="77777777" w:rsidR="00947E7A" w:rsidRPr="00881A15" w:rsidRDefault="00947E7A" w:rsidP="00A86CFB">
            <w:pPr>
              <w:rPr>
                <w:rFonts w:cstheme="minorHAnsi"/>
              </w:rPr>
            </w:pPr>
          </w:p>
        </w:tc>
      </w:tr>
      <w:tr w:rsidR="0022380D" w:rsidRPr="00881A15" w14:paraId="39BDF909" w14:textId="77777777" w:rsidTr="001E6E77">
        <w:trPr>
          <w:trHeight w:val="260"/>
          <w:jc w:val="center"/>
        </w:trPr>
        <w:tc>
          <w:tcPr>
            <w:tcW w:w="4672" w:type="dxa"/>
          </w:tcPr>
          <w:p w14:paraId="37426C81" w14:textId="0F4BA182" w:rsidR="0022380D" w:rsidRPr="00881A15" w:rsidRDefault="0022380D" w:rsidP="00947E7A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 xml:space="preserve">Barbara </w:t>
            </w:r>
            <w:proofErr w:type="spellStart"/>
            <w:r w:rsidRPr="00881A15">
              <w:rPr>
                <w:rFonts w:cstheme="minorHAnsi"/>
              </w:rPr>
              <w:t>Hillery</w:t>
            </w:r>
            <w:proofErr w:type="spellEnd"/>
            <w:r w:rsidR="00125968" w:rsidRPr="00881A15">
              <w:rPr>
                <w:rFonts w:cstheme="minorHAnsi"/>
              </w:rPr>
              <w:t xml:space="preserve"> (non-voting member)</w:t>
            </w:r>
          </w:p>
        </w:tc>
        <w:tc>
          <w:tcPr>
            <w:tcW w:w="4678" w:type="dxa"/>
          </w:tcPr>
          <w:p w14:paraId="0A49513B" w14:textId="5207157D" w:rsidR="0022380D" w:rsidRPr="00881A15" w:rsidRDefault="0022380D" w:rsidP="00947E7A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>Academic Affairs</w:t>
            </w:r>
          </w:p>
        </w:tc>
      </w:tr>
      <w:tr w:rsidR="00885E99" w:rsidRPr="00881A15" w14:paraId="4EF4C7F7" w14:textId="77777777" w:rsidTr="001E6E77">
        <w:trPr>
          <w:trHeight w:val="260"/>
          <w:jc w:val="center"/>
        </w:trPr>
        <w:tc>
          <w:tcPr>
            <w:tcW w:w="4672" w:type="dxa"/>
          </w:tcPr>
          <w:p w14:paraId="4350DFCA" w14:textId="77777777" w:rsidR="00885E99" w:rsidRPr="00881A15" w:rsidRDefault="00885E99" w:rsidP="00947E7A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 xml:space="preserve">Chandra </w:t>
            </w:r>
            <w:proofErr w:type="spellStart"/>
            <w:proofErr w:type="gramStart"/>
            <w:r w:rsidRPr="00881A15">
              <w:rPr>
                <w:rFonts w:cstheme="minorHAnsi"/>
              </w:rPr>
              <w:t>Shehigian</w:t>
            </w:r>
            <w:proofErr w:type="spellEnd"/>
            <w:r w:rsidRPr="00881A15">
              <w:rPr>
                <w:rFonts w:cstheme="minorHAnsi"/>
              </w:rPr>
              <w:t xml:space="preserve">  (</w:t>
            </w:r>
            <w:proofErr w:type="gramEnd"/>
            <w:r w:rsidRPr="00881A15">
              <w:rPr>
                <w:rFonts w:cstheme="minorHAnsi"/>
              </w:rPr>
              <w:t>non-voting member)</w:t>
            </w:r>
          </w:p>
        </w:tc>
        <w:tc>
          <w:tcPr>
            <w:tcW w:w="4678" w:type="dxa"/>
          </w:tcPr>
          <w:p w14:paraId="10A61809" w14:textId="77777777" w:rsidR="00885E99" w:rsidRPr="00881A15" w:rsidRDefault="00885E99" w:rsidP="00947E7A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>Information Technology, Instructional Designer</w:t>
            </w:r>
          </w:p>
        </w:tc>
      </w:tr>
      <w:tr w:rsidR="001E6E77" w:rsidRPr="00881A15" w14:paraId="45E8C40D" w14:textId="77777777" w:rsidTr="001E6E77">
        <w:trPr>
          <w:trHeight w:val="260"/>
          <w:jc w:val="center"/>
        </w:trPr>
        <w:tc>
          <w:tcPr>
            <w:tcW w:w="4672" w:type="dxa"/>
          </w:tcPr>
          <w:p w14:paraId="1FA83F80" w14:textId="77777777" w:rsidR="001E6E77" w:rsidRPr="00881A15" w:rsidRDefault="001E6E77" w:rsidP="00862753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>Joanne Spadaro</w:t>
            </w:r>
            <w:proofErr w:type="gramStart"/>
            <w:r w:rsidRPr="00881A15">
              <w:rPr>
                <w:rFonts w:cstheme="minorHAnsi"/>
              </w:rPr>
              <w:t xml:space="preserve"> </w:t>
            </w:r>
            <w:r w:rsidR="00862753" w:rsidRPr="00881A15">
              <w:rPr>
                <w:rFonts w:cstheme="minorHAnsi"/>
              </w:rPr>
              <w:t xml:space="preserve">  </w:t>
            </w:r>
            <w:r w:rsidRPr="00881A15">
              <w:rPr>
                <w:rFonts w:cstheme="minorHAnsi"/>
              </w:rPr>
              <w:t>(</w:t>
            </w:r>
            <w:proofErr w:type="gramEnd"/>
            <w:r w:rsidRPr="00881A15">
              <w:rPr>
                <w:rFonts w:cstheme="minorHAnsi"/>
              </w:rPr>
              <w:t>voting member)</w:t>
            </w:r>
          </w:p>
        </w:tc>
        <w:tc>
          <w:tcPr>
            <w:tcW w:w="4678" w:type="dxa"/>
          </w:tcPr>
          <w:p w14:paraId="1498D324" w14:textId="77777777" w:rsidR="001E6E77" w:rsidRPr="00881A15" w:rsidRDefault="001E6E77" w:rsidP="00947E7A">
            <w:pPr>
              <w:rPr>
                <w:rFonts w:cstheme="minorHAnsi"/>
              </w:rPr>
            </w:pPr>
            <w:r w:rsidRPr="00881A15">
              <w:rPr>
                <w:rFonts w:cstheme="minorHAnsi"/>
              </w:rPr>
              <w:t>Library, OER Librarian</w:t>
            </w:r>
          </w:p>
        </w:tc>
      </w:tr>
    </w:tbl>
    <w:p w14:paraId="6EDD4DC4" w14:textId="77777777" w:rsidR="00D0387E" w:rsidRPr="00881A15" w:rsidRDefault="00D0387E" w:rsidP="00A73F3C">
      <w:pPr>
        <w:spacing w:after="0" w:line="240" w:lineRule="auto"/>
        <w:rPr>
          <w:rFonts w:cstheme="minorHAnsi"/>
          <w:b/>
        </w:rPr>
      </w:pPr>
      <w:r w:rsidRPr="00881A15">
        <w:rPr>
          <w:rFonts w:cstheme="minorHAnsi"/>
          <w:b/>
        </w:rPr>
        <w:t xml:space="preserve"> </w:t>
      </w:r>
    </w:p>
    <w:p w14:paraId="3AFD41DA" w14:textId="77777777" w:rsidR="00307DFF" w:rsidRPr="00343863" w:rsidRDefault="004C25FB" w:rsidP="00307DFF">
      <w:pPr>
        <w:spacing w:after="0" w:line="240" w:lineRule="auto"/>
        <w:rPr>
          <w:rFonts w:cstheme="minorHAnsi"/>
          <w:b/>
        </w:rPr>
      </w:pPr>
      <w:r w:rsidRPr="00343863">
        <w:rPr>
          <w:rFonts w:cstheme="minorHAnsi"/>
          <w:b/>
        </w:rPr>
        <w:t xml:space="preserve">II. </w:t>
      </w:r>
      <w:r w:rsidR="00B871C0" w:rsidRPr="00343863">
        <w:rPr>
          <w:rFonts w:cstheme="minorHAnsi"/>
          <w:b/>
        </w:rPr>
        <w:t>Activities</w:t>
      </w:r>
    </w:p>
    <w:p w14:paraId="20D42688" w14:textId="77777777" w:rsidR="00D85B71" w:rsidRPr="00343863" w:rsidRDefault="00D85B71" w:rsidP="00D85B71">
      <w:pPr>
        <w:spacing w:after="0" w:line="240" w:lineRule="auto"/>
        <w:rPr>
          <w:rFonts w:cstheme="minorHAnsi"/>
          <w:b/>
        </w:rPr>
      </w:pPr>
      <w:r w:rsidRPr="00343863">
        <w:rPr>
          <w:rFonts w:cstheme="minorHAnsi"/>
          <w:b/>
        </w:rPr>
        <w:t>Meetings</w:t>
      </w:r>
    </w:p>
    <w:p w14:paraId="4E1210B0" w14:textId="6C571E55" w:rsidR="003776F8" w:rsidRPr="00760CF4" w:rsidRDefault="002F1377" w:rsidP="00760CF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the fall </w:t>
      </w:r>
      <w:r w:rsidR="00E817BA" w:rsidRPr="00343863">
        <w:rPr>
          <w:rFonts w:cstheme="minorHAnsi"/>
        </w:rPr>
        <w:t>2020</w:t>
      </w:r>
      <w:r>
        <w:rPr>
          <w:rFonts w:cstheme="minorHAnsi"/>
        </w:rPr>
        <w:t xml:space="preserve"> semester</w:t>
      </w:r>
      <w:r w:rsidR="00D85B71" w:rsidRPr="00343863">
        <w:rPr>
          <w:rFonts w:cstheme="minorHAnsi"/>
        </w:rPr>
        <w:t xml:space="preserve">, the Committee held </w:t>
      </w:r>
      <w:r w:rsidR="00B33D03" w:rsidRPr="00343863">
        <w:rPr>
          <w:rFonts w:cstheme="minorHAnsi"/>
        </w:rPr>
        <w:t xml:space="preserve">two </w:t>
      </w:r>
      <w:r w:rsidR="00F25AA2" w:rsidRPr="00343863">
        <w:rPr>
          <w:rFonts w:cstheme="minorHAnsi"/>
        </w:rPr>
        <w:t xml:space="preserve">online </w:t>
      </w:r>
      <w:r w:rsidR="00D85B71" w:rsidRPr="00343863">
        <w:rPr>
          <w:rFonts w:cstheme="minorHAnsi"/>
        </w:rPr>
        <w:t xml:space="preserve">meetings, </w:t>
      </w:r>
      <w:r w:rsidR="00E403DA" w:rsidRPr="00343863">
        <w:rPr>
          <w:rFonts w:cstheme="minorHAnsi"/>
        </w:rPr>
        <w:t>and continue to c</w:t>
      </w:r>
      <w:r w:rsidR="001B29CC" w:rsidRPr="00343863">
        <w:rPr>
          <w:rFonts w:cstheme="minorHAnsi"/>
        </w:rPr>
        <w:t>arry out its work online.</w:t>
      </w:r>
      <w:r w:rsidR="00E403DA" w:rsidRPr="00343863">
        <w:rPr>
          <w:rFonts w:cstheme="minorHAnsi"/>
        </w:rPr>
        <w:t xml:space="preserve">  </w:t>
      </w:r>
      <w:r w:rsidR="00D85B71" w:rsidRPr="00343863">
        <w:rPr>
          <w:rFonts w:cstheme="minorHAnsi"/>
        </w:rPr>
        <w:t xml:space="preserve">Three members of the Committee (C. </w:t>
      </w:r>
      <w:proofErr w:type="spellStart"/>
      <w:r w:rsidR="00D85B71" w:rsidRPr="00343863">
        <w:rPr>
          <w:rFonts w:cstheme="minorHAnsi"/>
        </w:rPr>
        <w:t>DeVirgilio</w:t>
      </w:r>
      <w:proofErr w:type="spellEnd"/>
      <w:r w:rsidR="00D85B71" w:rsidRPr="00343863">
        <w:rPr>
          <w:rFonts w:cstheme="minorHAnsi"/>
        </w:rPr>
        <w:t xml:space="preserve">, </w:t>
      </w:r>
      <w:r w:rsidR="00E817BA" w:rsidRPr="00343863">
        <w:rPr>
          <w:rFonts w:cstheme="minorHAnsi"/>
        </w:rPr>
        <w:t xml:space="preserve">B. </w:t>
      </w:r>
      <w:proofErr w:type="spellStart"/>
      <w:r w:rsidR="00E817BA" w:rsidRPr="00343863">
        <w:rPr>
          <w:rFonts w:cstheme="minorHAnsi"/>
        </w:rPr>
        <w:t>Hillery</w:t>
      </w:r>
      <w:proofErr w:type="spellEnd"/>
      <w:r w:rsidR="00E817BA" w:rsidRPr="00343863">
        <w:rPr>
          <w:rFonts w:cstheme="minorHAnsi"/>
        </w:rPr>
        <w:t xml:space="preserve">, </w:t>
      </w:r>
      <w:r w:rsidR="00862753" w:rsidRPr="00343863">
        <w:rPr>
          <w:rFonts w:cstheme="minorHAnsi"/>
        </w:rPr>
        <w:t>J. Spadaro,) also serve as L</w:t>
      </w:r>
      <w:r w:rsidR="00D85B71" w:rsidRPr="00343863">
        <w:rPr>
          <w:rFonts w:cstheme="minorHAnsi"/>
        </w:rPr>
        <w:t>eads for SUNY’s OER initiatives</w:t>
      </w:r>
      <w:r w:rsidR="00556EB9">
        <w:rPr>
          <w:rFonts w:cstheme="minorHAnsi"/>
        </w:rPr>
        <w:t xml:space="preserve"> </w:t>
      </w:r>
      <w:r w:rsidR="00D85B71" w:rsidRPr="00343863">
        <w:rPr>
          <w:rFonts w:cstheme="minorHAnsi"/>
        </w:rPr>
        <w:t xml:space="preserve">and </w:t>
      </w:r>
      <w:r w:rsidR="00730DC9" w:rsidRPr="00343863">
        <w:rPr>
          <w:rFonts w:cstheme="minorHAnsi"/>
        </w:rPr>
        <w:t>attend</w:t>
      </w:r>
      <w:r w:rsidR="00D85B71" w:rsidRPr="00343863">
        <w:rPr>
          <w:rFonts w:cstheme="minorHAnsi"/>
        </w:rPr>
        <w:t xml:space="preserve"> </w:t>
      </w:r>
      <w:r w:rsidR="00E403DA" w:rsidRPr="00343863">
        <w:rPr>
          <w:rFonts w:cstheme="minorHAnsi"/>
        </w:rPr>
        <w:t xml:space="preserve">regular </w:t>
      </w:r>
      <w:r w:rsidR="00556EB9">
        <w:rPr>
          <w:rFonts w:cstheme="minorHAnsi"/>
        </w:rPr>
        <w:t xml:space="preserve">meetings with </w:t>
      </w:r>
      <w:r w:rsidR="00D85B71" w:rsidRPr="00343863">
        <w:rPr>
          <w:rFonts w:cstheme="minorHAnsi"/>
        </w:rPr>
        <w:t xml:space="preserve">SUNY OER Services </w:t>
      </w:r>
      <w:r w:rsidR="00E403DA" w:rsidRPr="00343863">
        <w:rPr>
          <w:rFonts w:cstheme="minorHAnsi"/>
        </w:rPr>
        <w:t>online</w:t>
      </w:r>
      <w:r w:rsidR="00556EB9">
        <w:rPr>
          <w:rFonts w:cstheme="minorHAnsi"/>
        </w:rPr>
        <w:t>.</w:t>
      </w:r>
      <w:r w:rsidR="00262A52" w:rsidRPr="00881A15">
        <w:rPr>
          <w:rFonts w:cstheme="minorHAnsi"/>
        </w:rPr>
        <w:t xml:space="preserve">  </w:t>
      </w:r>
      <w:r w:rsidR="00AC5B93" w:rsidRPr="00881A15">
        <w:rPr>
          <w:rFonts w:cstheme="minorHAnsi"/>
        </w:rPr>
        <w:t xml:space="preserve">  </w:t>
      </w:r>
    </w:p>
    <w:p w14:paraId="4D6FB1BA" w14:textId="77777777" w:rsidR="009854AF" w:rsidRDefault="009854AF" w:rsidP="00AC438A">
      <w:pPr>
        <w:spacing w:after="0" w:line="240" w:lineRule="auto"/>
        <w:rPr>
          <w:rFonts w:cstheme="minorHAnsi"/>
          <w:b/>
        </w:rPr>
      </w:pPr>
    </w:p>
    <w:p w14:paraId="49FE0B14" w14:textId="77AA76EB" w:rsidR="00AC438A" w:rsidRPr="00881A15" w:rsidRDefault="000F3380" w:rsidP="00AC438A">
      <w:pPr>
        <w:spacing w:after="0" w:line="240" w:lineRule="auto"/>
        <w:rPr>
          <w:rFonts w:cstheme="minorHAnsi"/>
          <w:b/>
        </w:rPr>
      </w:pPr>
      <w:r w:rsidRPr="00881A15">
        <w:rPr>
          <w:rFonts w:cstheme="minorHAnsi"/>
          <w:b/>
        </w:rPr>
        <w:t xml:space="preserve">Registered </w:t>
      </w:r>
      <w:r w:rsidR="001B29CC" w:rsidRPr="00881A15">
        <w:rPr>
          <w:rFonts w:cstheme="minorHAnsi"/>
          <w:b/>
        </w:rPr>
        <w:t xml:space="preserve">OER </w:t>
      </w:r>
      <w:r w:rsidR="00AC438A" w:rsidRPr="00881A15">
        <w:rPr>
          <w:rFonts w:cstheme="minorHAnsi"/>
          <w:b/>
        </w:rPr>
        <w:t>Cou</w:t>
      </w:r>
      <w:r w:rsidRPr="00881A15">
        <w:rPr>
          <w:rFonts w:cstheme="minorHAnsi"/>
          <w:b/>
        </w:rPr>
        <w:t>rses</w:t>
      </w:r>
      <w:r w:rsidR="002F430A">
        <w:rPr>
          <w:rFonts w:cstheme="minorHAnsi"/>
          <w:b/>
        </w:rPr>
        <w:t xml:space="preserve"> – Summer &amp; Fall 2020</w:t>
      </w:r>
    </w:p>
    <w:p w14:paraId="31FBC96B" w14:textId="35D8CE3D" w:rsidR="00AC5B93" w:rsidRPr="00881A15" w:rsidRDefault="00852A18" w:rsidP="006D5372">
      <w:pPr>
        <w:spacing w:after="0" w:line="240" w:lineRule="auto"/>
        <w:rPr>
          <w:rFonts w:cstheme="minorHAnsi"/>
        </w:rPr>
      </w:pPr>
      <w:r w:rsidRPr="00881A15">
        <w:rPr>
          <w:rFonts w:cstheme="minorHAnsi"/>
        </w:rPr>
        <w:t xml:space="preserve">The Committee reviews </w:t>
      </w:r>
      <w:r w:rsidR="00913587" w:rsidRPr="00881A15">
        <w:rPr>
          <w:rFonts w:cstheme="minorHAnsi"/>
        </w:rPr>
        <w:t xml:space="preserve">OER </w:t>
      </w:r>
      <w:r w:rsidR="00AC438A" w:rsidRPr="00881A15">
        <w:rPr>
          <w:rFonts w:cstheme="minorHAnsi"/>
        </w:rPr>
        <w:t>course syllabi and course materials to determine whether they meet SUNY’s requirements to be</w:t>
      </w:r>
      <w:r w:rsidR="004E451C" w:rsidRPr="00881A15">
        <w:rPr>
          <w:rFonts w:cstheme="minorHAnsi"/>
        </w:rPr>
        <w:t xml:space="preserve"> designated</w:t>
      </w:r>
      <w:r w:rsidR="00C1700F" w:rsidRPr="00881A15">
        <w:rPr>
          <w:rFonts w:cstheme="minorHAnsi"/>
        </w:rPr>
        <w:t xml:space="preserve"> as </w:t>
      </w:r>
      <w:r w:rsidR="00AC438A" w:rsidRPr="00881A15">
        <w:rPr>
          <w:rFonts w:cstheme="minorHAnsi"/>
        </w:rPr>
        <w:t xml:space="preserve">an OER course and </w:t>
      </w:r>
      <w:r w:rsidR="004E451C" w:rsidRPr="00881A15">
        <w:rPr>
          <w:rFonts w:cstheme="minorHAnsi"/>
        </w:rPr>
        <w:t xml:space="preserve">identified </w:t>
      </w:r>
      <w:r w:rsidR="00AC438A" w:rsidRPr="00881A15">
        <w:rPr>
          <w:rFonts w:cstheme="minorHAnsi"/>
        </w:rPr>
        <w:t xml:space="preserve">with the OER attribute in the course registration system.  </w:t>
      </w:r>
      <w:r w:rsidR="00BB2E0D" w:rsidRPr="00881A15">
        <w:rPr>
          <w:rFonts w:cstheme="minorHAnsi"/>
        </w:rPr>
        <w:t xml:space="preserve">A course section is designated as OER if more than 50% of the assigned course materials is comprised of open educational resources.  This designation is on a semester-by-semester basis and is at the discretion of the instructors/departments.  </w:t>
      </w:r>
      <w:r w:rsidR="00AC438A" w:rsidRPr="00881A15">
        <w:rPr>
          <w:rFonts w:cstheme="minorHAnsi"/>
        </w:rPr>
        <w:t>The followin</w:t>
      </w:r>
      <w:r w:rsidR="000F774E" w:rsidRPr="00881A15">
        <w:rPr>
          <w:rFonts w:cstheme="minorHAnsi"/>
        </w:rPr>
        <w:t xml:space="preserve">g tables represents </w:t>
      </w:r>
      <w:r w:rsidR="00806717" w:rsidRPr="00881A15">
        <w:rPr>
          <w:rFonts w:cstheme="minorHAnsi"/>
        </w:rPr>
        <w:t xml:space="preserve">the number of </w:t>
      </w:r>
      <w:r w:rsidR="00AC438A" w:rsidRPr="00881A15">
        <w:rPr>
          <w:rFonts w:cstheme="minorHAnsi"/>
        </w:rPr>
        <w:t xml:space="preserve">courses </w:t>
      </w:r>
      <w:r w:rsidR="00806717" w:rsidRPr="00881A15">
        <w:rPr>
          <w:rFonts w:cstheme="minorHAnsi"/>
        </w:rPr>
        <w:t xml:space="preserve">by departments </w:t>
      </w:r>
      <w:r w:rsidR="00AC438A" w:rsidRPr="00881A15">
        <w:rPr>
          <w:rFonts w:cstheme="minorHAnsi"/>
        </w:rPr>
        <w:t xml:space="preserve">that were </w:t>
      </w:r>
      <w:r w:rsidR="000F3380" w:rsidRPr="00881A15">
        <w:rPr>
          <w:rFonts w:cstheme="minorHAnsi"/>
        </w:rPr>
        <w:t xml:space="preserve">registered </w:t>
      </w:r>
      <w:r w:rsidR="008135EC" w:rsidRPr="00881A15">
        <w:rPr>
          <w:rFonts w:cstheme="minorHAnsi"/>
        </w:rPr>
        <w:t xml:space="preserve">in our system </w:t>
      </w:r>
      <w:r w:rsidR="00C1700F" w:rsidRPr="00881A15">
        <w:rPr>
          <w:rFonts w:cstheme="minorHAnsi"/>
        </w:rPr>
        <w:t xml:space="preserve">and with </w:t>
      </w:r>
      <w:r w:rsidR="00913587" w:rsidRPr="00881A15">
        <w:rPr>
          <w:rFonts w:cstheme="minorHAnsi"/>
        </w:rPr>
        <w:t xml:space="preserve">SUNY </w:t>
      </w:r>
      <w:r w:rsidR="000F3380" w:rsidRPr="00881A15">
        <w:rPr>
          <w:rFonts w:cstheme="minorHAnsi"/>
        </w:rPr>
        <w:t xml:space="preserve">for </w:t>
      </w:r>
      <w:r w:rsidR="00760CF4">
        <w:rPr>
          <w:rFonts w:cstheme="minorHAnsi"/>
        </w:rPr>
        <w:t xml:space="preserve">summer and fall </w:t>
      </w:r>
      <w:r w:rsidR="001A4707" w:rsidRPr="00881A15">
        <w:rPr>
          <w:rFonts w:cstheme="minorHAnsi"/>
        </w:rPr>
        <w:t>2020</w:t>
      </w:r>
      <w:r w:rsidR="004E451C" w:rsidRPr="00881A15">
        <w:rPr>
          <w:rFonts w:cstheme="minorHAnsi"/>
        </w:rPr>
        <w:t xml:space="preserve">.  </w:t>
      </w:r>
    </w:p>
    <w:p w14:paraId="3F1A6C68" w14:textId="1C4D7E84" w:rsidR="00B965D8" w:rsidRPr="00881A15" w:rsidRDefault="0078138D" w:rsidP="00B965D8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Summer</w:t>
      </w:r>
      <w:r w:rsidR="00B965D8" w:rsidRPr="00881A15">
        <w:rPr>
          <w:rFonts w:cstheme="minorHAnsi"/>
          <w:b/>
        </w:rPr>
        <w:t xml:space="preserve"> 2020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263"/>
      </w:tblGrid>
      <w:tr w:rsidR="00B965D8" w:rsidRPr="00881A15" w14:paraId="222C1F78" w14:textId="77777777" w:rsidTr="00981019">
        <w:trPr>
          <w:trHeight w:val="285"/>
          <w:jc w:val="center"/>
        </w:trPr>
        <w:tc>
          <w:tcPr>
            <w:tcW w:w="1432" w:type="dxa"/>
          </w:tcPr>
          <w:p w14:paraId="0D3F54DE" w14:textId="77777777" w:rsidR="00B965D8" w:rsidRPr="00881A15" w:rsidRDefault="00B965D8" w:rsidP="00981019">
            <w:pPr>
              <w:jc w:val="center"/>
              <w:rPr>
                <w:rFonts w:cstheme="minorHAnsi"/>
                <w:b/>
              </w:rPr>
            </w:pPr>
            <w:r w:rsidRPr="00881A15">
              <w:rPr>
                <w:rFonts w:cstheme="minorHAnsi"/>
                <w:b/>
              </w:rPr>
              <w:t>Departments</w:t>
            </w:r>
          </w:p>
        </w:tc>
        <w:tc>
          <w:tcPr>
            <w:tcW w:w="1263" w:type="dxa"/>
          </w:tcPr>
          <w:p w14:paraId="51A781D1" w14:textId="77777777" w:rsidR="00B965D8" w:rsidRPr="00881A15" w:rsidRDefault="00B965D8" w:rsidP="00981019">
            <w:pPr>
              <w:jc w:val="center"/>
              <w:rPr>
                <w:rFonts w:cstheme="minorHAnsi"/>
                <w:b/>
              </w:rPr>
            </w:pPr>
            <w:r w:rsidRPr="00881A15">
              <w:rPr>
                <w:rFonts w:cstheme="minorHAnsi"/>
                <w:b/>
              </w:rPr>
              <w:t>Courses</w:t>
            </w:r>
          </w:p>
        </w:tc>
      </w:tr>
      <w:tr w:rsidR="00B965D8" w:rsidRPr="00881A15" w14:paraId="38C174DE" w14:textId="77777777" w:rsidTr="00981019">
        <w:trPr>
          <w:trHeight w:val="285"/>
          <w:jc w:val="center"/>
        </w:trPr>
        <w:tc>
          <w:tcPr>
            <w:tcW w:w="1432" w:type="dxa"/>
          </w:tcPr>
          <w:p w14:paraId="11C011B1" w14:textId="231C2342" w:rsidR="00B965D8" w:rsidRPr="00881A15" w:rsidRDefault="0078138D" w:rsidP="009810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CP</w:t>
            </w:r>
          </w:p>
        </w:tc>
        <w:tc>
          <w:tcPr>
            <w:tcW w:w="1263" w:type="dxa"/>
          </w:tcPr>
          <w:p w14:paraId="107377A3" w14:textId="09816289" w:rsidR="00B965D8" w:rsidRPr="00881A15" w:rsidRDefault="0078138D" w:rsidP="009810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8138D" w:rsidRPr="00881A15" w14:paraId="3194DCD3" w14:textId="77777777" w:rsidTr="00981019">
        <w:trPr>
          <w:trHeight w:val="285"/>
          <w:jc w:val="center"/>
        </w:trPr>
        <w:tc>
          <w:tcPr>
            <w:tcW w:w="1432" w:type="dxa"/>
          </w:tcPr>
          <w:p w14:paraId="187E5A36" w14:textId="681EDCFA" w:rsidR="0078138D" w:rsidRDefault="0078138D" w:rsidP="009810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</w:t>
            </w:r>
          </w:p>
        </w:tc>
        <w:tc>
          <w:tcPr>
            <w:tcW w:w="1263" w:type="dxa"/>
          </w:tcPr>
          <w:p w14:paraId="42577E4B" w14:textId="27C88D4F" w:rsidR="0078138D" w:rsidRDefault="0078138D" w:rsidP="009810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8138D" w:rsidRPr="00881A15" w14:paraId="70C67483" w14:textId="77777777" w:rsidTr="00981019">
        <w:trPr>
          <w:trHeight w:val="285"/>
          <w:jc w:val="center"/>
        </w:trPr>
        <w:tc>
          <w:tcPr>
            <w:tcW w:w="1432" w:type="dxa"/>
          </w:tcPr>
          <w:p w14:paraId="59426F60" w14:textId="221C03BF" w:rsidR="0078138D" w:rsidRDefault="0078138D" w:rsidP="009810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PY</w:t>
            </w:r>
          </w:p>
        </w:tc>
        <w:tc>
          <w:tcPr>
            <w:tcW w:w="1263" w:type="dxa"/>
          </w:tcPr>
          <w:p w14:paraId="64B78DC4" w14:textId="53E1CECA" w:rsidR="0078138D" w:rsidRDefault="0078138D" w:rsidP="009810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78138D" w:rsidRPr="00881A15" w14:paraId="3C33342A" w14:textId="77777777" w:rsidTr="00981019">
        <w:trPr>
          <w:trHeight w:val="285"/>
          <w:jc w:val="center"/>
        </w:trPr>
        <w:tc>
          <w:tcPr>
            <w:tcW w:w="1432" w:type="dxa"/>
          </w:tcPr>
          <w:p w14:paraId="535CC2E8" w14:textId="21A32D82" w:rsidR="0078138D" w:rsidRPr="0018488E" w:rsidRDefault="0078138D" w:rsidP="00981019">
            <w:pPr>
              <w:jc w:val="center"/>
              <w:rPr>
                <w:rFonts w:cstheme="minorHAnsi"/>
                <w:b/>
                <w:bCs/>
              </w:rPr>
            </w:pPr>
            <w:r w:rsidRPr="0018488E">
              <w:rPr>
                <w:rFonts w:cstheme="minorHAnsi"/>
                <w:b/>
                <w:bCs/>
              </w:rPr>
              <w:t>Su20 Total</w:t>
            </w:r>
          </w:p>
        </w:tc>
        <w:tc>
          <w:tcPr>
            <w:tcW w:w="1263" w:type="dxa"/>
          </w:tcPr>
          <w:p w14:paraId="28AE27A2" w14:textId="0C159964" w:rsidR="0078138D" w:rsidRPr="0018488E" w:rsidRDefault="0078138D" w:rsidP="00981019">
            <w:pPr>
              <w:jc w:val="center"/>
              <w:rPr>
                <w:rFonts w:cstheme="minorHAnsi"/>
                <w:b/>
                <w:bCs/>
              </w:rPr>
            </w:pPr>
            <w:r w:rsidRPr="0018488E">
              <w:rPr>
                <w:rFonts w:cstheme="minorHAnsi"/>
                <w:b/>
                <w:bCs/>
              </w:rPr>
              <w:t>5</w:t>
            </w:r>
          </w:p>
        </w:tc>
      </w:tr>
    </w:tbl>
    <w:p w14:paraId="153257DD" w14:textId="77777777" w:rsidR="005D5CF6" w:rsidRPr="00881A15" w:rsidRDefault="005D5CF6" w:rsidP="006D5372">
      <w:pPr>
        <w:spacing w:after="0" w:line="240" w:lineRule="auto"/>
        <w:rPr>
          <w:rFonts w:cstheme="minorHAnsi"/>
        </w:rPr>
      </w:pPr>
    </w:p>
    <w:p w14:paraId="11282C0E" w14:textId="58C37D81" w:rsidR="00806717" w:rsidRPr="00881A15" w:rsidRDefault="0078138D" w:rsidP="00806717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Fall</w:t>
      </w:r>
      <w:r w:rsidR="001A4707" w:rsidRPr="00881A15">
        <w:rPr>
          <w:rFonts w:cstheme="minorHAnsi"/>
          <w:b/>
        </w:rPr>
        <w:t xml:space="preserve"> 2020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2"/>
        <w:gridCol w:w="1263"/>
      </w:tblGrid>
      <w:tr w:rsidR="00806717" w:rsidRPr="00881A15" w14:paraId="7EEB0926" w14:textId="77777777" w:rsidTr="00806717">
        <w:trPr>
          <w:trHeight w:val="285"/>
          <w:jc w:val="center"/>
        </w:trPr>
        <w:tc>
          <w:tcPr>
            <w:tcW w:w="1432" w:type="dxa"/>
          </w:tcPr>
          <w:p w14:paraId="4D2EC39E" w14:textId="77777777" w:rsidR="00806717" w:rsidRPr="00881A15" w:rsidRDefault="00806717" w:rsidP="0078025F">
            <w:pPr>
              <w:jc w:val="center"/>
              <w:rPr>
                <w:rFonts w:cstheme="minorHAnsi"/>
                <w:b/>
              </w:rPr>
            </w:pPr>
            <w:r w:rsidRPr="00881A15">
              <w:rPr>
                <w:rFonts w:cstheme="minorHAnsi"/>
                <w:b/>
              </w:rPr>
              <w:t>Departments</w:t>
            </w:r>
          </w:p>
        </w:tc>
        <w:tc>
          <w:tcPr>
            <w:tcW w:w="1263" w:type="dxa"/>
          </w:tcPr>
          <w:p w14:paraId="16135686" w14:textId="77777777" w:rsidR="00806717" w:rsidRPr="00881A15" w:rsidRDefault="00806717" w:rsidP="0078025F">
            <w:pPr>
              <w:jc w:val="center"/>
              <w:rPr>
                <w:rFonts w:cstheme="minorHAnsi"/>
                <w:b/>
              </w:rPr>
            </w:pPr>
            <w:r w:rsidRPr="00881A15">
              <w:rPr>
                <w:rFonts w:cstheme="minorHAnsi"/>
                <w:b/>
              </w:rPr>
              <w:t>Courses</w:t>
            </w:r>
          </w:p>
        </w:tc>
      </w:tr>
      <w:tr w:rsidR="0088742F" w:rsidRPr="00881A15" w14:paraId="324408D0" w14:textId="77777777" w:rsidTr="00806717">
        <w:trPr>
          <w:trHeight w:val="285"/>
          <w:jc w:val="center"/>
        </w:trPr>
        <w:tc>
          <w:tcPr>
            <w:tcW w:w="1432" w:type="dxa"/>
          </w:tcPr>
          <w:p w14:paraId="7C2823E4" w14:textId="2D412D8C" w:rsidR="0088742F" w:rsidRDefault="0088742F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BU</w:t>
            </w:r>
          </w:p>
        </w:tc>
        <w:tc>
          <w:tcPr>
            <w:tcW w:w="1263" w:type="dxa"/>
          </w:tcPr>
          <w:p w14:paraId="2AF5C99B" w14:textId="387D1D37" w:rsidR="0088742F" w:rsidRDefault="0088742F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C1932" w:rsidRPr="00881A15" w14:paraId="00BD497A" w14:textId="77777777" w:rsidTr="00806717">
        <w:trPr>
          <w:trHeight w:val="285"/>
          <w:jc w:val="center"/>
        </w:trPr>
        <w:tc>
          <w:tcPr>
            <w:tcW w:w="1432" w:type="dxa"/>
          </w:tcPr>
          <w:p w14:paraId="1F83C107" w14:textId="7DD9A8B1" w:rsidR="00BC1932" w:rsidRPr="00881A15" w:rsidRDefault="00903FD4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CP</w:t>
            </w:r>
          </w:p>
        </w:tc>
        <w:tc>
          <w:tcPr>
            <w:tcW w:w="1263" w:type="dxa"/>
          </w:tcPr>
          <w:p w14:paraId="1C90F96B" w14:textId="09AE1653" w:rsidR="00BC1932" w:rsidRPr="00881A15" w:rsidRDefault="00F5798C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B965D8" w:rsidRPr="00881A15" w14:paraId="488C040A" w14:textId="77777777" w:rsidTr="00806717">
        <w:trPr>
          <w:trHeight w:val="285"/>
          <w:jc w:val="center"/>
        </w:trPr>
        <w:tc>
          <w:tcPr>
            <w:tcW w:w="1432" w:type="dxa"/>
          </w:tcPr>
          <w:p w14:paraId="1A563AC2" w14:textId="3F65090E" w:rsidR="00B965D8" w:rsidRPr="00881A15" w:rsidRDefault="00903FD4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HI</w:t>
            </w:r>
          </w:p>
        </w:tc>
        <w:tc>
          <w:tcPr>
            <w:tcW w:w="1263" w:type="dxa"/>
          </w:tcPr>
          <w:p w14:paraId="7918D40E" w14:textId="22193647" w:rsidR="00B965D8" w:rsidRPr="00881A15" w:rsidRDefault="00903FD4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06717" w:rsidRPr="00881A15" w14:paraId="647DE23B" w14:textId="77777777" w:rsidTr="00806717">
        <w:trPr>
          <w:trHeight w:val="285"/>
          <w:jc w:val="center"/>
        </w:trPr>
        <w:tc>
          <w:tcPr>
            <w:tcW w:w="1432" w:type="dxa"/>
          </w:tcPr>
          <w:p w14:paraId="19CAF908" w14:textId="1AB1555D" w:rsidR="00806717" w:rsidRPr="00881A15" w:rsidRDefault="00903FD4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</w:t>
            </w:r>
          </w:p>
        </w:tc>
        <w:tc>
          <w:tcPr>
            <w:tcW w:w="1263" w:type="dxa"/>
          </w:tcPr>
          <w:p w14:paraId="1AC0760F" w14:textId="6DE49578" w:rsidR="00806717" w:rsidRPr="00881A15" w:rsidRDefault="0088742F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806717" w:rsidRPr="00881A15" w14:paraId="610ED711" w14:textId="77777777" w:rsidTr="00806717">
        <w:trPr>
          <w:trHeight w:val="285"/>
          <w:jc w:val="center"/>
        </w:trPr>
        <w:tc>
          <w:tcPr>
            <w:tcW w:w="1432" w:type="dxa"/>
          </w:tcPr>
          <w:p w14:paraId="4C5CE7E5" w14:textId="6B130779" w:rsidR="00806717" w:rsidRPr="00881A15" w:rsidRDefault="00903FD4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PE</w:t>
            </w:r>
          </w:p>
        </w:tc>
        <w:tc>
          <w:tcPr>
            <w:tcW w:w="1263" w:type="dxa"/>
          </w:tcPr>
          <w:p w14:paraId="23391CB3" w14:textId="41908DA8" w:rsidR="00806717" w:rsidRPr="00881A15" w:rsidRDefault="0088742F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806717" w:rsidRPr="00881A15" w14:paraId="2CB76312" w14:textId="77777777" w:rsidTr="00806717">
        <w:trPr>
          <w:trHeight w:val="285"/>
          <w:jc w:val="center"/>
        </w:trPr>
        <w:tc>
          <w:tcPr>
            <w:tcW w:w="1432" w:type="dxa"/>
          </w:tcPr>
          <w:p w14:paraId="115D916D" w14:textId="338308CB" w:rsidR="00806717" w:rsidRPr="00881A15" w:rsidRDefault="00903FD4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PY</w:t>
            </w:r>
          </w:p>
        </w:tc>
        <w:tc>
          <w:tcPr>
            <w:tcW w:w="1263" w:type="dxa"/>
          </w:tcPr>
          <w:p w14:paraId="4DA0CBCD" w14:textId="015AAC9F" w:rsidR="00806717" w:rsidRPr="00881A15" w:rsidRDefault="0088742F" w:rsidP="00BC19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806717" w:rsidRPr="00881A15" w14:paraId="3FDE9238" w14:textId="77777777" w:rsidTr="00806717">
        <w:trPr>
          <w:trHeight w:val="285"/>
          <w:jc w:val="center"/>
        </w:trPr>
        <w:tc>
          <w:tcPr>
            <w:tcW w:w="1432" w:type="dxa"/>
          </w:tcPr>
          <w:p w14:paraId="12607D16" w14:textId="3F1FA093" w:rsidR="00806717" w:rsidRPr="00881A15" w:rsidRDefault="00903FD4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</w:t>
            </w:r>
          </w:p>
        </w:tc>
        <w:tc>
          <w:tcPr>
            <w:tcW w:w="1263" w:type="dxa"/>
          </w:tcPr>
          <w:p w14:paraId="1AAB7CC7" w14:textId="3B6000F1" w:rsidR="00806717" w:rsidRPr="00881A15" w:rsidRDefault="00903FD4" w:rsidP="0078025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BC1932" w:rsidRPr="00881A15" w14:paraId="04C85FC0" w14:textId="77777777" w:rsidTr="00806717">
        <w:trPr>
          <w:trHeight w:val="285"/>
          <w:jc w:val="center"/>
        </w:trPr>
        <w:tc>
          <w:tcPr>
            <w:tcW w:w="1432" w:type="dxa"/>
          </w:tcPr>
          <w:p w14:paraId="35E66D82" w14:textId="1FCFE371" w:rsidR="00BC1932" w:rsidRPr="0018488E" w:rsidRDefault="00941DF8" w:rsidP="0078025F">
            <w:pPr>
              <w:jc w:val="center"/>
              <w:rPr>
                <w:rFonts w:cstheme="minorHAnsi"/>
                <w:b/>
                <w:bCs/>
              </w:rPr>
            </w:pPr>
            <w:r w:rsidRPr="0018488E">
              <w:rPr>
                <w:rFonts w:cstheme="minorHAnsi"/>
                <w:b/>
                <w:bCs/>
              </w:rPr>
              <w:t>F</w:t>
            </w:r>
            <w:r w:rsidR="009C73FC" w:rsidRPr="0018488E">
              <w:rPr>
                <w:rFonts w:cstheme="minorHAnsi"/>
                <w:b/>
                <w:bCs/>
              </w:rPr>
              <w:t xml:space="preserve">20 </w:t>
            </w:r>
            <w:r w:rsidR="00BC1932" w:rsidRPr="0018488E">
              <w:rPr>
                <w:rFonts w:cstheme="minorHAnsi"/>
                <w:b/>
                <w:bCs/>
              </w:rPr>
              <w:t>T</w:t>
            </w:r>
            <w:r w:rsidR="0088742F" w:rsidRPr="0018488E">
              <w:rPr>
                <w:rFonts w:cstheme="minorHAnsi"/>
                <w:b/>
                <w:bCs/>
              </w:rPr>
              <w:t>otal</w:t>
            </w:r>
          </w:p>
        </w:tc>
        <w:tc>
          <w:tcPr>
            <w:tcW w:w="1263" w:type="dxa"/>
          </w:tcPr>
          <w:p w14:paraId="6403E72C" w14:textId="76A5064C" w:rsidR="00BC1932" w:rsidRPr="0018488E" w:rsidRDefault="00B965D8" w:rsidP="0078025F">
            <w:pPr>
              <w:jc w:val="center"/>
              <w:rPr>
                <w:rFonts w:cstheme="minorHAnsi"/>
                <w:b/>
                <w:bCs/>
              </w:rPr>
            </w:pPr>
            <w:r w:rsidRPr="0018488E">
              <w:rPr>
                <w:rFonts w:cstheme="minorHAnsi"/>
                <w:b/>
                <w:bCs/>
              </w:rPr>
              <w:t>2</w:t>
            </w:r>
            <w:r w:rsidR="00F5798C" w:rsidRPr="0018488E">
              <w:rPr>
                <w:rFonts w:cstheme="minorHAnsi"/>
                <w:b/>
                <w:bCs/>
              </w:rPr>
              <w:t>5</w:t>
            </w:r>
          </w:p>
        </w:tc>
      </w:tr>
    </w:tbl>
    <w:p w14:paraId="0C949FE6" w14:textId="06517D63" w:rsidR="00806717" w:rsidRPr="00881A15" w:rsidRDefault="00806717" w:rsidP="006D5372">
      <w:pPr>
        <w:spacing w:after="0" w:line="240" w:lineRule="auto"/>
        <w:rPr>
          <w:rFonts w:cstheme="minorHAnsi"/>
        </w:rPr>
      </w:pPr>
    </w:p>
    <w:p w14:paraId="07E5274F" w14:textId="330785DC" w:rsidR="002F430A" w:rsidRPr="002F430A" w:rsidRDefault="002F430A" w:rsidP="00203B34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Registered OER Courses - </w:t>
      </w:r>
      <w:r w:rsidRPr="002F430A">
        <w:rPr>
          <w:b/>
          <w:bCs/>
        </w:rPr>
        <w:t xml:space="preserve">Spring 2021 </w:t>
      </w:r>
    </w:p>
    <w:p w14:paraId="5C5701FF" w14:textId="4AF1D305" w:rsidR="004D7666" w:rsidRPr="00881A15" w:rsidRDefault="009A6461" w:rsidP="00203B34">
      <w:pPr>
        <w:spacing w:after="0" w:line="240" w:lineRule="auto"/>
      </w:pPr>
      <w:r>
        <w:t>On October 7</w:t>
      </w:r>
      <w:r w:rsidRPr="009A6461">
        <w:rPr>
          <w:vertAlign w:val="superscript"/>
        </w:rPr>
        <w:t>th</w:t>
      </w:r>
      <w:r>
        <w:t xml:space="preserve">, the Committee </w:t>
      </w:r>
      <w:r w:rsidR="002F430A">
        <w:t xml:space="preserve">sent an email to faculty asking </w:t>
      </w:r>
      <w:r w:rsidR="002F1377">
        <w:t>them to submit their draft SP2</w:t>
      </w:r>
      <w:r w:rsidR="00B359B2">
        <w:t>1</w:t>
      </w:r>
      <w:r w:rsidR="002F1377">
        <w:t xml:space="preserve"> </w:t>
      </w:r>
      <w:r>
        <w:t xml:space="preserve">syllabi for </w:t>
      </w:r>
      <w:r w:rsidR="002F1377">
        <w:t xml:space="preserve">review </w:t>
      </w:r>
      <w:r>
        <w:t>if they wanted to have the</w:t>
      </w:r>
      <w:r w:rsidR="002F1377">
        <w:t xml:space="preserve"> courses identified as </w:t>
      </w:r>
      <w:r>
        <w:t xml:space="preserve">OER in the registration system. </w:t>
      </w:r>
      <w:r w:rsidR="002F1377">
        <w:t xml:space="preserve">As of this writing, </w:t>
      </w:r>
      <w:r>
        <w:t>there are 23 courses registered for spring.  Six of those courses are new</w:t>
      </w:r>
      <w:r w:rsidR="002F430A">
        <w:t>ly developed</w:t>
      </w:r>
      <w:r>
        <w:t xml:space="preserve"> OER course</w:t>
      </w:r>
      <w:r w:rsidR="002D0DF4">
        <w:t xml:space="preserve"> sections</w:t>
      </w:r>
      <w:r>
        <w:t xml:space="preserve"> </w:t>
      </w:r>
      <w:r w:rsidR="002F430A">
        <w:t xml:space="preserve">from faculty who </w:t>
      </w:r>
      <w:r w:rsidR="002F1377">
        <w:t xml:space="preserve">are experienced </w:t>
      </w:r>
      <w:r w:rsidR="002F430A">
        <w:t xml:space="preserve">with OER.  Seventeen are repeated courses that were taught in prior semesters.  </w:t>
      </w:r>
    </w:p>
    <w:p w14:paraId="418011E2" w14:textId="77777777" w:rsidR="009A6461" w:rsidRDefault="009A6461" w:rsidP="009A6461">
      <w:pPr>
        <w:spacing w:after="0" w:line="240" w:lineRule="auto"/>
        <w:ind w:right="-180"/>
        <w:rPr>
          <w:rFonts w:cstheme="minorHAnsi"/>
          <w:b/>
        </w:rPr>
      </w:pPr>
    </w:p>
    <w:p w14:paraId="78971C6A" w14:textId="69D65F64" w:rsidR="009A6461" w:rsidRPr="0004159A" w:rsidRDefault="005819C1" w:rsidP="009A6461">
      <w:pPr>
        <w:spacing w:after="0" w:line="240" w:lineRule="auto"/>
        <w:ind w:right="-180"/>
        <w:rPr>
          <w:rFonts w:cstheme="minorHAnsi"/>
          <w:b/>
        </w:rPr>
      </w:pPr>
      <w:r w:rsidRPr="0004159A">
        <w:rPr>
          <w:rFonts w:cstheme="minorHAnsi"/>
          <w:b/>
        </w:rPr>
        <w:t xml:space="preserve">SUNY </w:t>
      </w:r>
      <w:r w:rsidR="00D56C3A" w:rsidRPr="0004159A">
        <w:rPr>
          <w:rFonts w:cstheme="minorHAnsi"/>
          <w:b/>
        </w:rPr>
        <w:t xml:space="preserve">OER </w:t>
      </w:r>
      <w:r w:rsidRPr="0004159A">
        <w:rPr>
          <w:rFonts w:cstheme="minorHAnsi"/>
          <w:b/>
        </w:rPr>
        <w:t>Funding</w:t>
      </w:r>
      <w:r w:rsidR="00C319EC" w:rsidRPr="0004159A">
        <w:rPr>
          <w:rFonts w:cstheme="minorHAnsi"/>
          <w:b/>
        </w:rPr>
        <w:t>/Support</w:t>
      </w:r>
    </w:p>
    <w:p w14:paraId="6B458E95" w14:textId="5A39888F" w:rsidR="005B6A37" w:rsidRPr="0004159A" w:rsidRDefault="005B6A37" w:rsidP="005B6A37">
      <w:pPr>
        <w:textAlignment w:val="baseline"/>
        <w:rPr>
          <w:rFonts w:ascii="Calibri" w:eastAsia="Times New Roman" w:hAnsi="Calibri" w:cs="Calibri"/>
          <w:color w:val="000000"/>
        </w:rPr>
      </w:pPr>
      <w:r w:rsidRPr="0004159A">
        <w:rPr>
          <w:rFonts w:cstheme="minorHAnsi"/>
          <w:bCs/>
        </w:rPr>
        <w:t xml:space="preserve">From 2017 to 2020, </w:t>
      </w:r>
      <w:r w:rsidRPr="0004159A">
        <w:rPr>
          <w:rFonts w:ascii="Calibri" w:hAnsi="Calibri" w:cs="Calibri"/>
          <w:color w:val="000000"/>
          <w:shd w:val="clear" w:color="auto" w:fill="FFFFFF"/>
        </w:rPr>
        <w:t>SUNY provided </w:t>
      </w:r>
      <w:hyperlink r:id="rId8" w:tgtFrame="_blank" w:tooltip="https://oer.suny.edu/get-funding/" w:history="1">
        <w:r w:rsidRPr="0004159A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campus-based funds</w:t>
        </w:r>
      </w:hyperlink>
      <w:r w:rsidRPr="0004159A">
        <w:t xml:space="preserve"> </w:t>
      </w:r>
      <w:r w:rsidR="0004159A">
        <w:t>(</w:t>
      </w:r>
      <w:r w:rsidR="0004159A" w:rsidRPr="0004159A">
        <w:t>https://oer.suny.edu/get-funding</w:t>
      </w:r>
      <w:r w:rsidR="0004159A">
        <w:t xml:space="preserve">) </w:t>
      </w:r>
      <w:r w:rsidRPr="0004159A">
        <w:t xml:space="preserve">with the </w:t>
      </w:r>
      <w:r w:rsidRPr="0004159A">
        <w:rPr>
          <w:rFonts w:ascii="Calibri" w:hAnsi="Calibri" w:cs="Calibri"/>
          <w:color w:val="000000"/>
          <w:shd w:val="clear" w:color="auto" w:fill="FFFFFF"/>
        </w:rPr>
        <w:t xml:space="preserve">expectation that campuses would use those funds to support the adoption and sustained use of OER, as best they saw fit.  At Old Westbury, </w:t>
      </w:r>
      <w:r w:rsidR="00D56C3A" w:rsidRPr="0004159A">
        <w:rPr>
          <w:rFonts w:ascii="Calibri" w:hAnsi="Calibri" w:cs="Calibri"/>
          <w:color w:val="000000"/>
          <w:shd w:val="clear" w:color="auto" w:fill="FFFFFF"/>
        </w:rPr>
        <w:t xml:space="preserve">most of the funds were used to support the faculty incentive stipend program.  </w:t>
      </w:r>
    </w:p>
    <w:p w14:paraId="3F2248F9" w14:textId="77777777" w:rsidR="00D56C3A" w:rsidRPr="0004159A" w:rsidRDefault="00371E97" w:rsidP="00D56C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4159A">
        <w:rPr>
          <w:rFonts w:ascii="Calibri" w:eastAsia="Times New Roman" w:hAnsi="Calibri" w:cs="Calibri"/>
          <w:color w:val="000000"/>
        </w:rPr>
        <w:t>SUNY OER support for 2020-21 includes:</w:t>
      </w:r>
    </w:p>
    <w:p w14:paraId="2473E5C6" w14:textId="27917591" w:rsidR="00371E97" w:rsidRPr="0004159A" w:rsidRDefault="00371E97" w:rsidP="00C319EC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4159A">
        <w:rPr>
          <w:rFonts w:ascii="Calibri" w:eastAsia="Times New Roman" w:hAnsi="Calibri" w:cs="Calibri"/>
          <w:color w:val="000000"/>
        </w:rPr>
        <w:t xml:space="preserve">All content and platforms at </w:t>
      </w:r>
      <w:hyperlink r:id="rId9" w:history="1">
        <w:r w:rsidR="00C319EC" w:rsidRPr="0004159A">
          <w:rPr>
            <w:rStyle w:val="Hyperlink"/>
            <w:rFonts w:ascii="Calibri" w:eastAsia="Times New Roman" w:hAnsi="Calibri" w:cs="Calibri"/>
          </w:rPr>
          <w:t>https://oer.suny.edu</w:t>
        </w:r>
      </w:hyperlink>
      <w:r w:rsidR="00C319EC" w:rsidRPr="0004159A">
        <w:rPr>
          <w:rFonts w:ascii="Calibri" w:eastAsia="Times New Roman" w:hAnsi="Calibri" w:cs="Calibri"/>
          <w:color w:val="000000"/>
        </w:rPr>
        <w:t xml:space="preserve"> </w:t>
      </w:r>
      <w:r w:rsidRPr="0004159A">
        <w:rPr>
          <w:rFonts w:ascii="Calibri" w:eastAsia="Times New Roman" w:hAnsi="Calibri" w:cs="Calibri"/>
          <w:color w:val="000000"/>
        </w:rPr>
        <w:t>remain available at no cost to SUNY faculty and students.</w:t>
      </w:r>
    </w:p>
    <w:p w14:paraId="0D42AA56" w14:textId="77777777" w:rsidR="00371E97" w:rsidRPr="0004159A" w:rsidRDefault="00371E97" w:rsidP="00D56C3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4159A">
        <w:rPr>
          <w:rFonts w:ascii="Calibri" w:eastAsia="Times New Roman" w:hAnsi="Calibri" w:cs="Calibri"/>
          <w:color w:val="000000"/>
        </w:rPr>
        <w:t>Professional development opportunities available through Lumen Circles (formerly Faculty Guild) remain at no cost to SUNY campuses and faculty.</w:t>
      </w:r>
    </w:p>
    <w:p w14:paraId="518D4AB5" w14:textId="0CB2C564" w:rsidR="00371E97" w:rsidRPr="0004159A" w:rsidRDefault="00EC11A3" w:rsidP="00D56C3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4159A">
        <w:rPr>
          <w:rFonts w:ascii="Calibri" w:eastAsia="Times New Roman" w:hAnsi="Calibri" w:cs="Calibri"/>
          <w:color w:val="000000"/>
        </w:rPr>
        <w:t xml:space="preserve">OER </w:t>
      </w:r>
      <w:r w:rsidR="00371E97" w:rsidRPr="0004159A">
        <w:rPr>
          <w:rFonts w:ascii="Calibri" w:eastAsia="Times New Roman" w:hAnsi="Calibri" w:cs="Calibri"/>
          <w:color w:val="000000"/>
        </w:rPr>
        <w:t xml:space="preserve">Sustainability </w:t>
      </w:r>
      <w:r w:rsidRPr="0004159A">
        <w:rPr>
          <w:rFonts w:ascii="Calibri" w:eastAsia="Times New Roman" w:hAnsi="Calibri" w:cs="Calibri"/>
          <w:color w:val="000000"/>
        </w:rPr>
        <w:t>2-Year C</w:t>
      </w:r>
      <w:r w:rsidR="00371E97" w:rsidRPr="0004159A">
        <w:rPr>
          <w:rFonts w:ascii="Calibri" w:eastAsia="Times New Roman" w:hAnsi="Calibri" w:cs="Calibri"/>
          <w:color w:val="000000"/>
        </w:rPr>
        <w:t>ohorts</w:t>
      </w:r>
      <w:r w:rsidR="009D4B14" w:rsidRPr="0004159A">
        <w:rPr>
          <w:rFonts w:ascii="Calibri" w:eastAsia="Times New Roman" w:hAnsi="Calibri" w:cs="Calibri"/>
          <w:color w:val="000000"/>
        </w:rPr>
        <w:t xml:space="preserve">, </w:t>
      </w:r>
      <w:r w:rsidRPr="0004159A">
        <w:rPr>
          <w:rFonts w:ascii="Calibri" w:eastAsia="Times New Roman" w:hAnsi="Calibri" w:cs="Calibri"/>
          <w:color w:val="000000"/>
        </w:rPr>
        <w:t>conducted by S</w:t>
      </w:r>
      <w:r w:rsidR="009D4B14" w:rsidRPr="0004159A">
        <w:rPr>
          <w:rFonts w:ascii="Calibri" w:eastAsia="Times New Roman" w:hAnsi="Calibri" w:cs="Calibri"/>
          <w:color w:val="000000"/>
        </w:rPr>
        <w:t xml:space="preserve">UNY OER Services </w:t>
      </w:r>
      <w:r w:rsidRPr="0004159A">
        <w:rPr>
          <w:rFonts w:ascii="Calibri" w:eastAsia="Times New Roman" w:hAnsi="Calibri" w:cs="Calibri"/>
          <w:color w:val="000000"/>
        </w:rPr>
        <w:t xml:space="preserve">and the </w:t>
      </w:r>
      <w:proofErr w:type="spellStart"/>
      <w:r w:rsidRPr="0004159A">
        <w:rPr>
          <w:rFonts w:ascii="Calibri" w:eastAsia="Times New Roman" w:hAnsi="Calibri" w:cs="Calibri"/>
          <w:color w:val="000000"/>
        </w:rPr>
        <w:t>rpk</w:t>
      </w:r>
      <w:proofErr w:type="spellEnd"/>
      <w:r w:rsidRPr="0004159A">
        <w:rPr>
          <w:rFonts w:ascii="Calibri" w:eastAsia="Times New Roman" w:hAnsi="Calibri" w:cs="Calibri"/>
          <w:color w:val="000000"/>
        </w:rPr>
        <w:t xml:space="preserve"> GROUP</w:t>
      </w:r>
      <w:r w:rsidR="009D4B14" w:rsidRPr="0004159A">
        <w:rPr>
          <w:rFonts w:ascii="Calibri" w:eastAsia="Times New Roman" w:hAnsi="Calibri" w:cs="Calibri"/>
          <w:color w:val="000000"/>
        </w:rPr>
        <w:t>,</w:t>
      </w:r>
      <w:r w:rsidRPr="0004159A">
        <w:rPr>
          <w:rFonts w:ascii="Calibri" w:eastAsia="Times New Roman" w:hAnsi="Calibri" w:cs="Calibri"/>
          <w:color w:val="000000"/>
        </w:rPr>
        <w:t xml:space="preserve"> </w:t>
      </w:r>
      <w:r w:rsidR="00371E97" w:rsidRPr="0004159A">
        <w:rPr>
          <w:rFonts w:ascii="Calibri" w:eastAsia="Times New Roman" w:hAnsi="Calibri" w:cs="Calibri"/>
          <w:color w:val="000000"/>
        </w:rPr>
        <w:t>for participating campuses will continue</w:t>
      </w:r>
      <w:r w:rsidRPr="0004159A">
        <w:rPr>
          <w:rFonts w:ascii="Calibri" w:eastAsia="Times New Roman" w:hAnsi="Calibri" w:cs="Calibri"/>
          <w:color w:val="000000"/>
        </w:rPr>
        <w:t>.</w:t>
      </w:r>
    </w:p>
    <w:p w14:paraId="24FD98DD" w14:textId="37E00C49" w:rsidR="00371E97" w:rsidRPr="0004159A" w:rsidRDefault="00371E97" w:rsidP="00D56C3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4159A">
        <w:rPr>
          <w:rFonts w:ascii="Calibri" w:eastAsia="Times New Roman" w:hAnsi="Calibri" w:cs="Calibri"/>
          <w:color w:val="000000"/>
        </w:rPr>
        <w:t xml:space="preserve">At present there is no funding for campuses (any available may be based on campus reported OER activity in SIRIS for AY19-20. A per dollar amount would be assigned to </w:t>
      </w:r>
      <w:r w:rsidR="005914D9">
        <w:rPr>
          <w:rFonts w:ascii="Calibri" w:eastAsia="Times New Roman" w:hAnsi="Calibri" w:cs="Calibri"/>
          <w:color w:val="000000"/>
        </w:rPr>
        <w:t>each student enrolled i</w:t>
      </w:r>
      <w:r w:rsidRPr="0004159A">
        <w:rPr>
          <w:rFonts w:ascii="Calibri" w:eastAsia="Times New Roman" w:hAnsi="Calibri" w:cs="Calibri"/>
          <w:color w:val="000000"/>
        </w:rPr>
        <w:t>n an OER section.)</w:t>
      </w:r>
      <w:r w:rsidR="00D56C3A" w:rsidRPr="0004159A">
        <w:rPr>
          <w:rFonts w:ascii="Calibri" w:eastAsia="Times New Roman" w:hAnsi="Calibri" w:cs="Calibri"/>
          <w:color w:val="000000"/>
        </w:rPr>
        <w:t>.</w:t>
      </w:r>
      <w:r w:rsidRPr="0004159A">
        <w:rPr>
          <w:rFonts w:ascii="Calibri" w:eastAsia="Times New Roman" w:hAnsi="Calibri" w:cs="Calibri"/>
          <w:color w:val="000000"/>
        </w:rPr>
        <w:t xml:space="preserve"> </w:t>
      </w:r>
    </w:p>
    <w:p w14:paraId="01721BE1" w14:textId="77777777" w:rsidR="00E46B5A" w:rsidRPr="0004159A" w:rsidRDefault="00E46B5A" w:rsidP="00203B34">
      <w:pPr>
        <w:spacing w:after="0" w:line="240" w:lineRule="auto"/>
        <w:rPr>
          <w:b/>
        </w:rPr>
      </w:pPr>
    </w:p>
    <w:p w14:paraId="03AAA897" w14:textId="4AE4907B" w:rsidR="00581BCF" w:rsidRPr="004F4572" w:rsidRDefault="00E46B5A" w:rsidP="004D7666">
      <w:pPr>
        <w:spacing w:after="0" w:line="240" w:lineRule="auto"/>
        <w:rPr>
          <w:b/>
        </w:rPr>
      </w:pPr>
      <w:r>
        <w:rPr>
          <w:b/>
        </w:rPr>
        <w:t xml:space="preserve">Professional Development Opportunities </w:t>
      </w:r>
    </w:p>
    <w:p w14:paraId="53BD391B" w14:textId="43B0833F" w:rsidR="00C7544B" w:rsidRDefault="004F4572" w:rsidP="00C7544B">
      <w:pPr>
        <w:spacing w:after="0" w:line="240" w:lineRule="auto"/>
      </w:pPr>
      <w:r>
        <w:t>The Committee</w:t>
      </w:r>
      <w:r w:rsidR="00AC511F">
        <w:t xml:space="preserve"> </w:t>
      </w:r>
      <w:r w:rsidR="00686803">
        <w:t xml:space="preserve">kept the </w:t>
      </w:r>
      <w:r w:rsidR="00AC511F">
        <w:t>faculty</w:t>
      </w:r>
      <w:r w:rsidR="00686803">
        <w:t xml:space="preserve"> informed </w:t>
      </w:r>
      <w:r w:rsidR="00AC511F">
        <w:t>about</w:t>
      </w:r>
      <w:r w:rsidR="000223CB">
        <w:t xml:space="preserve"> </w:t>
      </w:r>
      <w:r w:rsidR="003800CD">
        <w:t xml:space="preserve">OER related </w:t>
      </w:r>
      <w:r w:rsidR="00686803">
        <w:t xml:space="preserve">conferences, webinars, workshops, and training opportunities by email.  These include: </w:t>
      </w:r>
      <w:r w:rsidR="000223CB">
        <w:t xml:space="preserve">the </w:t>
      </w:r>
      <w:r w:rsidR="00C7544B" w:rsidRPr="003800CD">
        <w:rPr>
          <w:i/>
          <w:iCs/>
        </w:rPr>
        <w:t>2020 Creative Commons G​lobal Summit</w:t>
      </w:r>
      <w:r w:rsidR="00686803">
        <w:t xml:space="preserve">; </w:t>
      </w:r>
      <w:r w:rsidR="00C7544B" w:rsidRPr="003800CD">
        <w:rPr>
          <w:i/>
          <w:iCs/>
        </w:rPr>
        <w:t>Open Education Conference</w:t>
      </w:r>
      <w:r w:rsidR="00686803">
        <w:t xml:space="preserve">; </w:t>
      </w:r>
      <w:r w:rsidR="00C7544B" w:rsidRPr="003800CD">
        <w:rPr>
          <w:i/>
          <w:iCs/>
        </w:rPr>
        <w:t xml:space="preserve">Stony Brook's Annual OER </w:t>
      </w:r>
      <w:r w:rsidR="00686803" w:rsidRPr="003800CD">
        <w:rPr>
          <w:i/>
          <w:iCs/>
        </w:rPr>
        <w:t>Colloquium</w:t>
      </w:r>
      <w:r w:rsidR="004C7904">
        <w:t xml:space="preserve">; </w:t>
      </w:r>
      <w:r w:rsidR="004946E2" w:rsidRPr="003800CD">
        <w:rPr>
          <w:i/>
          <w:iCs/>
        </w:rPr>
        <w:t>Lumen Circles Fellowships</w:t>
      </w:r>
      <w:r w:rsidR="004C7904">
        <w:t xml:space="preserve">; </w:t>
      </w:r>
      <w:r w:rsidR="00E96F3D" w:rsidRPr="003800CD">
        <w:rPr>
          <w:rFonts w:ascii="Calibri" w:hAnsi="Calibri" w:cs="Calibri"/>
          <w:i/>
          <w:iCs/>
          <w:color w:val="000000"/>
          <w:sz w:val="23"/>
          <w:szCs w:val="23"/>
          <w:bdr w:val="none" w:sz="0" w:space="0" w:color="auto" w:frame="1"/>
        </w:rPr>
        <w:t>OER as a Part of Your Course: An Open Discussion</w:t>
      </w:r>
      <w:r w:rsidR="002E1B5E" w:rsidRPr="002E1B5E">
        <w:rPr>
          <w:rFonts w:ascii="Calibri" w:hAnsi="Calibri" w:cs="Calibri"/>
          <w:color w:val="000000"/>
          <w:sz w:val="23"/>
          <w:szCs w:val="23"/>
          <w:bdr w:val="none" w:sz="0" w:space="0" w:color="auto" w:frame="1"/>
        </w:rPr>
        <w:t xml:space="preserve"> </w:t>
      </w:r>
      <w:r w:rsidR="004C7904">
        <w:rPr>
          <w:rFonts w:ascii="Calibri" w:hAnsi="Calibri" w:cs="Calibri"/>
          <w:color w:val="000000"/>
          <w:sz w:val="23"/>
          <w:szCs w:val="23"/>
          <w:bdr w:val="none" w:sz="0" w:space="0" w:color="auto" w:frame="1"/>
        </w:rPr>
        <w:t>(</w:t>
      </w:r>
      <w:r w:rsidR="002E1B5E" w:rsidRPr="002E1B5E">
        <w:rPr>
          <w:rFonts w:ascii="Calibri" w:hAnsi="Calibri" w:cs="Calibri"/>
          <w:color w:val="000000"/>
          <w:sz w:val="23"/>
          <w:szCs w:val="23"/>
          <w:bdr w:val="none" w:sz="0" w:space="0" w:color="auto" w:frame="1"/>
        </w:rPr>
        <w:t>SUNY OER Services and OLI</w:t>
      </w:r>
      <w:r w:rsidR="004C7904">
        <w:rPr>
          <w:rFonts w:ascii="Calibri" w:hAnsi="Calibri" w:cs="Calibri"/>
          <w:color w:val="000000"/>
          <w:sz w:val="23"/>
          <w:szCs w:val="23"/>
          <w:bdr w:val="none" w:sz="0" w:space="0" w:color="auto" w:frame="1"/>
        </w:rPr>
        <w:t xml:space="preserve">); </w:t>
      </w:r>
      <w:r w:rsidR="003800CD" w:rsidRPr="003800CD">
        <w:rPr>
          <w:rFonts w:ascii="Calibri" w:hAnsi="Calibri" w:cs="Calibri"/>
          <w:i/>
          <w:iCs/>
          <w:color w:val="000000"/>
          <w:sz w:val="23"/>
          <w:szCs w:val="23"/>
          <w:bdr w:val="none" w:sz="0" w:space="0" w:color="auto" w:frame="1"/>
        </w:rPr>
        <w:t>Finding, Understanding, and Integrating OER</w:t>
      </w:r>
      <w:r w:rsidR="003800CD">
        <w:rPr>
          <w:rFonts w:ascii="Calibri" w:hAnsi="Calibri" w:cs="Calibri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="003800CD" w:rsidRPr="003800CD">
        <w:rPr>
          <w:rFonts w:ascii="Calibri" w:hAnsi="Calibri" w:cs="Calibri"/>
          <w:color w:val="000000"/>
          <w:sz w:val="23"/>
          <w:szCs w:val="23"/>
          <w:bdr w:val="none" w:sz="0" w:space="0" w:color="auto" w:frame="1"/>
        </w:rPr>
        <w:t>(University at Buffalo);</w:t>
      </w:r>
      <w:r w:rsidR="003800CD">
        <w:rPr>
          <w:rFonts w:ascii="Calibri" w:hAnsi="Calibri" w:cs="Calibri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 w:rsidR="002E1B5E" w:rsidRPr="003800CD">
        <w:rPr>
          <w:rFonts w:ascii="Calibri" w:hAnsi="Calibri" w:cs="Calibri"/>
          <w:i/>
          <w:iCs/>
          <w:color w:val="000000"/>
          <w:sz w:val="23"/>
          <w:szCs w:val="23"/>
          <w:bdr w:val="none" w:sz="0" w:space="0" w:color="auto" w:frame="1"/>
        </w:rPr>
        <w:t>Open Pedagogy</w:t>
      </w:r>
      <w:r w:rsidR="004C7904">
        <w:rPr>
          <w:rFonts w:ascii="Calibri" w:hAnsi="Calibri" w:cs="Calibri"/>
          <w:color w:val="000000"/>
          <w:sz w:val="23"/>
          <w:szCs w:val="23"/>
          <w:bdr w:val="none" w:sz="0" w:space="0" w:color="auto" w:frame="1"/>
        </w:rPr>
        <w:t xml:space="preserve"> (</w:t>
      </w:r>
      <w:r w:rsidR="002E1B5E">
        <w:rPr>
          <w:rFonts w:ascii="Calibri" w:hAnsi="Calibri" w:cs="Calibri"/>
          <w:color w:val="000000"/>
          <w:sz w:val="23"/>
          <w:szCs w:val="23"/>
          <w:bdr w:val="none" w:sz="0" w:space="0" w:color="auto" w:frame="1"/>
        </w:rPr>
        <w:t>U</w:t>
      </w:r>
      <w:r w:rsidR="002E1B5E" w:rsidRPr="002E1B5E">
        <w:rPr>
          <w:rFonts w:ascii="Calibri" w:hAnsi="Calibri" w:cs="Calibri"/>
          <w:color w:val="000000"/>
          <w:sz w:val="23"/>
          <w:szCs w:val="23"/>
          <w:bdr w:val="none" w:sz="0" w:space="0" w:color="auto" w:frame="1"/>
        </w:rPr>
        <w:t>niversity at Buffalo</w:t>
      </w:r>
      <w:r w:rsidR="004C7904">
        <w:rPr>
          <w:rFonts w:ascii="Calibri" w:hAnsi="Calibri" w:cs="Calibri"/>
          <w:color w:val="000000"/>
          <w:sz w:val="23"/>
          <w:szCs w:val="23"/>
          <w:bdr w:val="none" w:sz="0" w:space="0" w:color="auto" w:frame="1"/>
        </w:rPr>
        <w:t>)</w:t>
      </w:r>
      <w:r w:rsidR="004C7904">
        <w:t xml:space="preserve">; and </w:t>
      </w:r>
      <w:r w:rsidR="003800CD" w:rsidRPr="003800CD">
        <w:rPr>
          <w:i/>
          <w:iCs/>
        </w:rPr>
        <w:t xml:space="preserve">SUNY OER Services and </w:t>
      </w:r>
      <w:r w:rsidR="00C7544B" w:rsidRPr="003800CD">
        <w:rPr>
          <w:i/>
          <w:iCs/>
        </w:rPr>
        <w:t>SUNY Strong Start to Finish: OER &amp; Corequisite English and Math Courses</w:t>
      </w:r>
      <w:r w:rsidR="00C7544B" w:rsidRPr="00C7544B">
        <w:t>.</w:t>
      </w:r>
      <w:r w:rsidR="003800CD">
        <w:t xml:space="preserve">  </w:t>
      </w:r>
      <w:r w:rsidR="00C7544B" w:rsidRPr="00881A15">
        <w:t xml:space="preserve">On </w:t>
      </w:r>
      <w:r w:rsidR="00C7544B">
        <w:t xml:space="preserve">August 28, 2020, J. Spadaro provided the </w:t>
      </w:r>
      <w:r w:rsidR="00C7544B" w:rsidRPr="004F4572">
        <w:rPr>
          <w:i/>
          <w:iCs/>
        </w:rPr>
        <w:t>Open Educational Resources (OER) &amp; Creative Commons</w:t>
      </w:r>
      <w:r w:rsidR="00C7544B">
        <w:t xml:space="preserve"> webinar for</w:t>
      </w:r>
      <w:r w:rsidR="003800CD">
        <w:t xml:space="preserve"> </w:t>
      </w:r>
      <w:r w:rsidR="00C7544B" w:rsidRPr="00881A15">
        <w:t>faculty</w:t>
      </w:r>
      <w:r w:rsidR="00C7544B">
        <w:t>.</w:t>
      </w:r>
      <w:r w:rsidR="00C7544B" w:rsidRPr="00881A15">
        <w:t xml:space="preserve">  Th</w:t>
      </w:r>
      <w:r w:rsidR="003800CD">
        <w:t xml:space="preserve">at </w:t>
      </w:r>
      <w:r w:rsidR="00C7544B" w:rsidRPr="00881A15">
        <w:t>w</w:t>
      </w:r>
      <w:r w:rsidR="00C7544B">
        <w:t>ebinar was offered through</w:t>
      </w:r>
      <w:r w:rsidR="00C7544B" w:rsidRPr="00881A15">
        <w:t xml:space="preserve"> </w:t>
      </w:r>
      <w:r w:rsidR="00C7544B">
        <w:t>the S</w:t>
      </w:r>
      <w:r w:rsidR="00C7544B" w:rsidRPr="00881A15">
        <w:t>UNY Old Westbury Library</w:t>
      </w:r>
      <w:r w:rsidR="00C7544B">
        <w:t xml:space="preserve"> and C</w:t>
      </w:r>
      <w:r w:rsidR="00456616">
        <w:t>enter for Excellence in Teaching and Learning (C</w:t>
      </w:r>
      <w:r w:rsidR="00C7544B">
        <w:t>ETL</w:t>
      </w:r>
      <w:r w:rsidR="00456616">
        <w:t>)</w:t>
      </w:r>
      <w:r w:rsidR="00C7544B" w:rsidRPr="00881A15">
        <w:t>.</w:t>
      </w:r>
      <w:r w:rsidR="00C7544B">
        <w:t xml:space="preserve"> </w:t>
      </w:r>
    </w:p>
    <w:p w14:paraId="6FC65534" w14:textId="77777777" w:rsidR="00C7544B" w:rsidRPr="002E1B5E" w:rsidRDefault="00C7544B" w:rsidP="004D7666">
      <w:pPr>
        <w:spacing w:after="0" w:line="240" w:lineRule="auto"/>
      </w:pPr>
    </w:p>
    <w:p w14:paraId="50C3D956" w14:textId="59541ACB" w:rsidR="005418CB" w:rsidRDefault="005418CB" w:rsidP="00203B34">
      <w:pPr>
        <w:spacing w:after="0" w:line="240" w:lineRule="auto"/>
        <w:rPr>
          <w:b/>
        </w:rPr>
      </w:pPr>
      <w:r w:rsidRPr="00811911">
        <w:rPr>
          <w:b/>
        </w:rPr>
        <w:t>III.  Future Planning</w:t>
      </w:r>
    </w:p>
    <w:p w14:paraId="0A94C261" w14:textId="338E236B" w:rsidR="0042102A" w:rsidRPr="00F24CEA" w:rsidRDefault="00AB29C8" w:rsidP="00203B34">
      <w:pPr>
        <w:spacing w:after="0" w:line="240" w:lineRule="auto"/>
        <w:rPr>
          <w:bCs/>
        </w:rPr>
      </w:pPr>
      <w:r>
        <w:rPr>
          <w:bCs/>
        </w:rPr>
        <w:t>T</w:t>
      </w:r>
      <w:r w:rsidR="0042102A" w:rsidRPr="00F24CEA">
        <w:rPr>
          <w:bCs/>
        </w:rPr>
        <w:t xml:space="preserve">he Committee is planning to have a faculty </w:t>
      </w:r>
      <w:r w:rsidR="000223CB">
        <w:rPr>
          <w:bCs/>
        </w:rPr>
        <w:t xml:space="preserve">OER </w:t>
      </w:r>
      <w:r w:rsidR="0042102A" w:rsidRPr="00F24CEA">
        <w:rPr>
          <w:bCs/>
        </w:rPr>
        <w:t>roundtable</w:t>
      </w:r>
      <w:r w:rsidR="000223CB">
        <w:rPr>
          <w:bCs/>
        </w:rPr>
        <w:t xml:space="preserve"> </w:t>
      </w:r>
      <w:r w:rsidR="00AB3A1F" w:rsidRPr="00F24CEA">
        <w:rPr>
          <w:bCs/>
        </w:rPr>
        <w:t>featuring presentations</w:t>
      </w:r>
      <w:r w:rsidR="000223CB">
        <w:rPr>
          <w:bCs/>
        </w:rPr>
        <w:t xml:space="preserve"> by f</w:t>
      </w:r>
      <w:r w:rsidR="00AB3A1F" w:rsidRPr="00F24CEA">
        <w:rPr>
          <w:bCs/>
        </w:rPr>
        <w:t>aculty t</w:t>
      </w:r>
      <w:r w:rsidR="0042102A" w:rsidRPr="00F24CEA">
        <w:rPr>
          <w:bCs/>
        </w:rPr>
        <w:t xml:space="preserve">eaching </w:t>
      </w:r>
      <w:r w:rsidR="00AB3A1F" w:rsidRPr="00F24CEA">
        <w:rPr>
          <w:bCs/>
        </w:rPr>
        <w:t>with OER.  We are also planning a</w:t>
      </w:r>
      <w:r>
        <w:rPr>
          <w:bCs/>
        </w:rPr>
        <w:t xml:space="preserve"> spring</w:t>
      </w:r>
      <w:r w:rsidR="00456616">
        <w:rPr>
          <w:bCs/>
        </w:rPr>
        <w:t xml:space="preserve"> </w:t>
      </w:r>
      <w:r w:rsidR="00AB3A1F" w:rsidRPr="00F24CEA">
        <w:rPr>
          <w:bCs/>
        </w:rPr>
        <w:t xml:space="preserve">event for students in collaboration with SGA. </w:t>
      </w:r>
      <w:r w:rsidR="00F24CEA">
        <w:rPr>
          <w:bCs/>
        </w:rPr>
        <w:t xml:space="preserve"> </w:t>
      </w:r>
      <w:r w:rsidR="00AB3A1F" w:rsidRPr="00F24CEA">
        <w:rPr>
          <w:bCs/>
        </w:rPr>
        <w:t xml:space="preserve">Both events will take place on Zoom.  </w:t>
      </w:r>
      <w:r w:rsidR="0042102A" w:rsidRPr="00F24CEA">
        <w:rPr>
          <w:bCs/>
        </w:rPr>
        <w:t xml:space="preserve"> </w:t>
      </w:r>
    </w:p>
    <w:p w14:paraId="50FAD10C" w14:textId="4B27028B" w:rsidR="00EF3559" w:rsidRPr="00EF3559" w:rsidRDefault="00EF3559" w:rsidP="006E1524">
      <w:pPr>
        <w:pStyle w:val="ListParagraph"/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5E6061BC" w14:textId="14312AE9" w:rsidR="00142780" w:rsidRDefault="00142780" w:rsidP="00FD6158">
      <w:pPr>
        <w:pStyle w:val="ListParagraph"/>
        <w:spacing w:after="0" w:line="240" w:lineRule="auto"/>
      </w:pPr>
    </w:p>
    <w:sectPr w:rsidR="00142780" w:rsidSect="00D51249">
      <w:headerReference w:type="default" r:id="rId10"/>
      <w:footerReference w:type="default" r:id="rId11"/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7856C" w14:textId="77777777" w:rsidR="00CC1778" w:rsidRDefault="00CC1778" w:rsidP="00481FB9">
      <w:pPr>
        <w:spacing w:after="0" w:line="240" w:lineRule="auto"/>
      </w:pPr>
      <w:r>
        <w:separator/>
      </w:r>
    </w:p>
  </w:endnote>
  <w:endnote w:type="continuationSeparator" w:id="0">
    <w:p w14:paraId="38F1F907" w14:textId="77777777" w:rsidR="00CC1778" w:rsidRDefault="00CC1778" w:rsidP="0048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12436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B558C" w14:textId="0036B9D3" w:rsidR="00987EFD" w:rsidRDefault="00987E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A6C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415AED" w14:textId="77777777" w:rsidR="00D51249" w:rsidRDefault="00D51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3BAE6" w14:textId="77777777" w:rsidR="00CC1778" w:rsidRDefault="00CC1778" w:rsidP="00481FB9">
      <w:pPr>
        <w:spacing w:after="0" w:line="240" w:lineRule="auto"/>
      </w:pPr>
      <w:r>
        <w:separator/>
      </w:r>
    </w:p>
  </w:footnote>
  <w:footnote w:type="continuationSeparator" w:id="0">
    <w:p w14:paraId="1B899F27" w14:textId="77777777" w:rsidR="00CC1778" w:rsidRDefault="00CC1778" w:rsidP="0048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C65FC" w14:textId="0C0E441C" w:rsidR="00D51249" w:rsidRDefault="004C038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1610244918"/>
        <w:placeholder>
          <w:docPart w:val="417786AD67334C3BBA02823C537620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51249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Ad Hoc Open Educational Res</w:t>
        </w:r>
        <w:r w:rsidR="0022380D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 xml:space="preserve">ources Committee </w:t>
        </w:r>
        <w:r w:rsidR="0078138D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Fall</w:t>
        </w:r>
        <w:r w:rsidR="0022380D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 xml:space="preserve"> 2020 </w:t>
        </w:r>
        <w:r w:rsidR="00D51249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Report</w:t>
        </w:r>
      </w:sdtContent>
    </w:sdt>
  </w:p>
  <w:p w14:paraId="740E7045" w14:textId="77777777" w:rsidR="00D51249" w:rsidRDefault="00D51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BBD"/>
    <w:multiLevelType w:val="hybridMultilevel"/>
    <w:tmpl w:val="C7E0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C14DC"/>
    <w:multiLevelType w:val="hybridMultilevel"/>
    <w:tmpl w:val="BDC4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D7323"/>
    <w:multiLevelType w:val="hybridMultilevel"/>
    <w:tmpl w:val="621066CC"/>
    <w:lvl w:ilvl="0" w:tplc="CCF08980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51E75E25"/>
    <w:multiLevelType w:val="hybridMultilevel"/>
    <w:tmpl w:val="1B82D42C"/>
    <w:lvl w:ilvl="0" w:tplc="04EADA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31B5C"/>
    <w:multiLevelType w:val="hybridMultilevel"/>
    <w:tmpl w:val="1F0463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F9626C4"/>
    <w:multiLevelType w:val="hybridMultilevel"/>
    <w:tmpl w:val="9B0CB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925D2"/>
    <w:multiLevelType w:val="hybridMultilevel"/>
    <w:tmpl w:val="8DBE3990"/>
    <w:lvl w:ilvl="0" w:tplc="7F02E5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B3"/>
    <w:rsid w:val="00020C1F"/>
    <w:rsid w:val="000223CB"/>
    <w:rsid w:val="0004159A"/>
    <w:rsid w:val="000473C2"/>
    <w:rsid w:val="0005671B"/>
    <w:rsid w:val="00060FF0"/>
    <w:rsid w:val="00067859"/>
    <w:rsid w:val="00072D9B"/>
    <w:rsid w:val="00084C93"/>
    <w:rsid w:val="00086435"/>
    <w:rsid w:val="00095DA3"/>
    <w:rsid w:val="00097DF4"/>
    <w:rsid w:val="000A7DA8"/>
    <w:rsid w:val="000B392C"/>
    <w:rsid w:val="000C3A93"/>
    <w:rsid w:val="000D1A99"/>
    <w:rsid w:val="000D249E"/>
    <w:rsid w:val="000D5407"/>
    <w:rsid w:val="000F3380"/>
    <w:rsid w:val="000F774E"/>
    <w:rsid w:val="00110DC4"/>
    <w:rsid w:val="001139AD"/>
    <w:rsid w:val="00114C36"/>
    <w:rsid w:val="001239BF"/>
    <w:rsid w:val="0012405B"/>
    <w:rsid w:val="00125968"/>
    <w:rsid w:val="0013213F"/>
    <w:rsid w:val="00142780"/>
    <w:rsid w:val="001506EC"/>
    <w:rsid w:val="00152E60"/>
    <w:rsid w:val="0015453F"/>
    <w:rsid w:val="0017603A"/>
    <w:rsid w:val="0018488E"/>
    <w:rsid w:val="00185A06"/>
    <w:rsid w:val="00187C9E"/>
    <w:rsid w:val="00191643"/>
    <w:rsid w:val="0019425A"/>
    <w:rsid w:val="001A2F2B"/>
    <w:rsid w:val="001A4707"/>
    <w:rsid w:val="001B059F"/>
    <w:rsid w:val="001B05CF"/>
    <w:rsid w:val="001B29CC"/>
    <w:rsid w:val="001C2E2C"/>
    <w:rsid w:val="001C597D"/>
    <w:rsid w:val="001D4BF0"/>
    <w:rsid w:val="001E6E77"/>
    <w:rsid w:val="001F2767"/>
    <w:rsid w:val="002020C0"/>
    <w:rsid w:val="00202B26"/>
    <w:rsid w:val="00203B34"/>
    <w:rsid w:val="002132EB"/>
    <w:rsid w:val="00221211"/>
    <w:rsid w:val="0022380D"/>
    <w:rsid w:val="002411AF"/>
    <w:rsid w:val="002476BD"/>
    <w:rsid w:val="00247D13"/>
    <w:rsid w:val="00254D27"/>
    <w:rsid w:val="00255255"/>
    <w:rsid w:val="0026031E"/>
    <w:rsid w:val="00262A52"/>
    <w:rsid w:val="002808E0"/>
    <w:rsid w:val="002814B4"/>
    <w:rsid w:val="00282D0A"/>
    <w:rsid w:val="0028337F"/>
    <w:rsid w:val="00285B85"/>
    <w:rsid w:val="00287574"/>
    <w:rsid w:val="002A04DB"/>
    <w:rsid w:val="002A79FD"/>
    <w:rsid w:val="002B3C24"/>
    <w:rsid w:val="002B4769"/>
    <w:rsid w:val="002B60F9"/>
    <w:rsid w:val="002C1353"/>
    <w:rsid w:val="002C7FFA"/>
    <w:rsid w:val="002D0DF4"/>
    <w:rsid w:val="002E0A8E"/>
    <w:rsid w:val="002E1B5E"/>
    <w:rsid w:val="002E2943"/>
    <w:rsid w:val="002F1377"/>
    <w:rsid w:val="002F1A74"/>
    <w:rsid w:val="002F430A"/>
    <w:rsid w:val="002F5F6F"/>
    <w:rsid w:val="002F7030"/>
    <w:rsid w:val="00307DFF"/>
    <w:rsid w:val="003227D7"/>
    <w:rsid w:val="0033109F"/>
    <w:rsid w:val="003316CD"/>
    <w:rsid w:val="00343863"/>
    <w:rsid w:val="00346F40"/>
    <w:rsid w:val="0035036F"/>
    <w:rsid w:val="0035151A"/>
    <w:rsid w:val="00352AD0"/>
    <w:rsid w:val="0035321D"/>
    <w:rsid w:val="00366C7E"/>
    <w:rsid w:val="00371E97"/>
    <w:rsid w:val="003776F8"/>
    <w:rsid w:val="003800CD"/>
    <w:rsid w:val="00382FA6"/>
    <w:rsid w:val="00390557"/>
    <w:rsid w:val="003A727B"/>
    <w:rsid w:val="003C0396"/>
    <w:rsid w:val="003D5ACF"/>
    <w:rsid w:val="003E2163"/>
    <w:rsid w:val="003F1BAA"/>
    <w:rsid w:val="00404B74"/>
    <w:rsid w:val="004065E2"/>
    <w:rsid w:val="0040770B"/>
    <w:rsid w:val="0042102A"/>
    <w:rsid w:val="00421825"/>
    <w:rsid w:val="0042414D"/>
    <w:rsid w:val="00424D33"/>
    <w:rsid w:val="00431125"/>
    <w:rsid w:val="004341B3"/>
    <w:rsid w:val="00456616"/>
    <w:rsid w:val="00461AE0"/>
    <w:rsid w:val="00461EB3"/>
    <w:rsid w:val="0047765F"/>
    <w:rsid w:val="00477D41"/>
    <w:rsid w:val="00481FB9"/>
    <w:rsid w:val="0048489F"/>
    <w:rsid w:val="004946E2"/>
    <w:rsid w:val="004947B1"/>
    <w:rsid w:val="004A783A"/>
    <w:rsid w:val="004C25FB"/>
    <w:rsid w:val="004C7904"/>
    <w:rsid w:val="004D7666"/>
    <w:rsid w:val="004E0296"/>
    <w:rsid w:val="004E451C"/>
    <w:rsid w:val="004F4572"/>
    <w:rsid w:val="00510B14"/>
    <w:rsid w:val="005138F7"/>
    <w:rsid w:val="00514898"/>
    <w:rsid w:val="00515E9F"/>
    <w:rsid w:val="00516537"/>
    <w:rsid w:val="0053200B"/>
    <w:rsid w:val="00533EC7"/>
    <w:rsid w:val="00534B33"/>
    <w:rsid w:val="005418CB"/>
    <w:rsid w:val="00551C38"/>
    <w:rsid w:val="00554D44"/>
    <w:rsid w:val="00556EB9"/>
    <w:rsid w:val="00563454"/>
    <w:rsid w:val="00572210"/>
    <w:rsid w:val="0057334B"/>
    <w:rsid w:val="00573BEF"/>
    <w:rsid w:val="005819C1"/>
    <w:rsid w:val="00581BCF"/>
    <w:rsid w:val="00582701"/>
    <w:rsid w:val="005914D9"/>
    <w:rsid w:val="00592F2B"/>
    <w:rsid w:val="0059473A"/>
    <w:rsid w:val="00594E6F"/>
    <w:rsid w:val="005B2BFB"/>
    <w:rsid w:val="005B6A37"/>
    <w:rsid w:val="005C0B60"/>
    <w:rsid w:val="005D3A8A"/>
    <w:rsid w:val="005D5CF6"/>
    <w:rsid w:val="005E0BAF"/>
    <w:rsid w:val="005E50B7"/>
    <w:rsid w:val="005F42D3"/>
    <w:rsid w:val="00611B6C"/>
    <w:rsid w:val="00616499"/>
    <w:rsid w:val="00623665"/>
    <w:rsid w:val="00631F89"/>
    <w:rsid w:val="00633378"/>
    <w:rsid w:val="006417D7"/>
    <w:rsid w:val="006721D8"/>
    <w:rsid w:val="00674574"/>
    <w:rsid w:val="00685E8E"/>
    <w:rsid w:val="00686803"/>
    <w:rsid w:val="00686DA6"/>
    <w:rsid w:val="006A4F8F"/>
    <w:rsid w:val="006B761A"/>
    <w:rsid w:val="006C3A6C"/>
    <w:rsid w:val="006C6460"/>
    <w:rsid w:val="006D1196"/>
    <w:rsid w:val="006D5372"/>
    <w:rsid w:val="006E1524"/>
    <w:rsid w:val="006E33C4"/>
    <w:rsid w:val="006F3774"/>
    <w:rsid w:val="00723FC3"/>
    <w:rsid w:val="00730DC9"/>
    <w:rsid w:val="007416BF"/>
    <w:rsid w:val="00743F48"/>
    <w:rsid w:val="00744034"/>
    <w:rsid w:val="0074463A"/>
    <w:rsid w:val="00744979"/>
    <w:rsid w:val="00753A5E"/>
    <w:rsid w:val="00760CF4"/>
    <w:rsid w:val="00763351"/>
    <w:rsid w:val="00774DD3"/>
    <w:rsid w:val="0078138D"/>
    <w:rsid w:val="00782391"/>
    <w:rsid w:val="00796682"/>
    <w:rsid w:val="007974A9"/>
    <w:rsid w:val="007A7E2B"/>
    <w:rsid w:val="007B2354"/>
    <w:rsid w:val="007B305D"/>
    <w:rsid w:val="007B7E03"/>
    <w:rsid w:val="007C28AE"/>
    <w:rsid w:val="00805964"/>
    <w:rsid w:val="00806717"/>
    <w:rsid w:val="00811911"/>
    <w:rsid w:val="00812455"/>
    <w:rsid w:val="008135EC"/>
    <w:rsid w:val="00825499"/>
    <w:rsid w:val="00825B77"/>
    <w:rsid w:val="00826423"/>
    <w:rsid w:val="00834F05"/>
    <w:rsid w:val="00841F9A"/>
    <w:rsid w:val="008526A7"/>
    <w:rsid w:val="00852A18"/>
    <w:rsid w:val="00860E61"/>
    <w:rsid w:val="00862753"/>
    <w:rsid w:val="0086602C"/>
    <w:rsid w:val="00867EA8"/>
    <w:rsid w:val="00871536"/>
    <w:rsid w:val="0088095F"/>
    <w:rsid w:val="0088113F"/>
    <w:rsid w:val="00881A15"/>
    <w:rsid w:val="00884C73"/>
    <w:rsid w:val="00885142"/>
    <w:rsid w:val="00885E99"/>
    <w:rsid w:val="0088742F"/>
    <w:rsid w:val="0089455C"/>
    <w:rsid w:val="00896A6C"/>
    <w:rsid w:val="008A0A5E"/>
    <w:rsid w:val="008C1CE0"/>
    <w:rsid w:val="008D579A"/>
    <w:rsid w:val="008E0C6A"/>
    <w:rsid w:val="008E387F"/>
    <w:rsid w:val="008F1D8D"/>
    <w:rsid w:val="00903FD4"/>
    <w:rsid w:val="00911B09"/>
    <w:rsid w:val="00913587"/>
    <w:rsid w:val="009244AF"/>
    <w:rsid w:val="00925823"/>
    <w:rsid w:val="009365C5"/>
    <w:rsid w:val="00940C44"/>
    <w:rsid w:val="00941DF8"/>
    <w:rsid w:val="00947E7A"/>
    <w:rsid w:val="00951858"/>
    <w:rsid w:val="00951DDF"/>
    <w:rsid w:val="00953CFF"/>
    <w:rsid w:val="00980131"/>
    <w:rsid w:val="00980F7D"/>
    <w:rsid w:val="0098318F"/>
    <w:rsid w:val="00984E5E"/>
    <w:rsid w:val="009854AF"/>
    <w:rsid w:val="00987EFD"/>
    <w:rsid w:val="00997D54"/>
    <w:rsid w:val="009A02D8"/>
    <w:rsid w:val="009A0562"/>
    <w:rsid w:val="009A1D3C"/>
    <w:rsid w:val="009A6461"/>
    <w:rsid w:val="009B25D0"/>
    <w:rsid w:val="009C73FC"/>
    <w:rsid w:val="009D4B14"/>
    <w:rsid w:val="009D5B29"/>
    <w:rsid w:val="00A07993"/>
    <w:rsid w:val="00A149D7"/>
    <w:rsid w:val="00A20777"/>
    <w:rsid w:val="00A34001"/>
    <w:rsid w:val="00A35D62"/>
    <w:rsid w:val="00A51AB1"/>
    <w:rsid w:val="00A61975"/>
    <w:rsid w:val="00A73F3C"/>
    <w:rsid w:val="00A75FB8"/>
    <w:rsid w:val="00A82F21"/>
    <w:rsid w:val="00A86CFB"/>
    <w:rsid w:val="00AB2706"/>
    <w:rsid w:val="00AB29C8"/>
    <w:rsid w:val="00AB2D47"/>
    <w:rsid w:val="00AB3A1F"/>
    <w:rsid w:val="00AC42BE"/>
    <w:rsid w:val="00AC438A"/>
    <w:rsid w:val="00AC511F"/>
    <w:rsid w:val="00AC5B93"/>
    <w:rsid w:val="00AF0D28"/>
    <w:rsid w:val="00B01886"/>
    <w:rsid w:val="00B02F65"/>
    <w:rsid w:val="00B21F24"/>
    <w:rsid w:val="00B22B1A"/>
    <w:rsid w:val="00B26AD1"/>
    <w:rsid w:val="00B33D03"/>
    <w:rsid w:val="00B359B2"/>
    <w:rsid w:val="00B53E4D"/>
    <w:rsid w:val="00B871C0"/>
    <w:rsid w:val="00B956FE"/>
    <w:rsid w:val="00B965D8"/>
    <w:rsid w:val="00BA17F7"/>
    <w:rsid w:val="00BB03BB"/>
    <w:rsid w:val="00BB2E0D"/>
    <w:rsid w:val="00BB320C"/>
    <w:rsid w:val="00BC1932"/>
    <w:rsid w:val="00BC41D6"/>
    <w:rsid w:val="00BE17CD"/>
    <w:rsid w:val="00BF2F0B"/>
    <w:rsid w:val="00C16ADD"/>
    <w:rsid w:val="00C1700F"/>
    <w:rsid w:val="00C3175C"/>
    <w:rsid w:val="00C319EC"/>
    <w:rsid w:val="00C34E47"/>
    <w:rsid w:val="00C41C03"/>
    <w:rsid w:val="00C55762"/>
    <w:rsid w:val="00C5580A"/>
    <w:rsid w:val="00C61653"/>
    <w:rsid w:val="00C64058"/>
    <w:rsid w:val="00C657E6"/>
    <w:rsid w:val="00C7544B"/>
    <w:rsid w:val="00CA0A6C"/>
    <w:rsid w:val="00CA3BE9"/>
    <w:rsid w:val="00CB2FF6"/>
    <w:rsid w:val="00CB7698"/>
    <w:rsid w:val="00CC1778"/>
    <w:rsid w:val="00CC7FFC"/>
    <w:rsid w:val="00CE735C"/>
    <w:rsid w:val="00CF2B29"/>
    <w:rsid w:val="00CF5807"/>
    <w:rsid w:val="00D0387E"/>
    <w:rsid w:val="00D1257F"/>
    <w:rsid w:val="00D24F36"/>
    <w:rsid w:val="00D37E34"/>
    <w:rsid w:val="00D42410"/>
    <w:rsid w:val="00D4714C"/>
    <w:rsid w:val="00D50BF0"/>
    <w:rsid w:val="00D51249"/>
    <w:rsid w:val="00D556AE"/>
    <w:rsid w:val="00D55B7B"/>
    <w:rsid w:val="00D56C3A"/>
    <w:rsid w:val="00D56DDB"/>
    <w:rsid w:val="00D614D9"/>
    <w:rsid w:val="00D7008B"/>
    <w:rsid w:val="00D85B71"/>
    <w:rsid w:val="00D86AC7"/>
    <w:rsid w:val="00D94D55"/>
    <w:rsid w:val="00DA6331"/>
    <w:rsid w:val="00DB17AC"/>
    <w:rsid w:val="00DB2949"/>
    <w:rsid w:val="00DB2F86"/>
    <w:rsid w:val="00DB46EE"/>
    <w:rsid w:val="00DD47AB"/>
    <w:rsid w:val="00DD76EB"/>
    <w:rsid w:val="00DF373F"/>
    <w:rsid w:val="00DF6DFC"/>
    <w:rsid w:val="00E06CDE"/>
    <w:rsid w:val="00E21DB1"/>
    <w:rsid w:val="00E25395"/>
    <w:rsid w:val="00E35E08"/>
    <w:rsid w:val="00E403DA"/>
    <w:rsid w:val="00E40817"/>
    <w:rsid w:val="00E46B5A"/>
    <w:rsid w:val="00E57B87"/>
    <w:rsid w:val="00E62715"/>
    <w:rsid w:val="00E7494B"/>
    <w:rsid w:val="00E817BA"/>
    <w:rsid w:val="00E845FA"/>
    <w:rsid w:val="00E92CC5"/>
    <w:rsid w:val="00E93CA5"/>
    <w:rsid w:val="00E93DE6"/>
    <w:rsid w:val="00E96F3D"/>
    <w:rsid w:val="00EA6C6E"/>
    <w:rsid w:val="00EC11A3"/>
    <w:rsid w:val="00EC4FA8"/>
    <w:rsid w:val="00ED4CDF"/>
    <w:rsid w:val="00EE21CD"/>
    <w:rsid w:val="00EF3559"/>
    <w:rsid w:val="00F002EC"/>
    <w:rsid w:val="00F04BE5"/>
    <w:rsid w:val="00F050B1"/>
    <w:rsid w:val="00F07EAB"/>
    <w:rsid w:val="00F12102"/>
    <w:rsid w:val="00F16481"/>
    <w:rsid w:val="00F24CEA"/>
    <w:rsid w:val="00F25AA2"/>
    <w:rsid w:val="00F266ED"/>
    <w:rsid w:val="00F3470D"/>
    <w:rsid w:val="00F475D4"/>
    <w:rsid w:val="00F564B9"/>
    <w:rsid w:val="00F5798C"/>
    <w:rsid w:val="00F72DA1"/>
    <w:rsid w:val="00F76009"/>
    <w:rsid w:val="00F76475"/>
    <w:rsid w:val="00F971C1"/>
    <w:rsid w:val="00FB7B18"/>
    <w:rsid w:val="00FC2292"/>
    <w:rsid w:val="00FD6158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2097FA87"/>
  <w15:chartTrackingRefBased/>
  <w15:docId w15:val="{100D9E4F-D9DA-44CE-9C24-4AE406B6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1C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83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18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983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F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FB9"/>
  </w:style>
  <w:style w:type="paragraph" w:styleId="Footer">
    <w:name w:val="footer"/>
    <w:basedOn w:val="Normal"/>
    <w:link w:val="FooterChar"/>
    <w:uiPriority w:val="99"/>
    <w:unhideWhenUsed/>
    <w:rsid w:val="00481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FB9"/>
  </w:style>
  <w:style w:type="character" w:styleId="Emphasis">
    <w:name w:val="Emphasis"/>
    <w:basedOn w:val="DefaultParagraphFont"/>
    <w:uiPriority w:val="20"/>
    <w:qFormat/>
    <w:rsid w:val="001E6E7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05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96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1191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6A3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r.suny.edu/get-funding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er.suny.ed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7786AD67334C3BBA02823C5376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82F07-B8D7-4376-A047-1B68B4C7355B}"/>
      </w:docPartPr>
      <w:docPartBody>
        <w:p w:rsidR="007156FA" w:rsidRDefault="002B71E1" w:rsidP="002B71E1">
          <w:pPr>
            <w:pStyle w:val="417786AD67334C3BBA02823C53762060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05"/>
    <w:rsid w:val="00276123"/>
    <w:rsid w:val="002B71E1"/>
    <w:rsid w:val="007156FA"/>
    <w:rsid w:val="00866D05"/>
    <w:rsid w:val="00E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7786AD67334C3BBA02823C53762060">
    <w:name w:val="417786AD67334C3BBA02823C53762060"/>
    <w:rsid w:val="002B7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7F61-8052-4A20-8872-A8F78D8D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 Hoc Open Educational Resources Committee Fall 2020 Report</vt:lpstr>
    </vt:vector>
  </TitlesOfParts>
  <Company>SUNY OLDWESTBURY</Company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 Hoc Open Educational Resources Committee Fall 2020 Report</dc:title>
  <dc:subject/>
  <dc:creator>Joanne Spadaro</dc:creator>
  <cp:keywords/>
  <dc:description/>
  <cp:lastModifiedBy>Joanne Spadaro</cp:lastModifiedBy>
  <cp:revision>57</cp:revision>
  <cp:lastPrinted>2020-11-27T14:39:00Z</cp:lastPrinted>
  <dcterms:created xsi:type="dcterms:W3CDTF">2020-11-12T14:16:00Z</dcterms:created>
  <dcterms:modified xsi:type="dcterms:W3CDTF">2020-11-27T15:03:00Z</dcterms:modified>
</cp:coreProperties>
</file>