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A436" w14:textId="77777777" w:rsidR="00A26816" w:rsidRPr="007957BE" w:rsidRDefault="00A26816" w:rsidP="00B511DF">
      <w:pPr>
        <w:tabs>
          <w:tab w:val="num" w:pos="720"/>
        </w:tabs>
        <w:spacing w:before="100" w:beforeAutospacing="1" w:after="100" w:afterAutospacing="1"/>
        <w:ind w:left="720" w:hanging="360"/>
        <w:rPr>
          <w:rFonts w:ascii="Tahoma" w:hAnsi="Tahoma" w:cs="Tahoma"/>
        </w:rPr>
      </w:pPr>
    </w:p>
    <w:p w14:paraId="51E836D3" w14:textId="6FF475AB" w:rsidR="003948B5" w:rsidRDefault="00A26816" w:rsidP="00A26816">
      <w:pPr>
        <w:spacing w:before="100" w:beforeAutospacing="1" w:after="100" w:afterAutospacing="1"/>
        <w:ind w:left="720"/>
        <w:jc w:val="center"/>
        <w:rPr>
          <w:rFonts w:ascii="Tahoma" w:eastAsia="Times New Roman"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7BE">
        <w:rPr>
          <w:rFonts w:ascii="Tahoma" w:eastAsia="Times New Roman"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sidR="003948B5">
        <w:rPr>
          <w:rFonts w:ascii="Tahoma" w:eastAsia="Times New Roman"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Executive Committee meeting with the President Monday 10/17/22</w:t>
      </w:r>
      <w:r w:rsidRPr="007957BE">
        <w:rPr>
          <w:rFonts w:ascii="Tahoma" w:eastAsia="Times New Roman"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25FC0C" w14:textId="5EC54B57" w:rsidR="00A26816" w:rsidRPr="002266E1" w:rsidRDefault="00A26816" w:rsidP="00A26816">
      <w:pPr>
        <w:spacing w:before="100" w:beforeAutospacing="1" w:after="100" w:afterAutospacing="1"/>
        <w:ind w:left="720"/>
        <w:jc w:val="center"/>
        <w:rPr>
          <w:rFonts w:ascii="Tahoma" w:eastAsia="Times New Roman"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66E1">
        <w:rPr>
          <w:rFonts w:ascii="Tahoma" w:eastAsia="Times New Roman"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can Academic Affairs better support faculty?</w:t>
      </w:r>
    </w:p>
    <w:p w14:paraId="21A0245A" w14:textId="2F92D4E2" w:rsidR="00B511DF" w:rsidRPr="00B511DF" w:rsidRDefault="00B511DF" w:rsidP="00B511DF">
      <w:pPr>
        <w:numPr>
          <w:ilvl w:val="0"/>
          <w:numId w:val="1"/>
        </w:numPr>
        <w:spacing w:before="100" w:beforeAutospacing="1" w:after="100" w:afterAutospacing="1"/>
        <w:rPr>
          <w:rFonts w:ascii="Tahoma" w:eastAsia="Times New Roman" w:hAnsi="Tahoma" w:cs="Tahoma"/>
          <w:color w:val="000000"/>
        </w:rPr>
      </w:pPr>
      <w:r w:rsidRPr="00B511DF">
        <w:rPr>
          <w:rFonts w:ascii="Tahoma" w:eastAsia="Times New Roman" w:hAnsi="Tahoma" w:cs="Tahoma"/>
          <w:b/>
          <w:bCs/>
          <w:color w:val="000000"/>
        </w:rPr>
        <w:t>Faculty</w:t>
      </w:r>
      <w:r w:rsidR="00D2106F" w:rsidRPr="007957BE">
        <w:rPr>
          <w:rFonts w:ascii="Tahoma" w:eastAsia="Times New Roman" w:hAnsi="Tahoma" w:cs="Tahoma"/>
          <w:b/>
          <w:bCs/>
          <w:color w:val="000000"/>
        </w:rPr>
        <w:t xml:space="preserve"> consultation as </w:t>
      </w:r>
      <w:r w:rsidRPr="00B511DF">
        <w:rPr>
          <w:rFonts w:ascii="Tahoma" w:eastAsia="Times New Roman" w:hAnsi="Tahoma" w:cs="Tahoma"/>
          <w:b/>
          <w:bCs/>
          <w:color w:val="000000"/>
        </w:rPr>
        <w:t>stakeholders in decision-making</w:t>
      </w:r>
    </w:p>
    <w:p w14:paraId="414B5F9A" w14:textId="55FEBCA2" w:rsidR="00883D1C" w:rsidRPr="00B511DF" w:rsidRDefault="00883D1C" w:rsidP="00883D1C">
      <w:pPr>
        <w:numPr>
          <w:ilvl w:val="1"/>
          <w:numId w:val="1"/>
        </w:numPr>
        <w:spacing w:before="100" w:beforeAutospacing="1" w:after="100" w:afterAutospacing="1"/>
        <w:rPr>
          <w:rFonts w:ascii="Tahoma" w:eastAsia="Times New Roman" w:hAnsi="Tahoma" w:cs="Tahoma"/>
          <w:color w:val="000000"/>
        </w:rPr>
      </w:pPr>
      <w:r w:rsidRPr="00B511DF">
        <w:rPr>
          <w:rFonts w:ascii="Tahoma" w:eastAsia="Times New Roman" w:hAnsi="Tahoma" w:cs="Tahoma"/>
          <w:color w:val="000000"/>
        </w:rPr>
        <w:t>Faculty input</w:t>
      </w:r>
      <w:r w:rsidRPr="007957BE">
        <w:rPr>
          <w:rFonts w:ascii="Tahoma" w:eastAsia="Times New Roman" w:hAnsi="Tahoma" w:cs="Tahoma"/>
          <w:color w:val="000000"/>
        </w:rPr>
        <w:t xml:space="preserve"> is</w:t>
      </w:r>
      <w:r w:rsidRPr="00B511DF">
        <w:rPr>
          <w:rFonts w:ascii="Tahoma" w:eastAsia="Times New Roman" w:hAnsi="Tahoma" w:cs="Tahoma"/>
          <w:color w:val="000000"/>
        </w:rPr>
        <w:t xml:space="preserve"> sought </w:t>
      </w:r>
      <w:r w:rsidRPr="00B511DF">
        <w:rPr>
          <w:rFonts w:ascii="Tahoma" w:eastAsia="Times New Roman" w:hAnsi="Tahoma" w:cs="Tahoma"/>
          <w:i/>
          <w:iCs/>
          <w:color w:val="000000"/>
        </w:rPr>
        <w:t>post hoc </w:t>
      </w:r>
      <w:r w:rsidRPr="00B511DF">
        <w:rPr>
          <w:rFonts w:ascii="Tahoma" w:eastAsia="Times New Roman" w:hAnsi="Tahoma" w:cs="Tahoma"/>
          <w:color w:val="000000"/>
        </w:rPr>
        <w:t>a</w:t>
      </w:r>
      <w:r w:rsidRPr="007957BE">
        <w:rPr>
          <w:rFonts w:ascii="Tahoma" w:eastAsia="Times New Roman" w:hAnsi="Tahoma" w:cs="Tahoma"/>
          <w:color w:val="000000"/>
        </w:rPr>
        <w:t>nd on a short</w:t>
      </w:r>
      <w:r w:rsidR="00E633B2">
        <w:rPr>
          <w:rFonts w:ascii="Tahoma" w:eastAsia="Times New Roman" w:hAnsi="Tahoma" w:cs="Tahoma"/>
          <w:color w:val="000000"/>
        </w:rPr>
        <w:t>er</w:t>
      </w:r>
      <w:r w:rsidRPr="007957BE">
        <w:rPr>
          <w:rFonts w:ascii="Tahoma" w:eastAsia="Times New Roman" w:hAnsi="Tahoma" w:cs="Tahoma"/>
          <w:color w:val="000000"/>
        </w:rPr>
        <w:t xml:space="preserve"> deadline, rather than including Faculty in </w:t>
      </w:r>
      <w:r w:rsidRPr="007957BE">
        <w:rPr>
          <w:rFonts w:ascii="Tahoma" w:eastAsia="Times New Roman" w:hAnsi="Tahoma" w:cs="Tahoma"/>
          <w:i/>
          <w:iCs/>
          <w:color w:val="000000"/>
        </w:rPr>
        <w:t>initial</w:t>
      </w:r>
      <w:r w:rsidRPr="007957BE">
        <w:rPr>
          <w:rFonts w:ascii="Tahoma" w:eastAsia="Times New Roman" w:hAnsi="Tahoma" w:cs="Tahoma"/>
          <w:color w:val="000000"/>
        </w:rPr>
        <w:t xml:space="preserve"> stages</w:t>
      </w:r>
      <w:r w:rsidRPr="00B511DF">
        <w:rPr>
          <w:rFonts w:ascii="Tahoma" w:eastAsia="Times New Roman" w:hAnsi="Tahoma" w:cs="Tahoma"/>
          <w:color w:val="000000"/>
        </w:rPr>
        <w:t xml:space="preserve"> of decision-making</w:t>
      </w:r>
      <w:r w:rsidRPr="007957BE">
        <w:rPr>
          <w:rFonts w:ascii="Tahoma" w:eastAsia="Times New Roman" w:hAnsi="Tahoma" w:cs="Tahoma"/>
          <w:color w:val="000000"/>
        </w:rPr>
        <w:t xml:space="preserve">.  Communicating current issues with </w:t>
      </w:r>
      <w:r w:rsidR="00E633B2">
        <w:rPr>
          <w:rFonts w:ascii="Tahoma" w:eastAsia="Times New Roman" w:hAnsi="Tahoma" w:cs="Tahoma"/>
          <w:color w:val="000000"/>
        </w:rPr>
        <w:t xml:space="preserve">relevant </w:t>
      </w:r>
      <w:r w:rsidRPr="007957BE">
        <w:rPr>
          <w:rFonts w:ascii="Tahoma" w:eastAsia="Times New Roman" w:hAnsi="Tahoma" w:cs="Tahoma"/>
          <w:color w:val="000000"/>
        </w:rPr>
        <w:t>committee Chairs immediately when issues arise can allow the committee Chair to propose a consultative process</w:t>
      </w:r>
      <w:r w:rsidR="00E633B2">
        <w:rPr>
          <w:rFonts w:ascii="Tahoma" w:eastAsia="Times New Roman" w:hAnsi="Tahoma" w:cs="Tahoma"/>
          <w:color w:val="000000"/>
        </w:rPr>
        <w:t xml:space="preserve"> when the issue arises</w:t>
      </w:r>
      <w:r w:rsidRPr="007957BE">
        <w:rPr>
          <w:rFonts w:ascii="Tahoma" w:eastAsia="Times New Roman" w:hAnsi="Tahoma" w:cs="Tahoma"/>
          <w:color w:val="000000"/>
        </w:rPr>
        <w:t>.</w:t>
      </w:r>
    </w:p>
    <w:p w14:paraId="179F4453" w14:textId="79FF8857" w:rsidR="00B511DF" w:rsidRPr="007957BE" w:rsidRDefault="00B511DF" w:rsidP="00B511DF">
      <w:pPr>
        <w:numPr>
          <w:ilvl w:val="1"/>
          <w:numId w:val="1"/>
        </w:numPr>
        <w:spacing w:before="100" w:beforeAutospacing="1" w:after="100" w:afterAutospacing="1"/>
        <w:rPr>
          <w:rFonts w:ascii="Tahoma" w:eastAsia="Times New Roman" w:hAnsi="Tahoma" w:cs="Tahoma"/>
          <w:color w:val="000000"/>
        </w:rPr>
      </w:pPr>
      <w:r w:rsidRPr="00B511DF">
        <w:rPr>
          <w:rFonts w:ascii="Tahoma" w:eastAsia="Times New Roman" w:hAnsi="Tahoma" w:cs="Tahoma"/>
          <w:color w:val="000000"/>
        </w:rPr>
        <w:t>Decisions seem to be made top-down</w:t>
      </w:r>
      <w:r w:rsidR="00D2106F" w:rsidRPr="007957BE">
        <w:rPr>
          <w:rFonts w:ascii="Tahoma" w:eastAsia="Times New Roman" w:hAnsi="Tahoma" w:cs="Tahoma"/>
          <w:color w:val="000000"/>
        </w:rPr>
        <w:t xml:space="preserve">, recent examples include the announcements to cancel sections and to nearly eliminate the Blended modality.  Academic Affairs should take a more </w:t>
      </w:r>
      <w:proofErr w:type="gramStart"/>
      <w:r w:rsidR="00D2106F" w:rsidRPr="007957BE">
        <w:rPr>
          <w:rFonts w:ascii="Tahoma" w:eastAsia="Times New Roman" w:hAnsi="Tahoma" w:cs="Tahoma"/>
          <w:color w:val="000000"/>
        </w:rPr>
        <w:t>grassroots approach, and</w:t>
      </w:r>
      <w:proofErr w:type="gramEnd"/>
      <w:r w:rsidR="00D2106F" w:rsidRPr="007957BE">
        <w:rPr>
          <w:rFonts w:ascii="Tahoma" w:eastAsia="Times New Roman" w:hAnsi="Tahoma" w:cs="Tahoma"/>
          <w:color w:val="000000"/>
        </w:rPr>
        <w:t xml:space="preserve"> involve Chairs and Faculty directly decision-making and initial brainstorming processes, rather than issuing what are perceived as mandates.  Suggestion to utilize Provost Council</w:t>
      </w:r>
      <w:r w:rsidR="00883D1C" w:rsidRPr="007957BE">
        <w:rPr>
          <w:rFonts w:ascii="Tahoma" w:eastAsia="Times New Roman" w:hAnsi="Tahoma" w:cs="Tahoma"/>
          <w:color w:val="000000"/>
        </w:rPr>
        <w:t xml:space="preserve"> meetings</w:t>
      </w:r>
      <w:r w:rsidR="00D2106F" w:rsidRPr="007957BE">
        <w:rPr>
          <w:rFonts w:ascii="Tahoma" w:eastAsia="Times New Roman" w:hAnsi="Tahoma" w:cs="Tahoma"/>
          <w:color w:val="000000"/>
        </w:rPr>
        <w:t xml:space="preserve"> to explain what issues Academic Affairs is currently </w:t>
      </w:r>
      <w:r w:rsidR="003948B5" w:rsidRPr="007957BE">
        <w:rPr>
          <w:rFonts w:ascii="Tahoma" w:eastAsia="Times New Roman" w:hAnsi="Tahoma" w:cs="Tahoma"/>
          <w:color w:val="000000"/>
        </w:rPr>
        <w:t>facing and</w:t>
      </w:r>
      <w:r w:rsidR="00D2106F" w:rsidRPr="007957BE">
        <w:rPr>
          <w:rFonts w:ascii="Tahoma" w:eastAsia="Times New Roman" w:hAnsi="Tahoma" w:cs="Tahoma"/>
          <w:color w:val="000000"/>
        </w:rPr>
        <w:t xml:space="preserve"> ask Chairs and Faculty</w:t>
      </w:r>
      <w:r w:rsidR="00883D1C" w:rsidRPr="007957BE">
        <w:rPr>
          <w:rFonts w:ascii="Tahoma" w:eastAsia="Times New Roman" w:hAnsi="Tahoma" w:cs="Tahoma"/>
          <w:color w:val="000000"/>
        </w:rPr>
        <w:t xml:space="preserve"> directly</w:t>
      </w:r>
      <w:r w:rsidR="00D2106F" w:rsidRPr="007957BE">
        <w:rPr>
          <w:rFonts w:ascii="Tahoma" w:eastAsia="Times New Roman" w:hAnsi="Tahoma" w:cs="Tahoma"/>
          <w:color w:val="000000"/>
        </w:rPr>
        <w:t xml:space="preserve"> for input</w:t>
      </w:r>
      <w:r w:rsidR="00883D1C" w:rsidRPr="007957BE">
        <w:rPr>
          <w:rFonts w:ascii="Tahoma" w:eastAsia="Times New Roman" w:hAnsi="Tahoma" w:cs="Tahoma"/>
          <w:color w:val="000000"/>
        </w:rPr>
        <w:t xml:space="preserve"> about</w:t>
      </w:r>
      <w:r w:rsidR="00D2106F" w:rsidRPr="007957BE">
        <w:rPr>
          <w:rFonts w:ascii="Tahoma" w:eastAsia="Times New Roman" w:hAnsi="Tahoma" w:cs="Tahoma"/>
          <w:color w:val="000000"/>
        </w:rPr>
        <w:t xml:space="preserve"> how to solve </w:t>
      </w:r>
      <w:r w:rsidR="00883D1C" w:rsidRPr="007957BE">
        <w:rPr>
          <w:rFonts w:ascii="Tahoma" w:eastAsia="Times New Roman" w:hAnsi="Tahoma" w:cs="Tahoma"/>
          <w:color w:val="000000"/>
        </w:rPr>
        <w:t>a</w:t>
      </w:r>
      <w:r w:rsidR="00D2106F" w:rsidRPr="007957BE">
        <w:rPr>
          <w:rFonts w:ascii="Tahoma" w:eastAsia="Times New Roman" w:hAnsi="Tahoma" w:cs="Tahoma"/>
          <w:color w:val="000000"/>
        </w:rPr>
        <w:t xml:space="preserve"> problem rather than prescribing a</w:t>
      </w:r>
      <w:r w:rsidR="00883D1C" w:rsidRPr="007957BE">
        <w:rPr>
          <w:rFonts w:ascii="Tahoma" w:eastAsia="Times New Roman" w:hAnsi="Tahoma" w:cs="Tahoma"/>
          <w:color w:val="000000"/>
        </w:rPr>
        <w:t xml:space="preserve"> </w:t>
      </w:r>
      <w:r w:rsidR="00D2106F" w:rsidRPr="007957BE">
        <w:rPr>
          <w:rFonts w:ascii="Tahoma" w:eastAsia="Times New Roman" w:hAnsi="Tahoma" w:cs="Tahoma"/>
          <w:color w:val="000000"/>
        </w:rPr>
        <w:t>solution</w:t>
      </w:r>
      <w:r w:rsidR="00883D1C" w:rsidRPr="007957BE">
        <w:rPr>
          <w:rFonts w:ascii="Tahoma" w:eastAsia="Times New Roman" w:hAnsi="Tahoma" w:cs="Tahoma"/>
          <w:color w:val="000000"/>
        </w:rPr>
        <w:t xml:space="preserve"> a priori</w:t>
      </w:r>
      <w:r w:rsidR="00D2106F" w:rsidRPr="007957BE">
        <w:rPr>
          <w:rFonts w:ascii="Tahoma" w:eastAsia="Times New Roman" w:hAnsi="Tahoma" w:cs="Tahoma"/>
          <w:color w:val="000000"/>
        </w:rPr>
        <w:t xml:space="preserve">.  Utilizing breakout rooms, </w:t>
      </w:r>
      <w:r w:rsidR="00883D1C" w:rsidRPr="007957BE">
        <w:rPr>
          <w:rFonts w:ascii="Tahoma" w:eastAsia="Times New Roman" w:hAnsi="Tahoma" w:cs="Tahoma"/>
          <w:color w:val="000000"/>
        </w:rPr>
        <w:t>quick survey collection, email feedback, or other methods of direct communication, can be a great way to involve folks and brainstorm solutions.</w:t>
      </w:r>
    </w:p>
    <w:p w14:paraId="05F46B39" w14:textId="45D8CA17" w:rsidR="002B5B7E" w:rsidRPr="007957BE" w:rsidRDefault="002B5B7E" w:rsidP="00B511DF">
      <w:pPr>
        <w:numPr>
          <w:ilvl w:val="1"/>
          <w:numId w:val="1"/>
        </w:numPr>
        <w:spacing w:before="100" w:beforeAutospacing="1" w:after="100" w:afterAutospacing="1"/>
        <w:rPr>
          <w:rFonts w:ascii="Tahoma" w:eastAsia="Times New Roman" w:hAnsi="Tahoma" w:cs="Tahoma"/>
          <w:color w:val="000000"/>
        </w:rPr>
      </w:pPr>
      <w:r w:rsidRPr="007957BE">
        <w:rPr>
          <w:rFonts w:ascii="Tahoma" w:eastAsia="Times New Roman" w:hAnsi="Tahoma" w:cs="Tahoma"/>
          <w:color w:val="000000"/>
        </w:rPr>
        <w:t xml:space="preserve">When decision-making occurs, often incomplete or unclear information is provided or is given too late to be incorporated into the deliberations.  </w:t>
      </w:r>
    </w:p>
    <w:p w14:paraId="28CDACFF" w14:textId="2BF180F4" w:rsidR="002B5B7E" w:rsidRPr="00B511DF" w:rsidRDefault="002B5B7E" w:rsidP="002B5B7E">
      <w:pPr>
        <w:numPr>
          <w:ilvl w:val="1"/>
          <w:numId w:val="1"/>
        </w:numPr>
        <w:spacing w:before="100" w:beforeAutospacing="1" w:after="100" w:afterAutospacing="1"/>
        <w:rPr>
          <w:rFonts w:ascii="Tahoma" w:eastAsia="Times New Roman" w:hAnsi="Tahoma" w:cs="Tahoma"/>
          <w:color w:val="000000"/>
        </w:rPr>
      </w:pPr>
      <w:r w:rsidRPr="00B511DF">
        <w:rPr>
          <w:rFonts w:ascii="Tahoma" w:eastAsia="Times New Roman" w:hAnsi="Tahoma" w:cs="Tahoma"/>
          <w:color w:val="000000"/>
        </w:rPr>
        <w:t>When recommendations are made, there is a consistent lack of clarity about when decisions will be made, by whom, and </w:t>
      </w:r>
      <w:r w:rsidRPr="007957BE">
        <w:rPr>
          <w:rFonts w:ascii="Tahoma" w:eastAsia="Times New Roman" w:hAnsi="Tahoma" w:cs="Tahoma"/>
          <w:color w:val="000000"/>
        </w:rPr>
        <w:t xml:space="preserve">the timeline for when </w:t>
      </w:r>
      <w:r w:rsidRPr="00B511DF">
        <w:rPr>
          <w:rFonts w:ascii="Tahoma" w:eastAsia="Times New Roman" w:hAnsi="Tahoma" w:cs="Tahoma"/>
          <w:color w:val="000000"/>
        </w:rPr>
        <w:t xml:space="preserve">feedback </w:t>
      </w:r>
      <w:r w:rsidRPr="007957BE">
        <w:rPr>
          <w:rFonts w:ascii="Tahoma" w:eastAsia="Times New Roman" w:hAnsi="Tahoma" w:cs="Tahoma"/>
          <w:color w:val="000000"/>
        </w:rPr>
        <w:t xml:space="preserve">or resulting outcomes </w:t>
      </w:r>
      <w:r w:rsidRPr="00B511DF">
        <w:rPr>
          <w:rFonts w:ascii="Tahoma" w:eastAsia="Times New Roman" w:hAnsi="Tahoma" w:cs="Tahoma"/>
          <w:color w:val="000000"/>
        </w:rPr>
        <w:t xml:space="preserve">will be </w:t>
      </w:r>
      <w:r w:rsidRPr="007957BE">
        <w:rPr>
          <w:rFonts w:ascii="Tahoma" w:eastAsia="Times New Roman" w:hAnsi="Tahoma" w:cs="Tahoma"/>
          <w:color w:val="000000"/>
        </w:rPr>
        <w:t>available</w:t>
      </w:r>
      <w:r w:rsidRPr="00B511DF">
        <w:rPr>
          <w:rFonts w:ascii="Tahoma" w:eastAsia="Times New Roman" w:hAnsi="Tahoma" w:cs="Tahoma"/>
          <w:color w:val="000000"/>
        </w:rPr>
        <w:t>.</w:t>
      </w:r>
    </w:p>
    <w:p w14:paraId="468A595C" w14:textId="469ABF11" w:rsidR="00B511DF" w:rsidRPr="00B511DF" w:rsidRDefault="00256F6C" w:rsidP="00B511DF">
      <w:pPr>
        <w:numPr>
          <w:ilvl w:val="0"/>
          <w:numId w:val="1"/>
        </w:numPr>
        <w:spacing w:beforeAutospacing="1" w:afterAutospacing="1"/>
        <w:rPr>
          <w:rFonts w:ascii="Tahoma" w:eastAsia="Times New Roman" w:hAnsi="Tahoma" w:cs="Tahoma"/>
          <w:color w:val="000000"/>
        </w:rPr>
      </w:pPr>
      <w:r w:rsidRPr="007957BE">
        <w:rPr>
          <w:rFonts w:ascii="Tahoma" w:eastAsia="Times New Roman" w:hAnsi="Tahoma" w:cs="Tahoma"/>
          <w:b/>
          <w:bCs/>
          <w:color w:val="000000"/>
        </w:rPr>
        <w:t>Understanding Academic Affairs</w:t>
      </w:r>
    </w:p>
    <w:p w14:paraId="52C9FF3D" w14:textId="33BD3BA6" w:rsidR="00B511DF" w:rsidRPr="007957BE" w:rsidRDefault="00B511DF" w:rsidP="002B5B7E">
      <w:pPr>
        <w:numPr>
          <w:ilvl w:val="1"/>
          <w:numId w:val="1"/>
        </w:numPr>
        <w:spacing w:before="100" w:beforeAutospacing="1" w:after="100" w:afterAutospacing="1"/>
        <w:rPr>
          <w:rFonts w:ascii="Tahoma" w:eastAsia="Times New Roman" w:hAnsi="Tahoma" w:cs="Tahoma"/>
          <w:color w:val="000000"/>
        </w:rPr>
      </w:pPr>
      <w:r w:rsidRPr="00B511DF">
        <w:rPr>
          <w:rFonts w:ascii="Tahoma" w:eastAsia="Times New Roman" w:hAnsi="Tahoma" w:cs="Tahoma"/>
          <w:color w:val="000000"/>
          <w:bdr w:val="none" w:sz="0" w:space="0" w:color="auto" w:frame="1"/>
          <w:shd w:val="clear" w:color="auto" w:fill="FFFFFF"/>
        </w:rPr>
        <w:t>When issues arise, it is unclear to whom questions should be addressed.</w:t>
      </w:r>
      <w:r w:rsidR="00883D1C" w:rsidRPr="007957BE">
        <w:rPr>
          <w:rFonts w:ascii="Tahoma" w:eastAsia="Times New Roman" w:hAnsi="Tahoma" w:cs="Tahoma"/>
          <w:color w:val="000000"/>
          <w:bdr w:val="none" w:sz="0" w:space="0" w:color="auto" w:frame="1"/>
          <w:shd w:val="clear" w:color="auto" w:fill="FFFFFF"/>
        </w:rPr>
        <w:t xml:space="preserve">  It is not clear what responsibilities various people in Academic Affairs hold.  </w:t>
      </w:r>
      <w:r w:rsidR="002B5B7E" w:rsidRPr="007957BE">
        <w:rPr>
          <w:rFonts w:ascii="Tahoma" w:eastAsia="Times New Roman" w:hAnsi="Tahoma" w:cs="Tahoma"/>
          <w:color w:val="000000"/>
        </w:rPr>
        <w:t>Suggestion to c</w:t>
      </w:r>
      <w:r w:rsidR="002B5B7E" w:rsidRPr="00B511DF">
        <w:rPr>
          <w:rFonts w:ascii="Tahoma" w:eastAsia="Times New Roman" w:hAnsi="Tahoma" w:cs="Tahoma"/>
          <w:color w:val="000000"/>
        </w:rPr>
        <w:t>onstruct and disseminat</w:t>
      </w:r>
      <w:r w:rsidR="002B5B7E" w:rsidRPr="007957BE">
        <w:rPr>
          <w:rFonts w:ascii="Tahoma" w:eastAsia="Times New Roman" w:hAnsi="Tahoma" w:cs="Tahoma"/>
          <w:color w:val="000000"/>
        </w:rPr>
        <w:t xml:space="preserve">e </w:t>
      </w:r>
      <w:r w:rsidR="002B5B7E" w:rsidRPr="00B511DF">
        <w:rPr>
          <w:rFonts w:ascii="Tahoma" w:eastAsia="Times New Roman" w:hAnsi="Tahoma" w:cs="Tahoma"/>
          <w:color w:val="000000"/>
        </w:rPr>
        <w:t>an Organizational Chart for the Institution, particularly in Academic Affairs</w:t>
      </w:r>
      <w:r w:rsidR="002B5B7E" w:rsidRPr="007957BE">
        <w:rPr>
          <w:rFonts w:ascii="Tahoma" w:eastAsia="Times New Roman" w:hAnsi="Tahoma" w:cs="Tahoma"/>
          <w:color w:val="000000"/>
        </w:rPr>
        <w:t xml:space="preserve">, that is user-friendly and meant to provide info </w:t>
      </w:r>
      <w:r w:rsidR="003948B5">
        <w:rPr>
          <w:rFonts w:ascii="Tahoma" w:eastAsia="Times New Roman" w:hAnsi="Tahoma" w:cs="Tahoma"/>
          <w:color w:val="000000"/>
        </w:rPr>
        <w:t xml:space="preserve">for all </w:t>
      </w:r>
      <w:r w:rsidR="002B5B7E" w:rsidRPr="007957BE">
        <w:rPr>
          <w:rFonts w:ascii="Tahoma" w:eastAsia="Times New Roman" w:hAnsi="Tahoma" w:cs="Tahoma"/>
          <w:color w:val="000000"/>
        </w:rPr>
        <w:t>those who interact with Academic Affairs.</w:t>
      </w:r>
    </w:p>
    <w:p w14:paraId="3E5B6266" w14:textId="5F53DF83" w:rsidR="00256F6C" w:rsidRPr="00B511DF" w:rsidRDefault="00256F6C" w:rsidP="00256F6C">
      <w:pPr>
        <w:numPr>
          <w:ilvl w:val="0"/>
          <w:numId w:val="1"/>
        </w:numPr>
        <w:spacing w:beforeAutospacing="1" w:afterAutospacing="1"/>
        <w:rPr>
          <w:rFonts w:ascii="Tahoma" w:eastAsia="Times New Roman" w:hAnsi="Tahoma" w:cs="Tahoma"/>
          <w:color w:val="000000"/>
        </w:rPr>
      </w:pPr>
      <w:r w:rsidRPr="007957BE">
        <w:rPr>
          <w:rFonts w:ascii="Tahoma" w:eastAsia="Times New Roman" w:hAnsi="Tahoma" w:cs="Tahoma"/>
          <w:b/>
          <w:bCs/>
          <w:color w:val="000000"/>
        </w:rPr>
        <w:t>Improving protocols for Deans and VP Searches</w:t>
      </w:r>
    </w:p>
    <w:p w14:paraId="6960CD60" w14:textId="324D8B02" w:rsidR="007957BE" w:rsidRDefault="00B511DF" w:rsidP="007957BE">
      <w:pPr>
        <w:numPr>
          <w:ilvl w:val="1"/>
          <w:numId w:val="1"/>
        </w:numPr>
        <w:spacing w:before="100" w:beforeAutospacing="1" w:after="100" w:afterAutospacing="1"/>
        <w:rPr>
          <w:rFonts w:ascii="Tahoma" w:eastAsia="Times New Roman" w:hAnsi="Tahoma" w:cs="Tahoma"/>
          <w:color w:val="000000"/>
        </w:rPr>
      </w:pPr>
      <w:r w:rsidRPr="00B511DF">
        <w:rPr>
          <w:rFonts w:ascii="Tahoma" w:eastAsia="Times New Roman" w:hAnsi="Tahoma" w:cs="Tahoma"/>
          <w:color w:val="000000"/>
        </w:rPr>
        <w:t xml:space="preserve">There should be transparent and inclusive searches done for administrative positions, which include faculty representation and faculty input in hiring decisions, especially </w:t>
      </w:r>
      <w:proofErr w:type="gramStart"/>
      <w:r w:rsidRPr="00B511DF">
        <w:rPr>
          <w:rFonts w:ascii="Tahoma" w:eastAsia="Times New Roman" w:hAnsi="Tahoma" w:cs="Tahoma"/>
          <w:color w:val="000000"/>
        </w:rPr>
        <w:t>in the area of</w:t>
      </w:r>
      <w:proofErr w:type="gramEnd"/>
      <w:r w:rsidRPr="00B511DF">
        <w:rPr>
          <w:rFonts w:ascii="Tahoma" w:eastAsia="Times New Roman" w:hAnsi="Tahoma" w:cs="Tahoma"/>
          <w:color w:val="000000"/>
        </w:rPr>
        <w:t xml:space="preserve"> Academic Affairs.</w:t>
      </w:r>
      <w:r w:rsidR="00256F6C" w:rsidRPr="007957BE">
        <w:rPr>
          <w:rFonts w:ascii="Tahoma" w:eastAsia="Times New Roman" w:hAnsi="Tahoma" w:cs="Tahoma"/>
          <w:color w:val="000000"/>
        </w:rPr>
        <w:t xml:space="preserve">  While the current process is different</w:t>
      </w:r>
      <w:r w:rsidR="00FE0D9D">
        <w:rPr>
          <w:rFonts w:ascii="Tahoma" w:eastAsia="Times New Roman" w:hAnsi="Tahoma" w:cs="Tahoma"/>
          <w:color w:val="000000"/>
        </w:rPr>
        <w:t xml:space="preserve"> </w:t>
      </w:r>
      <w:r w:rsidR="00256F6C" w:rsidRPr="007957BE">
        <w:rPr>
          <w:rFonts w:ascii="Tahoma" w:eastAsia="Times New Roman" w:hAnsi="Tahoma" w:cs="Tahoma"/>
          <w:color w:val="000000"/>
        </w:rPr>
        <w:t>for each new search,</w:t>
      </w:r>
      <w:r w:rsidR="003948B5">
        <w:rPr>
          <w:rFonts w:ascii="Tahoma" w:eastAsia="Times New Roman" w:hAnsi="Tahoma" w:cs="Tahoma"/>
          <w:color w:val="000000"/>
        </w:rPr>
        <w:t xml:space="preserve"> there is currently no agreed</w:t>
      </w:r>
      <w:r w:rsidR="00FE0D9D">
        <w:rPr>
          <w:rFonts w:ascii="Tahoma" w:eastAsia="Times New Roman" w:hAnsi="Tahoma" w:cs="Tahoma"/>
          <w:color w:val="000000"/>
        </w:rPr>
        <w:t>-</w:t>
      </w:r>
      <w:r w:rsidR="003948B5">
        <w:rPr>
          <w:rFonts w:ascii="Tahoma" w:eastAsia="Times New Roman" w:hAnsi="Tahoma" w:cs="Tahoma"/>
          <w:color w:val="000000"/>
        </w:rPr>
        <w:t>upon process.  T</w:t>
      </w:r>
      <w:r w:rsidR="00256F6C" w:rsidRPr="007957BE">
        <w:rPr>
          <w:rFonts w:ascii="Tahoma" w:eastAsia="Times New Roman" w:hAnsi="Tahoma" w:cs="Tahoma"/>
          <w:color w:val="000000"/>
        </w:rPr>
        <w:t>he institution should agree on a</w:t>
      </w:r>
      <w:r w:rsidR="003948B5">
        <w:rPr>
          <w:rFonts w:ascii="Tahoma" w:eastAsia="Times New Roman" w:hAnsi="Tahoma" w:cs="Tahoma"/>
          <w:color w:val="000000"/>
        </w:rPr>
        <w:t xml:space="preserve"> written</w:t>
      </w:r>
      <w:r w:rsidR="00256F6C" w:rsidRPr="007957BE">
        <w:rPr>
          <w:rFonts w:ascii="Tahoma" w:eastAsia="Times New Roman" w:hAnsi="Tahoma" w:cs="Tahoma"/>
          <w:color w:val="000000"/>
        </w:rPr>
        <w:t xml:space="preserve"> </w:t>
      </w:r>
      <w:r w:rsidR="00256F6C" w:rsidRPr="007957BE">
        <w:rPr>
          <w:rFonts w:ascii="Tahoma" w:eastAsia="Times New Roman" w:hAnsi="Tahoma" w:cs="Tahoma"/>
          <w:i/>
          <w:iCs/>
          <w:color w:val="000000"/>
        </w:rPr>
        <w:t xml:space="preserve">policy </w:t>
      </w:r>
      <w:r w:rsidR="00256F6C" w:rsidRPr="007957BE">
        <w:rPr>
          <w:rFonts w:ascii="Tahoma" w:eastAsia="Times New Roman" w:hAnsi="Tahoma" w:cs="Tahoma"/>
          <w:color w:val="000000"/>
        </w:rPr>
        <w:t xml:space="preserve">for Deans and VP searches with a clear protocol for timelines and expected representation. </w:t>
      </w:r>
    </w:p>
    <w:p w14:paraId="4209843D" w14:textId="77777777" w:rsidR="003948B5" w:rsidRDefault="003948B5" w:rsidP="003948B5">
      <w:pPr>
        <w:spacing w:before="100" w:beforeAutospacing="1" w:after="100" w:afterAutospacing="1"/>
        <w:ind w:left="1440"/>
        <w:rPr>
          <w:rFonts w:ascii="Tahoma" w:eastAsia="Times New Roman" w:hAnsi="Tahoma" w:cs="Tahoma"/>
          <w:color w:val="000000"/>
        </w:rPr>
      </w:pPr>
    </w:p>
    <w:p w14:paraId="5C54DB12" w14:textId="1D20CDC6" w:rsidR="007957BE" w:rsidRPr="00A425D8" w:rsidRDefault="007957BE" w:rsidP="007957BE">
      <w:pPr>
        <w:numPr>
          <w:ilvl w:val="0"/>
          <w:numId w:val="1"/>
        </w:numPr>
        <w:spacing w:before="100" w:beforeAutospacing="1" w:after="100" w:afterAutospacing="1"/>
        <w:rPr>
          <w:rFonts w:ascii="Tahoma" w:eastAsia="Times New Roman" w:hAnsi="Tahoma" w:cs="Tahoma"/>
          <w:color w:val="000000"/>
        </w:rPr>
      </w:pPr>
      <w:r w:rsidRPr="009B071A">
        <w:rPr>
          <w:rFonts w:ascii="Tahoma" w:eastAsia="Times New Roman" w:hAnsi="Tahoma" w:cs="Tahoma"/>
          <w:b/>
          <w:bCs/>
          <w:color w:val="000000"/>
          <w:bdr w:val="none" w:sz="0" w:space="0" w:color="auto" w:frame="1"/>
        </w:rPr>
        <w:lastRenderedPageBreak/>
        <w:t>Shared G</w:t>
      </w:r>
      <w:r w:rsidRPr="007957BE">
        <w:rPr>
          <w:rFonts w:ascii="Tahoma" w:eastAsia="Times New Roman" w:hAnsi="Tahoma" w:cs="Tahoma"/>
          <w:b/>
          <w:bCs/>
          <w:color w:val="000000"/>
          <w:bdr w:val="none" w:sz="0" w:space="0" w:color="auto" w:frame="1"/>
        </w:rPr>
        <w:t>o</w:t>
      </w:r>
      <w:r w:rsidRPr="009B071A">
        <w:rPr>
          <w:rFonts w:ascii="Tahoma" w:eastAsia="Times New Roman" w:hAnsi="Tahoma" w:cs="Tahoma"/>
          <w:b/>
          <w:bCs/>
          <w:color w:val="000000"/>
          <w:bdr w:val="none" w:sz="0" w:space="0" w:color="auto" w:frame="1"/>
        </w:rPr>
        <w:t>vernance</w:t>
      </w:r>
      <w:r w:rsidRPr="007957BE">
        <w:rPr>
          <w:rFonts w:ascii="Tahoma" w:eastAsia="Times New Roman" w:hAnsi="Tahoma" w:cs="Tahoma"/>
          <w:b/>
          <w:bCs/>
          <w:color w:val="000000"/>
          <w:bdr w:val="none" w:sz="0" w:space="0" w:color="auto" w:frame="1"/>
        </w:rPr>
        <w:t xml:space="preserve"> Procedures</w:t>
      </w:r>
    </w:p>
    <w:p w14:paraId="5049D633" w14:textId="22ADE459" w:rsidR="00A425D8" w:rsidRDefault="003948B5" w:rsidP="00A425D8">
      <w:pPr>
        <w:numPr>
          <w:ilvl w:val="1"/>
          <w:numId w:val="1"/>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When r</w:t>
      </w:r>
      <w:r w:rsidR="00A425D8">
        <w:rPr>
          <w:rFonts w:ascii="Tahoma" w:eastAsia="Times New Roman" w:hAnsi="Tahoma" w:cs="Tahoma"/>
          <w:color w:val="000000"/>
        </w:rPr>
        <w:t xml:space="preserve">esolutions and recommendations from the Senate and other committees </w:t>
      </w:r>
      <w:r>
        <w:rPr>
          <w:rFonts w:ascii="Tahoma" w:eastAsia="Times New Roman" w:hAnsi="Tahoma" w:cs="Tahoma"/>
          <w:color w:val="000000"/>
        </w:rPr>
        <w:t xml:space="preserve">are </w:t>
      </w:r>
      <w:r w:rsidR="00FE0D9D">
        <w:rPr>
          <w:rFonts w:ascii="Tahoma" w:eastAsia="Times New Roman" w:hAnsi="Tahoma" w:cs="Tahoma"/>
          <w:color w:val="000000"/>
        </w:rPr>
        <w:t xml:space="preserve">provided, Academic Affairs should have a reporting mechanism for a </w:t>
      </w:r>
      <w:r w:rsidR="00FE0D9D" w:rsidRPr="00FE0D9D">
        <w:rPr>
          <w:rFonts w:ascii="Tahoma" w:eastAsia="Times New Roman" w:hAnsi="Tahoma" w:cs="Tahoma"/>
          <w:i/>
          <w:iCs/>
          <w:color w:val="000000"/>
        </w:rPr>
        <w:t>written</w:t>
      </w:r>
      <w:r w:rsidR="00FE0D9D">
        <w:rPr>
          <w:rFonts w:ascii="Tahoma" w:eastAsia="Times New Roman" w:hAnsi="Tahoma" w:cs="Tahoma"/>
          <w:color w:val="000000"/>
        </w:rPr>
        <w:t xml:space="preserve"> reply especially in cases where recommendations or resolutions are not implemented.</w:t>
      </w:r>
      <w:r w:rsidR="002A41BE">
        <w:rPr>
          <w:rFonts w:ascii="Tahoma" w:eastAsia="Times New Roman" w:hAnsi="Tahoma" w:cs="Tahoma"/>
          <w:color w:val="000000"/>
        </w:rPr>
        <w:t xml:space="preserve">  Perhaps a written report summarizing resolutions/recommendations received and resulting actions.</w:t>
      </w:r>
    </w:p>
    <w:p w14:paraId="0E82F050" w14:textId="4340B1C3" w:rsidR="00A425D8" w:rsidRDefault="00A425D8" w:rsidP="003948B5">
      <w:pPr>
        <w:numPr>
          <w:ilvl w:val="1"/>
          <w:numId w:val="1"/>
        </w:numPr>
        <w:spacing w:beforeAutospacing="1" w:afterAutospacing="1"/>
        <w:rPr>
          <w:rFonts w:ascii="Tahoma" w:eastAsia="Times New Roman" w:hAnsi="Tahoma" w:cs="Tahoma"/>
          <w:color w:val="000000"/>
        </w:rPr>
      </w:pPr>
      <w:r w:rsidRPr="007957BE">
        <w:rPr>
          <w:rFonts w:ascii="Tahoma" w:eastAsia="Times New Roman" w:hAnsi="Tahoma" w:cs="Tahoma"/>
          <w:color w:val="000000"/>
        </w:rPr>
        <w:t xml:space="preserve">Excerpt from </w:t>
      </w:r>
      <w:r>
        <w:rPr>
          <w:rFonts w:ascii="Tahoma" w:eastAsia="Times New Roman" w:hAnsi="Tahoma" w:cs="Tahoma"/>
          <w:color w:val="000000"/>
        </w:rPr>
        <w:t>SUNY Shared Governance website</w:t>
      </w:r>
    </w:p>
    <w:p w14:paraId="6AB9E071" w14:textId="77777777" w:rsidR="003948B5" w:rsidRDefault="00000000" w:rsidP="003948B5">
      <w:pPr>
        <w:numPr>
          <w:ilvl w:val="1"/>
          <w:numId w:val="2"/>
        </w:numPr>
        <w:spacing w:beforeAutospacing="1" w:afterAutospacing="1"/>
        <w:textAlignment w:val="baseline"/>
        <w:rPr>
          <w:rFonts w:ascii="Tahoma" w:eastAsia="Times New Roman" w:hAnsi="Tahoma" w:cs="Tahoma"/>
          <w:color w:val="000000"/>
        </w:rPr>
      </w:pPr>
      <w:hyperlink r:id="rId5" w:history="1">
        <w:r w:rsidR="003948B5" w:rsidRPr="009B071A">
          <w:rPr>
            <w:rStyle w:val="Hyperlink"/>
            <w:rFonts w:ascii="Tahoma" w:eastAsia="Times New Roman" w:hAnsi="Tahoma" w:cs="Tahoma"/>
            <w:bdr w:val="none" w:sz="0" w:space="0" w:color="auto" w:frame="1"/>
          </w:rPr>
          <w:t>https://www.suny.edu/about/shared-governance/sunyvoices/cgl-toolkit/shared-governance/</w:t>
        </w:r>
      </w:hyperlink>
    </w:p>
    <w:p w14:paraId="197AF8E9" w14:textId="5DC1B141" w:rsidR="007957BE" w:rsidRPr="003948B5" w:rsidRDefault="007957BE" w:rsidP="003948B5">
      <w:pPr>
        <w:numPr>
          <w:ilvl w:val="1"/>
          <w:numId w:val="2"/>
        </w:numPr>
        <w:spacing w:beforeAutospacing="1" w:afterAutospacing="1"/>
        <w:textAlignment w:val="baseline"/>
        <w:rPr>
          <w:rFonts w:ascii="Tahoma" w:eastAsia="Times New Roman" w:hAnsi="Tahoma" w:cs="Tahoma"/>
          <w:color w:val="000000"/>
        </w:rPr>
      </w:pPr>
      <w:r w:rsidRPr="009B071A">
        <w:rPr>
          <w:rFonts w:ascii="Tahoma" w:eastAsia="Times New Roman" w:hAnsi="Tahoma" w:cs="Tahoma"/>
          <w:color w:val="454545"/>
          <w:bdr w:val="none" w:sz="0" w:space="0" w:color="auto" w:frame="1"/>
        </w:rPr>
        <w:t>"Shared governance" in higher education refers to structures and processes through which faculty, professional staff, administration, governing boards and, sometimes, students and staff participate in the development of policies and in decision-making that affect the institution......While the administration and governing board of the institution are compelled to consider the campus governance body's resolutions and recommendations, they are not required to accept or implement them. After the submission of resolutions, the CGL should work with the administration to assure their acceptance. If conflict arises, ongoing negotiations should be conducted to arrive at the best possible result. Thus, rejection of resolutions or recommendations should occur rarely and then only for specific compelling reasons which should be communicated to the governance body. Rejection of resolutions, however, is NOT the best possible result and should be only a last resort. </w:t>
      </w:r>
      <w:r w:rsidR="00A425D8" w:rsidRPr="003948B5">
        <w:rPr>
          <w:rFonts w:ascii="Tahoma" w:eastAsia="Times New Roman" w:hAnsi="Tahoma" w:cs="Tahoma"/>
          <w:color w:val="454545"/>
          <w:bdr w:val="none" w:sz="0" w:space="0" w:color="auto" w:frame="1"/>
        </w:rPr>
        <w:t xml:space="preserve"> </w:t>
      </w:r>
    </w:p>
    <w:p w14:paraId="31F688E1" w14:textId="5098F823" w:rsidR="00256F6C" w:rsidRPr="007957BE" w:rsidRDefault="00256F6C" w:rsidP="00256F6C">
      <w:pPr>
        <w:numPr>
          <w:ilvl w:val="0"/>
          <w:numId w:val="1"/>
        </w:numPr>
        <w:spacing w:beforeAutospacing="1" w:afterAutospacing="1"/>
        <w:rPr>
          <w:rFonts w:ascii="Tahoma" w:eastAsia="Times New Roman" w:hAnsi="Tahoma" w:cs="Tahoma"/>
          <w:color w:val="000000"/>
        </w:rPr>
      </w:pPr>
      <w:r w:rsidRPr="007957BE">
        <w:rPr>
          <w:rFonts w:ascii="Tahoma" w:eastAsia="Times New Roman" w:hAnsi="Tahoma" w:cs="Tahoma"/>
          <w:b/>
          <w:bCs/>
          <w:color w:val="000000"/>
        </w:rPr>
        <w:t>Assessment and review of administrators</w:t>
      </w:r>
    </w:p>
    <w:p w14:paraId="3E4BE43D" w14:textId="42774B82" w:rsidR="007957BE" w:rsidRDefault="00B511DF" w:rsidP="007957BE">
      <w:pPr>
        <w:numPr>
          <w:ilvl w:val="1"/>
          <w:numId w:val="1"/>
        </w:numPr>
        <w:spacing w:beforeAutospacing="1" w:afterAutospacing="1"/>
        <w:rPr>
          <w:rFonts w:ascii="Tahoma" w:eastAsia="Times New Roman" w:hAnsi="Tahoma" w:cs="Tahoma"/>
          <w:color w:val="000000"/>
        </w:rPr>
      </w:pPr>
      <w:r w:rsidRPr="00B511DF">
        <w:rPr>
          <w:rFonts w:ascii="Tahoma" w:eastAsia="Times New Roman" w:hAnsi="Tahoma" w:cs="Tahoma"/>
          <w:color w:val="000000"/>
        </w:rPr>
        <w:t xml:space="preserve">There is an ongoing emphasis on curricular and programmatic assessments required by SUNY as well as MSCHE.  Faculty are required to do Program Evaluations; faculty undergo periodic evaluations through the ARPT process; faculty are evaluated by students on a semester-by-semester basis.  There should be </w:t>
      </w:r>
      <w:proofErr w:type="gramStart"/>
      <w:r w:rsidRPr="00B511DF">
        <w:rPr>
          <w:rFonts w:ascii="Tahoma" w:eastAsia="Times New Roman" w:hAnsi="Tahoma" w:cs="Tahoma"/>
          <w:color w:val="000000"/>
        </w:rPr>
        <w:t>an</w:t>
      </w:r>
      <w:proofErr w:type="gramEnd"/>
      <w:r w:rsidRPr="00B511DF">
        <w:rPr>
          <w:rFonts w:ascii="Tahoma" w:eastAsia="Times New Roman" w:hAnsi="Tahoma" w:cs="Tahoma"/>
          <w:color w:val="000000"/>
        </w:rPr>
        <w:t xml:space="preserve"> systematic, periodic, institutionalized 360</w:t>
      </w:r>
      <w:r w:rsidRPr="00B511DF">
        <w:rPr>
          <w:rFonts w:ascii="Tahoma" w:eastAsia="Times New Roman" w:hAnsi="Tahoma" w:cs="Tahoma"/>
          <w:color w:val="000000"/>
          <w:vertAlign w:val="superscript"/>
        </w:rPr>
        <w:t>0</w:t>
      </w:r>
      <w:r w:rsidRPr="00B511DF">
        <w:rPr>
          <w:rFonts w:ascii="Tahoma" w:eastAsia="Times New Roman" w:hAnsi="Tahoma" w:cs="Tahoma"/>
          <w:color w:val="000000"/>
        </w:rPr>
        <w:t> periodic review of administrators as part of the assessment processes of the Institution.  </w:t>
      </w:r>
    </w:p>
    <w:p w14:paraId="75988F32" w14:textId="6EC1E177" w:rsidR="007957BE" w:rsidRDefault="007957BE" w:rsidP="007957BE">
      <w:pPr>
        <w:numPr>
          <w:ilvl w:val="1"/>
          <w:numId w:val="1"/>
        </w:numPr>
        <w:spacing w:beforeAutospacing="1" w:afterAutospacing="1"/>
        <w:rPr>
          <w:rFonts w:ascii="Tahoma" w:eastAsia="Times New Roman" w:hAnsi="Tahoma" w:cs="Tahoma"/>
          <w:color w:val="000000"/>
        </w:rPr>
      </w:pPr>
      <w:r>
        <w:rPr>
          <w:rFonts w:ascii="Tahoma" w:eastAsia="Times New Roman" w:hAnsi="Tahoma" w:cs="Tahoma"/>
          <w:color w:val="000000"/>
        </w:rPr>
        <w:t xml:space="preserve">SUNY SAIL is a resource available </w:t>
      </w:r>
      <w:hyperlink r:id="rId6" w:history="1">
        <w:r w:rsidR="003948B5" w:rsidRPr="00657D1E">
          <w:rPr>
            <w:rStyle w:val="Hyperlink"/>
            <w:rFonts w:ascii="Tahoma" w:eastAsia="Times New Roman" w:hAnsi="Tahoma" w:cs="Tahoma"/>
          </w:rPr>
          <w:t>https://sunysail.org/suny360/</w:t>
        </w:r>
      </w:hyperlink>
      <w:r>
        <w:rPr>
          <w:rFonts w:ascii="Tahoma" w:eastAsia="Times New Roman" w:hAnsi="Tahoma" w:cs="Tahoma"/>
          <w:color w:val="000000"/>
        </w:rPr>
        <w:t xml:space="preserve"> </w:t>
      </w:r>
    </w:p>
    <w:p w14:paraId="1D42C4DE" w14:textId="6C1625D9" w:rsidR="007957BE" w:rsidRPr="007957BE" w:rsidRDefault="007957BE" w:rsidP="007957BE">
      <w:pPr>
        <w:numPr>
          <w:ilvl w:val="1"/>
          <w:numId w:val="1"/>
        </w:numPr>
        <w:spacing w:beforeAutospacing="1" w:afterAutospacing="1"/>
        <w:rPr>
          <w:rFonts w:ascii="Tahoma" w:eastAsia="Times New Roman" w:hAnsi="Tahoma" w:cs="Tahoma"/>
          <w:color w:val="000000"/>
        </w:rPr>
      </w:pPr>
      <w:r w:rsidRPr="007957BE">
        <w:rPr>
          <w:rFonts w:ascii="Tahoma" w:eastAsia="Times New Roman" w:hAnsi="Tahoma" w:cs="Tahoma"/>
          <w:color w:val="000000"/>
        </w:rPr>
        <w:t xml:space="preserve">Excerpt from </w:t>
      </w:r>
      <w:r w:rsidRPr="007957BE">
        <w:rPr>
          <w:rFonts w:ascii="Tahoma" w:hAnsi="Tahoma" w:cs="Tahoma"/>
          <w:color w:val="333333"/>
        </w:rPr>
        <w:t>Making the Case for 360° Feedback</w:t>
      </w:r>
      <w:r w:rsidR="00A425D8">
        <w:rPr>
          <w:rFonts w:ascii="Tahoma" w:hAnsi="Tahoma" w:cs="Tahoma"/>
          <w:color w:val="333333"/>
        </w:rPr>
        <w:t xml:space="preserve"> Article</w:t>
      </w:r>
    </w:p>
    <w:p w14:paraId="574A0E8D" w14:textId="599B533A" w:rsidR="007957BE" w:rsidRPr="007957BE" w:rsidRDefault="00000000" w:rsidP="003948B5">
      <w:pPr>
        <w:numPr>
          <w:ilvl w:val="1"/>
          <w:numId w:val="2"/>
        </w:numPr>
        <w:spacing w:beforeAutospacing="1" w:afterAutospacing="1"/>
        <w:textAlignment w:val="baseline"/>
        <w:rPr>
          <w:rFonts w:ascii="Tahoma" w:eastAsia="Times New Roman" w:hAnsi="Tahoma" w:cs="Tahoma"/>
          <w:color w:val="000000"/>
        </w:rPr>
      </w:pPr>
      <w:hyperlink r:id="rId7" w:history="1">
        <w:r w:rsidR="003948B5" w:rsidRPr="00B511DF">
          <w:rPr>
            <w:rStyle w:val="Hyperlink"/>
            <w:rFonts w:ascii="Tahoma" w:eastAsia="Times New Roman" w:hAnsi="Tahoma" w:cs="Tahoma"/>
            <w:bdr w:val="none" w:sz="0" w:space="0" w:color="auto" w:frame="1"/>
            <w:shd w:val="clear" w:color="auto" w:fill="FFFFFF"/>
          </w:rPr>
          <w:t>https://sunysail.org/2019/07/05/making-the-case-for-360-feedback/</w:t>
        </w:r>
      </w:hyperlink>
    </w:p>
    <w:p w14:paraId="3A314816" w14:textId="1E9034B5" w:rsidR="00B511DF" w:rsidRPr="00B511DF" w:rsidRDefault="00B511DF" w:rsidP="003948B5">
      <w:pPr>
        <w:numPr>
          <w:ilvl w:val="1"/>
          <w:numId w:val="2"/>
        </w:numPr>
        <w:spacing w:beforeAutospacing="1" w:afterAutospacing="1"/>
        <w:textAlignment w:val="baseline"/>
        <w:rPr>
          <w:rFonts w:ascii="Tahoma" w:eastAsia="Times New Roman" w:hAnsi="Tahoma" w:cs="Tahoma"/>
          <w:color w:val="000000"/>
        </w:rPr>
      </w:pPr>
      <w:r w:rsidRPr="00B511DF">
        <w:rPr>
          <w:rFonts w:ascii="Tahoma" w:eastAsia="Times New Roman" w:hAnsi="Tahoma" w:cs="Tahoma"/>
          <w:color w:val="666666"/>
          <w:bdr w:val="none" w:sz="0" w:space="0" w:color="auto" w:frame="1"/>
          <w:shd w:val="clear" w:color="auto" w:fill="FFFFFF"/>
        </w:rPr>
        <w:t xml:space="preserve">Establishing a culture of authentic feedback within an organization can positively influence the overall culture in </w:t>
      </w:r>
      <w:proofErr w:type="gramStart"/>
      <w:r w:rsidRPr="00B511DF">
        <w:rPr>
          <w:rFonts w:ascii="Tahoma" w:eastAsia="Times New Roman" w:hAnsi="Tahoma" w:cs="Tahoma"/>
          <w:color w:val="666666"/>
          <w:bdr w:val="none" w:sz="0" w:space="0" w:color="auto" w:frame="1"/>
          <w:shd w:val="clear" w:color="auto" w:fill="FFFFFF"/>
        </w:rPr>
        <w:t>a number of</w:t>
      </w:r>
      <w:proofErr w:type="gramEnd"/>
      <w:r w:rsidRPr="00B511DF">
        <w:rPr>
          <w:rFonts w:ascii="Tahoma" w:eastAsia="Times New Roman" w:hAnsi="Tahoma" w:cs="Tahoma"/>
          <w:color w:val="666666"/>
          <w:bdr w:val="none" w:sz="0" w:space="0" w:color="auto" w:frame="1"/>
          <w:shd w:val="clear" w:color="auto" w:fill="FFFFFF"/>
        </w:rPr>
        <w:t xml:space="preserve"> ways. Positive derivatives include trust, open communications, transparency in decision making, effective teams, a culture of continuous improvement, and a fully engaged workforce. .... Because of the constant pressure of change, and in the absence of transparency and </w:t>
      </w:r>
      <w:r w:rsidRPr="00B511DF">
        <w:rPr>
          <w:rFonts w:ascii="Tahoma" w:eastAsia="Times New Roman" w:hAnsi="Tahoma" w:cs="Tahoma"/>
          <w:color w:val="666666"/>
          <w:bdr w:val="none" w:sz="0" w:space="0" w:color="auto" w:frame="1"/>
          <w:shd w:val="clear" w:color="auto" w:fill="FFFFFF"/>
        </w:rPr>
        <w:lastRenderedPageBreak/>
        <w:t>open communication, the organizational culture may become something very different from that intended by the leadership team. The open communication that occurs through authentic feedback can be one of the most effective ways a leader can strategically influence organizational culture. Of all the various forms of feedback, multi-rater or 360° feedback is a powerful developmental tool</w:t>
      </w:r>
      <w:proofErr w:type="gramStart"/>
      <w:r w:rsidRPr="00B511DF">
        <w:rPr>
          <w:rFonts w:ascii="Tahoma" w:eastAsia="Times New Roman" w:hAnsi="Tahoma" w:cs="Tahoma"/>
          <w:color w:val="666666"/>
          <w:bdr w:val="none" w:sz="0" w:space="0" w:color="auto" w:frame="1"/>
          <w:shd w:val="clear" w:color="auto" w:fill="FFFFFF"/>
        </w:rPr>
        <w:t>....The</w:t>
      </w:r>
      <w:proofErr w:type="gramEnd"/>
      <w:r w:rsidRPr="00B511DF">
        <w:rPr>
          <w:rFonts w:ascii="Tahoma" w:eastAsia="Times New Roman" w:hAnsi="Tahoma" w:cs="Tahoma"/>
          <w:color w:val="666666"/>
          <w:bdr w:val="none" w:sz="0" w:space="0" w:color="auto" w:frame="1"/>
          <w:shd w:val="clear" w:color="auto" w:fill="FFFFFF"/>
        </w:rPr>
        <w:t xml:space="preserve"> 360° assessment process solicits honest and authentic feedback from a variety of people who know the individual in numerous contexts. It is called a 360° evaluation because feedback is sought from a wide range of individuals with whom the leader interacts: staff, colleagues, supervisor(s) and others  (</w:t>
      </w:r>
      <w:hyperlink r:id="rId8" w:tgtFrame="_blank" w:history="1">
        <w:r w:rsidRPr="00B511DF">
          <w:rPr>
            <w:rFonts w:ascii="Tahoma" w:eastAsia="Times New Roman" w:hAnsi="Tahoma" w:cs="Tahoma"/>
            <w:color w:val="040FDD"/>
            <w:u w:val="single"/>
            <w:bdr w:val="none" w:sz="0" w:space="0" w:color="auto" w:frame="1"/>
            <w:shd w:val="clear" w:color="auto" w:fill="FFFFFF"/>
          </w:rPr>
          <w:t xml:space="preserve">Van </w:t>
        </w:r>
        <w:proofErr w:type="spellStart"/>
        <w:r w:rsidRPr="00B511DF">
          <w:rPr>
            <w:rFonts w:ascii="Tahoma" w:eastAsia="Times New Roman" w:hAnsi="Tahoma" w:cs="Tahoma"/>
            <w:color w:val="040FDD"/>
            <w:u w:val="single"/>
            <w:bdr w:val="none" w:sz="0" w:space="0" w:color="auto" w:frame="1"/>
            <w:shd w:val="clear" w:color="auto" w:fill="FFFFFF"/>
          </w:rPr>
          <w:t>Velsor</w:t>
        </w:r>
        <w:proofErr w:type="spellEnd"/>
        <w:r w:rsidRPr="00B511DF">
          <w:rPr>
            <w:rFonts w:ascii="Tahoma" w:eastAsia="Times New Roman" w:hAnsi="Tahoma" w:cs="Tahoma"/>
            <w:color w:val="040FDD"/>
            <w:u w:val="single"/>
            <w:bdr w:val="none" w:sz="0" w:space="0" w:color="auto" w:frame="1"/>
            <w:shd w:val="clear" w:color="auto" w:fill="FFFFFF"/>
          </w:rPr>
          <w:t xml:space="preserve"> et al., 1997</w:t>
        </w:r>
      </w:hyperlink>
      <w:r w:rsidRPr="00B511DF">
        <w:rPr>
          <w:rFonts w:ascii="Tahoma" w:eastAsia="Times New Roman" w:hAnsi="Tahoma" w:cs="Tahoma"/>
          <w:color w:val="666666"/>
          <w:bdr w:val="none" w:sz="0" w:space="0" w:color="auto" w:frame="1"/>
          <w:shd w:val="clear" w:color="auto" w:fill="FFFFFF"/>
        </w:rPr>
        <w:t>).</w:t>
      </w:r>
    </w:p>
    <w:p w14:paraId="3E109E28" w14:textId="3D0FA552" w:rsidR="007957BE" w:rsidRDefault="007957BE" w:rsidP="007957BE">
      <w:pPr>
        <w:spacing w:beforeAutospacing="1" w:afterAutospacing="1"/>
        <w:textAlignment w:val="baseline"/>
        <w:rPr>
          <w:rFonts w:ascii="Tahoma" w:eastAsia="Times New Roman" w:hAnsi="Tahoma" w:cs="Tahoma"/>
          <w:color w:val="000000"/>
        </w:rPr>
      </w:pPr>
      <w:r>
        <w:rPr>
          <w:rFonts w:ascii="Tahoma" w:eastAsia="Times New Roman" w:hAnsi="Tahoma" w:cs="Tahoma"/>
          <w:noProof/>
          <w:color w:val="000000"/>
        </w:rPr>
        <w:drawing>
          <wp:inline distT="0" distB="0" distL="0" distR="0" wp14:anchorId="1C460BF0" wp14:editId="0A14262C">
            <wp:extent cx="2652665" cy="5659019"/>
            <wp:effectExtent l="0" t="0" r="1905"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0537" cy="5675812"/>
                    </a:xfrm>
                    <a:prstGeom prst="rect">
                      <a:avLst/>
                    </a:prstGeom>
                  </pic:spPr>
                </pic:pic>
              </a:graphicData>
            </a:graphic>
          </wp:inline>
        </w:drawing>
      </w:r>
    </w:p>
    <w:sectPr w:rsidR="0079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0EC"/>
    <w:multiLevelType w:val="multilevel"/>
    <w:tmpl w:val="B9E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623E0"/>
    <w:multiLevelType w:val="multilevel"/>
    <w:tmpl w:val="E40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A7218"/>
    <w:multiLevelType w:val="multilevel"/>
    <w:tmpl w:val="9FB2F8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B07A5"/>
    <w:multiLevelType w:val="multilevel"/>
    <w:tmpl w:val="C8BEC6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DC93CD4"/>
    <w:multiLevelType w:val="multilevel"/>
    <w:tmpl w:val="975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458910">
    <w:abstractNumId w:val="2"/>
  </w:num>
  <w:num w:numId="2" w16cid:durableId="593634533">
    <w:abstractNumId w:val="3"/>
  </w:num>
  <w:num w:numId="3" w16cid:durableId="2081365229">
    <w:abstractNumId w:val="0"/>
  </w:num>
  <w:num w:numId="4" w16cid:durableId="1659918177">
    <w:abstractNumId w:val="4"/>
  </w:num>
  <w:num w:numId="5" w16cid:durableId="15303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DF"/>
    <w:rsid w:val="001F4678"/>
    <w:rsid w:val="002266E1"/>
    <w:rsid w:val="00256F6C"/>
    <w:rsid w:val="002A41BE"/>
    <w:rsid w:val="002B5B7E"/>
    <w:rsid w:val="003948B5"/>
    <w:rsid w:val="007957BE"/>
    <w:rsid w:val="00853FED"/>
    <w:rsid w:val="00883D1C"/>
    <w:rsid w:val="009B071A"/>
    <w:rsid w:val="00A04F8D"/>
    <w:rsid w:val="00A26816"/>
    <w:rsid w:val="00A425D8"/>
    <w:rsid w:val="00B511DF"/>
    <w:rsid w:val="00D2106F"/>
    <w:rsid w:val="00E633B2"/>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2A61E"/>
  <w15:chartTrackingRefBased/>
  <w15:docId w15:val="{8F3B3D79-9B53-9346-BE30-21DB70CD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7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11DF"/>
  </w:style>
  <w:style w:type="character" w:styleId="Hyperlink">
    <w:name w:val="Hyperlink"/>
    <w:basedOn w:val="DefaultParagraphFont"/>
    <w:uiPriority w:val="99"/>
    <w:unhideWhenUsed/>
    <w:rsid w:val="00B511DF"/>
    <w:rPr>
      <w:color w:val="0000FF"/>
      <w:u w:val="single"/>
    </w:rPr>
  </w:style>
  <w:style w:type="paragraph" w:styleId="NormalWeb">
    <w:name w:val="Normal (Web)"/>
    <w:basedOn w:val="Normal"/>
    <w:uiPriority w:val="99"/>
    <w:semiHidden/>
    <w:unhideWhenUsed/>
    <w:rsid w:val="009B071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957BE"/>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95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6927">
      <w:bodyDiv w:val="1"/>
      <w:marLeft w:val="0"/>
      <w:marRight w:val="0"/>
      <w:marTop w:val="0"/>
      <w:marBottom w:val="0"/>
      <w:divBdr>
        <w:top w:val="none" w:sz="0" w:space="0" w:color="auto"/>
        <w:left w:val="none" w:sz="0" w:space="0" w:color="auto"/>
        <w:bottom w:val="none" w:sz="0" w:space="0" w:color="auto"/>
        <w:right w:val="none" w:sz="0" w:space="0" w:color="auto"/>
      </w:divBdr>
    </w:div>
    <w:div w:id="547373151">
      <w:bodyDiv w:val="1"/>
      <w:marLeft w:val="0"/>
      <w:marRight w:val="0"/>
      <w:marTop w:val="0"/>
      <w:marBottom w:val="0"/>
      <w:divBdr>
        <w:top w:val="none" w:sz="0" w:space="0" w:color="auto"/>
        <w:left w:val="none" w:sz="0" w:space="0" w:color="auto"/>
        <w:bottom w:val="none" w:sz="0" w:space="0" w:color="auto"/>
        <w:right w:val="none" w:sz="0" w:space="0" w:color="auto"/>
      </w:divBdr>
      <w:divsChild>
        <w:div w:id="185951648">
          <w:marLeft w:val="0"/>
          <w:marRight w:val="0"/>
          <w:marTop w:val="0"/>
          <w:marBottom w:val="0"/>
          <w:divBdr>
            <w:top w:val="none" w:sz="0" w:space="0" w:color="auto"/>
            <w:left w:val="none" w:sz="0" w:space="0" w:color="auto"/>
            <w:bottom w:val="none" w:sz="0" w:space="0" w:color="auto"/>
            <w:right w:val="none" w:sz="0" w:space="0" w:color="auto"/>
          </w:divBdr>
        </w:div>
        <w:div w:id="612707352">
          <w:marLeft w:val="0"/>
          <w:marRight w:val="0"/>
          <w:marTop w:val="0"/>
          <w:marBottom w:val="0"/>
          <w:divBdr>
            <w:top w:val="none" w:sz="0" w:space="0" w:color="auto"/>
            <w:left w:val="none" w:sz="0" w:space="0" w:color="auto"/>
            <w:bottom w:val="none" w:sz="0" w:space="0" w:color="auto"/>
            <w:right w:val="none" w:sz="0" w:space="0" w:color="auto"/>
          </w:divBdr>
          <w:divsChild>
            <w:div w:id="821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9243">
      <w:bodyDiv w:val="1"/>
      <w:marLeft w:val="0"/>
      <w:marRight w:val="0"/>
      <w:marTop w:val="0"/>
      <w:marBottom w:val="0"/>
      <w:divBdr>
        <w:top w:val="none" w:sz="0" w:space="0" w:color="auto"/>
        <w:left w:val="none" w:sz="0" w:space="0" w:color="auto"/>
        <w:bottom w:val="none" w:sz="0" w:space="0" w:color="auto"/>
        <w:right w:val="none" w:sz="0" w:space="0" w:color="auto"/>
      </w:divBdr>
    </w:div>
    <w:div w:id="1498765899">
      <w:bodyDiv w:val="1"/>
      <w:marLeft w:val="0"/>
      <w:marRight w:val="0"/>
      <w:marTop w:val="0"/>
      <w:marBottom w:val="0"/>
      <w:divBdr>
        <w:top w:val="none" w:sz="0" w:space="0" w:color="auto"/>
        <w:left w:val="none" w:sz="0" w:space="0" w:color="auto"/>
        <w:bottom w:val="none" w:sz="0" w:space="0" w:color="auto"/>
        <w:right w:val="none" w:sz="0" w:space="0" w:color="auto"/>
      </w:divBdr>
      <w:divsChild>
        <w:div w:id="536436210">
          <w:marLeft w:val="0"/>
          <w:marRight w:val="0"/>
          <w:marTop w:val="0"/>
          <w:marBottom w:val="0"/>
          <w:divBdr>
            <w:top w:val="none" w:sz="0" w:space="0" w:color="auto"/>
            <w:left w:val="none" w:sz="0" w:space="0" w:color="auto"/>
            <w:bottom w:val="none" w:sz="0" w:space="0" w:color="auto"/>
            <w:right w:val="none" w:sz="0" w:space="0" w:color="auto"/>
          </w:divBdr>
        </w:div>
        <w:div w:id="770509481">
          <w:marLeft w:val="0"/>
          <w:marRight w:val="0"/>
          <w:marTop w:val="0"/>
          <w:marBottom w:val="0"/>
          <w:divBdr>
            <w:top w:val="none" w:sz="0" w:space="0" w:color="auto"/>
            <w:left w:val="none" w:sz="0" w:space="0" w:color="auto"/>
            <w:bottom w:val="none" w:sz="0" w:space="0" w:color="auto"/>
            <w:right w:val="none" w:sz="0" w:space="0" w:color="auto"/>
          </w:divBdr>
        </w:div>
        <w:div w:id="74981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www.amazon.com%2FChoosing-360-Multi-rater-Instruments-Development-ebook%2Fdp%2FB074QV66WB%2Fref%3Dsr_1_1%3Fkeywords%3DChoosing%2B360%253A%2BA%2Bguide%2Bto%2Bevaluating%2Bmulti-rater%2Bfeedback%2Binstruments%2Bfor%2Bmanagement%2Bdevelopment.%26qid%3D1562768561%26s%3Dbooks%26sr%3D1-1&amp;data=05%7C01%7Cdambroisej%40oldwestbury.edu%7Cc003c4fa94154c5224fc08daa64cf984%7Cf5089034f2334f12a71638b7f4904370%7C0%7C0%7C638005146794117468%7CUnknown%7CTWFpbGZsb3d8eyJWIjoiMC4wLjAwMDAiLCJQIjoiV2luMzIiLCJBTiI6Ik1haWwiLCJXVCI6Mn0%3D%7C3000%7C%7C%7C&amp;sdata=VDn2nb%2BJTwskbsyQm93cSHfUkuFia7TB7doZN%2Bi9FME%3D&amp;reserved=0" TargetMode="External"/><Relationship Id="rId3" Type="http://schemas.openxmlformats.org/officeDocument/2006/relationships/settings" Target="settings.xml"/><Relationship Id="rId7" Type="http://schemas.openxmlformats.org/officeDocument/2006/relationships/hyperlink" Target="https://sunysail.org/2019/07/05/making-the-case-for-360-feed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nysail.org/suny360/" TargetMode="External"/><Relationship Id="rId11" Type="http://schemas.openxmlformats.org/officeDocument/2006/relationships/theme" Target="theme/theme1.xml"/><Relationship Id="rId5" Type="http://schemas.openxmlformats.org/officeDocument/2006/relationships/hyperlink" Target="https://www.suny.edu/about/shared-governance/sunyvoices/cgl-toolkit/shared-govern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D'Ambroise</dc:creator>
  <cp:keywords/>
  <dc:description/>
  <cp:lastModifiedBy>Jennie D'Ambroise</cp:lastModifiedBy>
  <cp:revision>10</cp:revision>
  <dcterms:created xsi:type="dcterms:W3CDTF">2022-10-10T17:44:00Z</dcterms:created>
  <dcterms:modified xsi:type="dcterms:W3CDTF">2022-10-10T19:03:00Z</dcterms:modified>
</cp:coreProperties>
</file>