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764" w:rsidRPr="00B37DB0" w:rsidRDefault="006B5E37">
      <w:pPr>
        <w:rPr>
          <w:rFonts w:ascii="Times New Roman" w:hAnsi="Times New Roman" w:cs="Times New Roman"/>
          <w:b/>
          <w:sz w:val="24"/>
          <w:szCs w:val="24"/>
        </w:rPr>
      </w:pPr>
      <w:r w:rsidRPr="00B37DB0">
        <w:rPr>
          <w:rFonts w:ascii="Times New Roman" w:hAnsi="Times New Roman" w:cs="Times New Roman"/>
          <w:b/>
          <w:sz w:val="24"/>
          <w:szCs w:val="24"/>
        </w:rPr>
        <w:t>GEC Resolution on LEAP</w:t>
      </w:r>
      <w:r w:rsidR="00B37DB0" w:rsidRPr="00B37DB0">
        <w:rPr>
          <w:rFonts w:ascii="Times New Roman" w:hAnsi="Times New Roman" w:cs="Times New Roman"/>
          <w:b/>
          <w:sz w:val="24"/>
          <w:szCs w:val="24"/>
        </w:rPr>
        <w:t xml:space="preserve"> “Essential Learning Outcomes”</w:t>
      </w:r>
    </w:p>
    <w:p w:rsidR="006B5E37" w:rsidRDefault="006B5E37" w:rsidP="006B5E37">
      <w:pPr>
        <w:spacing w:after="120"/>
        <w:rPr>
          <w:rFonts w:ascii="Times New Roman" w:hAnsi="Times New Roman" w:cs="Times New Roman"/>
          <w:sz w:val="24"/>
          <w:szCs w:val="24"/>
        </w:rPr>
      </w:pPr>
    </w:p>
    <w:p w:rsidR="006B5E37" w:rsidRPr="006B5E37" w:rsidRDefault="006B5E37" w:rsidP="006B5E37">
      <w:pPr>
        <w:spacing w:after="120"/>
        <w:rPr>
          <w:rFonts w:ascii="Times New Roman" w:eastAsia="Times New Roman" w:hAnsi="Times New Roman" w:cs="Times New Roman"/>
          <w:bCs/>
          <w:kern w:val="36"/>
          <w:sz w:val="24"/>
          <w:szCs w:val="24"/>
        </w:rPr>
      </w:pPr>
      <w:r w:rsidRPr="00B37DB0">
        <w:rPr>
          <w:rFonts w:ascii="Times New Roman" w:hAnsi="Times New Roman" w:cs="Times New Roman"/>
          <w:i/>
          <w:sz w:val="24"/>
          <w:szCs w:val="24"/>
        </w:rPr>
        <w:t>Whereas</w:t>
      </w:r>
      <w:r w:rsidRPr="006B5E37">
        <w:rPr>
          <w:rFonts w:ascii="Times New Roman" w:hAnsi="Times New Roman" w:cs="Times New Roman"/>
          <w:sz w:val="24"/>
          <w:szCs w:val="24"/>
        </w:rPr>
        <w:t xml:space="preserve"> </w:t>
      </w:r>
      <w:r w:rsidRPr="006B5E37">
        <w:rPr>
          <w:rFonts w:ascii="Times New Roman" w:eastAsia="Times New Roman" w:hAnsi="Times New Roman" w:cs="Times New Roman"/>
          <w:bCs/>
          <w:kern w:val="36"/>
          <w:sz w:val="24"/>
          <w:szCs w:val="24"/>
        </w:rPr>
        <w:t>Old Westbury is an accredited member institution of the Middle States Commission on Higher Education (“Middle States”), and;</w:t>
      </w:r>
    </w:p>
    <w:p w:rsidR="006B5E37" w:rsidRPr="006B5E37" w:rsidRDefault="006B5E37" w:rsidP="006B5E37">
      <w:pPr>
        <w:spacing w:after="120"/>
        <w:rPr>
          <w:rFonts w:ascii="Times New Roman" w:eastAsia="Times New Roman" w:hAnsi="Times New Roman" w:cs="Times New Roman"/>
          <w:bCs/>
          <w:kern w:val="36"/>
          <w:sz w:val="24"/>
          <w:szCs w:val="24"/>
        </w:rPr>
      </w:pPr>
      <w:r w:rsidRPr="00B37DB0">
        <w:rPr>
          <w:rFonts w:ascii="Times New Roman" w:eastAsia="Times New Roman" w:hAnsi="Times New Roman" w:cs="Times New Roman"/>
          <w:bCs/>
          <w:i/>
          <w:kern w:val="36"/>
          <w:sz w:val="24"/>
          <w:szCs w:val="24"/>
        </w:rPr>
        <w:t>Whereas</w:t>
      </w:r>
      <w:r w:rsidRPr="006B5E37">
        <w:rPr>
          <w:rFonts w:ascii="Times New Roman" w:eastAsia="Times New Roman" w:hAnsi="Times New Roman" w:cs="Times New Roman"/>
          <w:bCs/>
          <w:kern w:val="36"/>
          <w:sz w:val="24"/>
          <w:szCs w:val="24"/>
        </w:rPr>
        <w:t xml:space="preserve">, in its recent “Standards of Accreditation and Requirements of Affiliation” (2014), Middle States placed greater emphasis on </w:t>
      </w:r>
      <w:r w:rsidRPr="006B5E37">
        <w:rPr>
          <w:rFonts w:ascii="Times New Roman" w:eastAsia="Times New Roman" w:hAnsi="Times New Roman" w:cs="Times New Roman"/>
          <w:bCs/>
          <w:i/>
          <w:kern w:val="36"/>
          <w:sz w:val="24"/>
          <w:szCs w:val="24"/>
        </w:rPr>
        <w:t>institutional objectives</w:t>
      </w:r>
      <w:r w:rsidRPr="006B5E37">
        <w:rPr>
          <w:rFonts w:ascii="Times New Roman" w:eastAsia="Times New Roman" w:hAnsi="Times New Roman" w:cs="Times New Roman"/>
          <w:bCs/>
          <w:kern w:val="36"/>
          <w:sz w:val="24"/>
          <w:szCs w:val="24"/>
        </w:rPr>
        <w:t xml:space="preserve"> (also known as “college-wide objectives”), and;</w:t>
      </w:r>
    </w:p>
    <w:p w:rsidR="006B5E37" w:rsidRPr="006B5E37" w:rsidRDefault="006B5E37" w:rsidP="006B5E37">
      <w:pPr>
        <w:spacing w:after="120"/>
        <w:rPr>
          <w:rFonts w:ascii="Times New Roman" w:eastAsia="Times New Roman" w:hAnsi="Times New Roman" w:cs="Times New Roman"/>
          <w:bCs/>
          <w:kern w:val="36"/>
          <w:sz w:val="24"/>
          <w:szCs w:val="24"/>
        </w:rPr>
      </w:pPr>
      <w:r w:rsidRPr="00B37DB0">
        <w:rPr>
          <w:rFonts w:ascii="Times New Roman" w:eastAsia="Times New Roman" w:hAnsi="Times New Roman" w:cs="Times New Roman"/>
          <w:bCs/>
          <w:i/>
          <w:kern w:val="36"/>
          <w:sz w:val="24"/>
          <w:szCs w:val="24"/>
        </w:rPr>
        <w:t>Whereas</w:t>
      </w:r>
      <w:r w:rsidRPr="006B5E37">
        <w:rPr>
          <w:rFonts w:ascii="Times New Roman" w:eastAsia="Times New Roman" w:hAnsi="Times New Roman" w:cs="Times New Roman"/>
          <w:bCs/>
          <w:kern w:val="36"/>
          <w:sz w:val="24"/>
          <w:szCs w:val="24"/>
        </w:rPr>
        <w:t>, Middle States specifically emphasizes that those should relate to the institution’s Mission, and;</w:t>
      </w:r>
    </w:p>
    <w:p w:rsidR="006B5E37" w:rsidRPr="006B5E37" w:rsidRDefault="006B5E37" w:rsidP="006B5E37">
      <w:pPr>
        <w:spacing w:after="120"/>
        <w:rPr>
          <w:rFonts w:ascii="Times New Roman" w:hAnsi="Times New Roman" w:cs="Times New Roman"/>
          <w:sz w:val="24"/>
          <w:szCs w:val="24"/>
        </w:rPr>
      </w:pPr>
      <w:r w:rsidRPr="00B37DB0">
        <w:rPr>
          <w:rFonts w:ascii="Times New Roman" w:eastAsia="Times New Roman" w:hAnsi="Times New Roman" w:cs="Times New Roman"/>
          <w:bCs/>
          <w:i/>
          <w:kern w:val="36"/>
          <w:sz w:val="24"/>
          <w:szCs w:val="24"/>
        </w:rPr>
        <w:t>Whereas</w:t>
      </w:r>
      <w:r w:rsidRPr="006B5E37">
        <w:rPr>
          <w:rFonts w:ascii="Times New Roman" w:eastAsia="Times New Roman" w:hAnsi="Times New Roman" w:cs="Times New Roman"/>
          <w:bCs/>
          <w:kern w:val="36"/>
          <w:sz w:val="24"/>
          <w:szCs w:val="24"/>
        </w:rPr>
        <w:t xml:space="preserve">, increasingly, Middle States expects member institutions to apply findings from ongoing assessment of curricular effectiveness to future planning, and; </w:t>
      </w:r>
    </w:p>
    <w:p w:rsidR="006B5E37" w:rsidRPr="006B5E37" w:rsidRDefault="006B5E37" w:rsidP="006B5E37">
      <w:pPr>
        <w:rPr>
          <w:rFonts w:ascii="Times New Roman" w:eastAsia="Times New Roman" w:hAnsi="Times New Roman" w:cs="Times New Roman"/>
          <w:bCs/>
          <w:kern w:val="36"/>
          <w:sz w:val="24"/>
          <w:szCs w:val="24"/>
        </w:rPr>
      </w:pPr>
      <w:r w:rsidRPr="00B37DB0">
        <w:rPr>
          <w:rFonts w:ascii="Times New Roman" w:hAnsi="Times New Roman" w:cs="Times New Roman"/>
          <w:i/>
          <w:sz w:val="24"/>
          <w:szCs w:val="24"/>
        </w:rPr>
        <w:t>Whereas</w:t>
      </w:r>
      <w:r w:rsidRPr="006B5E37">
        <w:rPr>
          <w:rFonts w:ascii="Times New Roman" w:hAnsi="Times New Roman" w:cs="Times New Roman"/>
          <w:sz w:val="24"/>
          <w:szCs w:val="24"/>
        </w:rPr>
        <w:t>, since its introduction in 2006, the American Association of Colleges and University’s “LEAP”</w:t>
      </w:r>
      <w:r w:rsidRPr="006B5E37">
        <w:rPr>
          <w:rFonts w:ascii="Times New Roman" w:eastAsia="Times New Roman" w:hAnsi="Times New Roman" w:cs="Times New Roman"/>
          <w:bCs/>
          <w:kern w:val="36"/>
          <w:sz w:val="24"/>
          <w:szCs w:val="24"/>
        </w:rPr>
        <w:t xml:space="preserve"> (Liberal Education and America’s Promise) </w:t>
      </w:r>
      <w:r w:rsidRPr="006B5E37">
        <w:rPr>
          <w:rFonts w:ascii="Times New Roman" w:hAnsi="Times New Roman" w:cs="Times New Roman"/>
          <w:sz w:val="24"/>
          <w:szCs w:val="24"/>
        </w:rPr>
        <w:t xml:space="preserve">program has become </w:t>
      </w:r>
      <w:r w:rsidRPr="006B5E37">
        <w:rPr>
          <w:rFonts w:ascii="Times New Roman" w:eastAsia="Times New Roman" w:hAnsi="Times New Roman" w:cs="Times New Roman"/>
          <w:bCs/>
          <w:kern w:val="36"/>
          <w:sz w:val="24"/>
          <w:szCs w:val="24"/>
        </w:rPr>
        <w:t>a national standard in liberal higher education, and;</w:t>
      </w:r>
    </w:p>
    <w:p w:rsidR="006B5E37" w:rsidRPr="006B5E37" w:rsidRDefault="006B5E37" w:rsidP="006B5E37">
      <w:pPr>
        <w:rPr>
          <w:rFonts w:ascii="Times New Roman" w:eastAsia="Times New Roman" w:hAnsi="Times New Roman" w:cs="Times New Roman"/>
          <w:bCs/>
          <w:kern w:val="36"/>
          <w:sz w:val="24"/>
          <w:szCs w:val="24"/>
        </w:rPr>
      </w:pPr>
      <w:r w:rsidRPr="00B37DB0">
        <w:rPr>
          <w:rFonts w:ascii="Times New Roman" w:eastAsia="Times New Roman" w:hAnsi="Times New Roman" w:cs="Times New Roman"/>
          <w:bCs/>
          <w:i/>
          <w:kern w:val="36"/>
          <w:sz w:val="24"/>
          <w:szCs w:val="24"/>
        </w:rPr>
        <w:t>Whereas</w:t>
      </w:r>
      <w:r w:rsidRPr="006B5E37">
        <w:rPr>
          <w:rFonts w:ascii="Times New Roman" w:eastAsia="Times New Roman" w:hAnsi="Times New Roman" w:cs="Times New Roman"/>
          <w:bCs/>
          <w:kern w:val="36"/>
          <w:sz w:val="24"/>
          <w:szCs w:val="24"/>
        </w:rPr>
        <w:t>, the four LEAP “Essential Learning Outcomes” are:</w:t>
      </w:r>
    </w:p>
    <w:p w:rsidR="006B5E37" w:rsidRPr="006B5E37" w:rsidRDefault="006B5E37" w:rsidP="006B5E37">
      <w:pPr>
        <w:pStyle w:val="ListParagraph"/>
        <w:numPr>
          <w:ilvl w:val="0"/>
          <w:numId w:val="1"/>
        </w:numPr>
        <w:spacing w:after="120"/>
        <w:rPr>
          <w:rFonts w:ascii="Times New Roman" w:eastAsia="Times New Roman" w:hAnsi="Times New Roman" w:cs="Times New Roman"/>
          <w:bCs/>
          <w:kern w:val="36"/>
          <w:sz w:val="24"/>
          <w:szCs w:val="24"/>
        </w:rPr>
      </w:pPr>
      <w:r w:rsidRPr="006B5E37">
        <w:rPr>
          <w:rFonts w:ascii="Times New Roman" w:eastAsia="Times New Roman" w:hAnsi="Times New Roman" w:cs="Times New Roman"/>
          <w:bCs/>
          <w:kern w:val="36"/>
          <w:sz w:val="24"/>
          <w:szCs w:val="24"/>
        </w:rPr>
        <w:t>Knowledge of Human Cultures and the Physical and Natural World;</w:t>
      </w:r>
    </w:p>
    <w:p w:rsidR="006B5E37" w:rsidRPr="006B5E37" w:rsidRDefault="006B5E37" w:rsidP="006B5E37">
      <w:pPr>
        <w:pStyle w:val="ListParagraph"/>
        <w:numPr>
          <w:ilvl w:val="0"/>
          <w:numId w:val="1"/>
        </w:numPr>
        <w:spacing w:after="120"/>
        <w:rPr>
          <w:rFonts w:ascii="Times New Roman" w:eastAsia="Times New Roman" w:hAnsi="Times New Roman" w:cs="Times New Roman"/>
          <w:bCs/>
          <w:kern w:val="36"/>
          <w:sz w:val="24"/>
          <w:szCs w:val="24"/>
        </w:rPr>
      </w:pPr>
      <w:r w:rsidRPr="006B5E37">
        <w:rPr>
          <w:rFonts w:ascii="Times New Roman" w:eastAsia="Times New Roman" w:hAnsi="Times New Roman" w:cs="Times New Roman"/>
          <w:bCs/>
          <w:kern w:val="36"/>
          <w:sz w:val="24"/>
          <w:szCs w:val="24"/>
        </w:rPr>
        <w:t>Intellectual and Practical Skills</w:t>
      </w:r>
    </w:p>
    <w:p w:rsidR="006B5E37" w:rsidRPr="006B5E37" w:rsidRDefault="006B5E37" w:rsidP="006B5E37">
      <w:pPr>
        <w:pStyle w:val="ListParagraph"/>
        <w:numPr>
          <w:ilvl w:val="0"/>
          <w:numId w:val="1"/>
        </w:numPr>
        <w:spacing w:after="120"/>
        <w:rPr>
          <w:rFonts w:ascii="Times New Roman" w:eastAsia="Times New Roman" w:hAnsi="Times New Roman" w:cs="Times New Roman"/>
          <w:bCs/>
          <w:kern w:val="36"/>
          <w:sz w:val="24"/>
          <w:szCs w:val="24"/>
        </w:rPr>
      </w:pPr>
      <w:r w:rsidRPr="006B5E37">
        <w:rPr>
          <w:rFonts w:ascii="Times New Roman" w:eastAsia="Times New Roman" w:hAnsi="Times New Roman" w:cs="Times New Roman"/>
          <w:bCs/>
          <w:kern w:val="36"/>
          <w:sz w:val="24"/>
          <w:szCs w:val="24"/>
        </w:rPr>
        <w:t>Personal and Social Responsibility</w:t>
      </w:r>
    </w:p>
    <w:p w:rsidR="006B5E37" w:rsidRPr="006B5E37" w:rsidRDefault="006B5E37" w:rsidP="006B5E37">
      <w:pPr>
        <w:pStyle w:val="ListParagraph"/>
        <w:numPr>
          <w:ilvl w:val="0"/>
          <w:numId w:val="1"/>
        </w:numPr>
        <w:spacing w:after="120"/>
        <w:rPr>
          <w:rFonts w:ascii="Times New Roman" w:eastAsia="Times New Roman" w:hAnsi="Times New Roman" w:cs="Times New Roman"/>
          <w:bCs/>
          <w:kern w:val="36"/>
          <w:sz w:val="24"/>
          <w:szCs w:val="24"/>
        </w:rPr>
      </w:pPr>
      <w:r w:rsidRPr="006B5E37">
        <w:rPr>
          <w:rFonts w:ascii="Times New Roman" w:eastAsia="Times New Roman" w:hAnsi="Times New Roman" w:cs="Times New Roman"/>
          <w:bCs/>
          <w:kern w:val="36"/>
          <w:sz w:val="24"/>
          <w:szCs w:val="24"/>
        </w:rPr>
        <w:t>Integrative and Applied Learning</w:t>
      </w:r>
    </w:p>
    <w:p w:rsidR="007E60DC" w:rsidRDefault="006B5E37" w:rsidP="006B5E37">
      <w:pPr>
        <w:spacing w:after="0" w:line="240" w:lineRule="auto"/>
        <w:rPr>
          <w:rFonts w:ascii="Times New Roman" w:eastAsia="Times New Roman" w:hAnsi="Times New Roman" w:cs="Times New Roman"/>
          <w:bCs/>
          <w:kern w:val="36"/>
          <w:sz w:val="24"/>
          <w:szCs w:val="24"/>
        </w:rPr>
      </w:pPr>
      <w:r w:rsidRPr="006B5E37">
        <w:rPr>
          <w:rFonts w:ascii="Times New Roman" w:eastAsia="Times New Roman" w:hAnsi="Times New Roman" w:cs="Times New Roman"/>
          <w:bCs/>
          <w:kern w:val="36"/>
          <w:sz w:val="24"/>
          <w:szCs w:val="24"/>
        </w:rPr>
        <w:t xml:space="preserve">And, </w:t>
      </w:r>
      <w:r w:rsidRPr="00B37DB0">
        <w:rPr>
          <w:rFonts w:ascii="Times New Roman" w:eastAsia="Times New Roman" w:hAnsi="Times New Roman" w:cs="Times New Roman"/>
          <w:bCs/>
          <w:i/>
          <w:kern w:val="36"/>
          <w:sz w:val="24"/>
          <w:szCs w:val="24"/>
        </w:rPr>
        <w:t>whereas</w:t>
      </w:r>
      <w:r w:rsidRPr="006B5E37">
        <w:rPr>
          <w:rFonts w:ascii="Times New Roman" w:eastAsia="Times New Roman" w:hAnsi="Times New Roman" w:cs="Times New Roman"/>
          <w:bCs/>
          <w:kern w:val="36"/>
          <w:sz w:val="24"/>
          <w:szCs w:val="24"/>
        </w:rPr>
        <w:t xml:space="preserve">, </w:t>
      </w:r>
      <w:r w:rsidR="007E60DC">
        <w:rPr>
          <w:rFonts w:ascii="Times New Roman" w:eastAsia="Times New Roman" w:hAnsi="Times New Roman" w:cs="Times New Roman"/>
          <w:bCs/>
          <w:kern w:val="36"/>
          <w:sz w:val="24"/>
          <w:szCs w:val="24"/>
        </w:rPr>
        <w:t xml:space="preserve">Old Westbury’s </w:t>
      </w:r>
      <w:r w:rsidR="007E60DC" w:rsidRPr="006B5E37">
        <w:rPr>
          <w:rFonts w:ascii="Times New Roman" w:eastAsia="Times New Roman" w:hAnsi="Times New Roman" w:cs="Times New Roman"/>
          <w:bCs/>
          <w:kern w:val="36"/>
          <w:sz w:val="24"/>
          <w:szCs w:val="24"/>
        </w:rPr>
        <w:t>Mission and Guiding Principles</w:t>
      </w:r>
      <w:r w:rsidR="007E60DC">
        <w:rPr>
          <w:rFonts w:ascii="Times New Roman" w:eastAsia="Times New Roman" w:hAnsi="Times New Roman" w:cs="Times New Roman"/>
          <w:bCs/>
          <w:kern w:val="36"/>
          <w:sz w:val="24"/>
          <w:szCs w:val="24"/>
        </w:rPr>
        <w:t xml:space="preserve"> strengthen LEAP’s Essential Learning Outcomes by adding a “commitment to a </w:t>
      </w:r>
      <w:r w:rsidR="00B37DB0">
        <w:rPr>
          <w:rFonts w:ascii="Times New Roman" w:eastAsia="Times New Roman" w:hAnsi="Times New Roman" w:cs="Times New Roman"/>
          <w:bCs/>
          <w:kern w:val="36"/>
          <w:sz w:val="24"/>
          <w:szCs w:val="24"/>
        </w:rPr>
        <w:t>more just and sustainable world,</w:t>
      </w:r>
      <w:r w:rsidR="007E60DC">
        <w:rPr>
          <w:rFonts w:ascii="Times New Roman" w:eastAsia="Times New Roman" w:hAnsi="Times New Roman" w:cs="Times New Roman"/>
          <w:bCs/>
          <w:kern w:val="36"/>
          <w:sz w:val="24"/>
          <w:szCs w:val="24"/>
        </w:rPr>
        <w:t>”</w:t>
      </w:r>
    </w:p>
    <w:p w:rsidR="007E60DC" w:rsidRDefault="007E60DC" w:rsidP="006B5E37">
      <w:pPr>
        <w:spacing w:after="0" w:line="240" w:lineRule="auto"/>
        <w:rPr>
          <w:rFonts w:ascii="Times New Roman" w:eastAsia="Times New Roman" w:hAnsi="Times New Roman" w:cs="Times New Roman"/>
          <w:bCs/>
          <w:kern w:val="36"/>
          <w:sz w:val="24"/>
          <w:szCs w:val="24"/>
        </w:rPr>
      </w:pPr>
    </w:p>
    <w:p w:rsidR="00FB31A5" w:rsidRPr="006B5E37" w:rsidRDefault="00FB31A5" w:rsidP="006B5E37">
      <w:pPr>
        <w:spacing w:after="0" w:line="240" w:lineRule="auto"/>
        <w:rPr>
          <w:rFonts w:ascii="Times New Roman" w:hAnsi="Times New Roman" w:cs="Times New Roman"/>
          <w:sz w:val="24"/>
          <w:szCs w:val="24"/>
        </w:rPr>
      </w:pPr>
    </w:p>
    <w:p w:rsidR="006B5E37" w:rsidRPr="006B5E37" w:rsidRDefault="006B5E37" w:rsidP="006B5E37">
      <w:pPr>
        <w:spacing w:after="0" w:line="240" w:lineRule="auto"/>
        <w:rPr>
          <w:rFonts w:ascii="Times New Roman" w:hAnsi="Times New Roman" w:cs="Times New Roman"/>
          <w:sz w:val="24"/>
          <w:szCs w:val="24"/>
        </w:rPr>
      </w:pPr>
    </w:p>
    <w:p w:rsidR="006B5E37" w:rsidRPr="00B37DB0" w:rsidRDefault="006B5E37" w:rsidP="006B5E37">
      <w:pPr>
        <w:spacing w:after="0" w:line="240" w:lineRule="auto"/>
        <w:rPr>
          <w:rFonts w:ascii="Times New Roman" w:hAnsi="Times New Roman" w:cs="Times New Roman"/>
          <w:sz w:val="24"/>
          <w:szCs w:val="24"/>
        </w:rPr>
      </w:pPr>
      <w:r w:rsidRPr="00B37DB0">
        <w:rPr>
          <w:rFonts w:ascii="Times New Roman" w:hAnsi="Times New Roman" w:cs="Times New Roman"/>
          <w:i/>
          <w:sz w:val="24"/>
          <w:szCs w:val="24"/>
        </w:rPr>
        <w:t>Be it resolved</w:t>
      </w:r>
      <w:r w:rsidRPr="00B37DB0">
        <w:rPr>
          <w:rFonts w:ascii="Times New Roman" w:hAnsi="Times New Roman" w:cs="Times New Roman"/>
          <w:sz w:val="24"/>
          <w:szCs w:val="24"/>
        </w:rPr>
        <w:t xml:space="preserve"> that the Faculty Senate adopt the LEAP Essential Learning Outcomes </w:t>
      </w:r>
      <w:r w:rsidR="007E60DC" w:rsidRPr="00B37DB0">
        <w:rPr>
          <w:rFonts w:ascii="Times New Roman" w:hAnsi="Times New Roman" w:cs="Times New Roman"/>
          <w:sz w:val="24"/>
          <w:szCs w:val="24"/>
        </w:rPr>
        <w:t xml:space="preserve">and the College’s Mission and Guiding Principles </w:t>
      </w:r>
      <w:r w:rsidRPr="00B37DB0">
        <w:rPr>
          <w:rFonts w:ascii="Times New Roman" w:hAnsi="Times New Roman" w:cs="Times New Roman"/>
          <w:sz w:val="24"/>
          <w:szCs w:val="24"/>
        </w:rPr>
        <w:t xml:space="preserve">as </w:t>
      </w:r>
      <w:r w:rsidR="007E60DC" w:rsidRPr="00B37DB0">
        <w:rPr>
          <w:rFonts w:ascii="Times New Roman" w:hAnsi="Times New Roman" w:cs="Times New Roman"/>
          <w:sz w:val="24"/>
          <w:szCs w:val="24"/>
        </w:rPr>
        <w:t xml:space="preserve">its </w:t>
      </w:r>
      <w:r w:rsidRPr="00B37DB0">
        <w:rPr>
          <w:rFonts w:ascii="Times New Roman" w:hAnsi="Times New Roman" w:cs="Times New Roman"/>
          <w:sz w:val="24"/>
          <w:szCs w:val="24"/>
        </w:rPr>
        <w:t>model for the creation of institutional (or college-wide) learning outcomes, and;</w:t>
      </w:r>
    </w:p>
    <w:p w:rsidR="007E60DC" w:rsidRPr="00B37DB0" w:rsidRDefault="007E60DC" w:rsidP="006B5E37">
      <w:pPr>
        <w:spacing w:after="0" w:line="240" w:lineRule="auto"/>
        <w:rPr>
          <w:rFonts w:ascii="Times New Roman" w:hAnsi="Times New Roman" w:cs="Times New Roman"/>
          <w:sz w:val="24"/>
          <w:szCs w:val="24"/>
        </w:rPr>
      </w:pPr>
    </w:p>
    <w:p w:rsidR="006B5E37" w:rsidRDefault="006B5E37" w:rsidP="006B5E37">
      <w:pPr>
        <w:spacing w:after="0" w:line="240" w:lineRule="auto"/>
        <w:rPr>
          <w:rFonts w:ascii="Times New Roman" w:hAnsi="Times New Roman" w:cs="Times New Roman"/>
          <w:sz w:val="24"/>
          <w:szCs w:val="24"/>
        </w:rPr>
      </w:pPr>
      <w:r w:rsidRPr="00B37DB0">
        <w:rPr>
          <w:rFonts w:ascii="Times New Roman" w:hAnsi="Times New Roman" w:cs="Times New Roman"/>
          <w:i/>
          <w:sz w:val="24"/>
          <w:szCs w:val="24"/>
        </w:rPr>
        <w:t>Be it further resolved</w:t>
      </w:r>
      <w:r>
        <w:rPr>
          <w:rFonts w:ascii="Times New Roman" w:hAnsi="Times New Roman" w:cs="Times New Roman"/>
          <w:sz w:val="24"/>
          <w:szCs w:val="24"/>
        </w:rPr>
        <w:t xml:space="preserve"> that the Senate create a joint faculty-administrative body to begin the process of developing workshops with a goal of “mapping” our curriculum onto the LEAP institutional outcomes.</w:t>
      </w:r>
    </w:p>
    <w:p w:rsidR="00B37DB0" w:rsidRDefault="00B37DB0" w:rsidP="006B5E37">
      <w:pPr>
        <w:spacing w:after="0" w:line="240" w:lineRule="auto"/>
        <w:rPr>
          <w:rFonts w:ascii="Times New Roman" w:hAnsi="Times New Roman" w:cs="Times New Roman"/>
          <w:sz w:val="24"/>
          <w:szCs w:val="24"/>
        </w:rPr>
      </w:pPr>
    </w:p>
    <w:p w:rsidR="00B37DB0" w:rsidRDefault="00B37DB0" w:rsidP="006B5E37">
      <w:pPr>
        <w:spacing w:after="0" w:line="240" w:lineRule="auto"/>
        <w:rPr>
          <w:rFonts w:ascii="Times New Roman" w:hAnsi="Times New Roman" w:cs="Times New Roman"/>
          <w:sz w:val="24"/>
          <w:szCs w:val="24"/>
        </w:rPr>
      </w:pPr>
    </w:p>
    <w:p w:rsidR="00B37DB0" w:rsidRDefault="00B37DB0" w:rsidP="006B5E37">
      <w:pPr>
        <w:spacing w:after="0" w:line="240" w:lineRule="auto"/>
        <w:rPr>
          <w:rFonts w:ascii="Times New Roman" w:hAnsi="Times New Roman" w:cs="Times New Roman"/>
          <w:sz w:val="24"/>
          <w:szCs w:val="24"/>
        </w:rPr>
      </w:pPr>
    </w:p>
    <w:p w:rsidR="00B37DB0" w:rsidRDefault="00B37DB0" w:rsidP="006B5E37">
      <w:pPr>
        <w:spacing w:after="0" w:line="240" w:lineRule="auto"/>
        <w:rPr>
          <w:rFonts w:ascii="Times New Roman" w:hAnsi="Times New Roman" w:cs="Times New Roman"/>
          <w:sz w:val="24"/>
          <w:szCs w:val="24"/>
        </w:rPr>
      </w:pPr>
    </w:p>
    <w:p w:rsidR="00B37DB0" w:rsidRDefault="00B37DB0" w:rsidP="006B5E37">
      <w:pPr>
        <w:spacing w:after="0" w:line="240" w:lineRule="auto"/>
        <w:rPr>
          <w:rFonts w:ascii="Times New Roman" w:hAnsi="Times New Roman" w:cs="Times New Roman"/>
          <w:sz w:val="24"/>
          <w:szCs w:val="24"/>
        </w:rPr>
      </w:pPr>
      <w:r>
        <w:rPr>
          <w:rFonts w:ascii="Times New Roman" w:hAnsi="Times New Roman" w:cs="Times New Roman"/>
          <w:sz w:val="24"/>
          <w:szCs w:val="24"/>
        </w:rPr>
        <w:t>Approved by the General Education Committee, March 11, 2016</w:t>
      </w:r>
    </w:p>
    <w:p w:rsidR="00927396" w:rsidRDefault="00927396" w:rsidP="006B5E37">
      <w:pPr>
        <w:spacing w:after="0" w:line="240" w:lineRule="auto"/>
        <w:rPr>
          <w:rFonts w:ascii="Times New Roman" w:hAnsi="Times New Roman" w:cs="Times New Roman"/>
          <w:sz w:val="24"/>
          <w:szCs w:val="24"/>
        </w:rPr>
      </w:pPr>
    </w:p>
    <w:p w:rsidR="00927396" w:rsidRDefault="00927396" w:rsidP="006B5E37">
      <w:pPr>
        <w:spacing w:after="0" w:line="240" w:lineRule="auto"/>
        <w:rPr>
          <w:rFonts w:ascii="Times New Roman" w:hAnsi="Times New Roman" w:cs="Times New Roman"/>
          <w:sz w:val="24"/>
          <w:szCs w:val="24"/>
        </w:rPr>
      </w:pPr>
    </w:p>
    <w:p w:rsidR="00927396" w:rsidRDefault="00927396" w:rsidP="006B5E37">
      <w:pPr>
        <w:spacing w:after="0" w:line="240" w:lineRule="auto"/>
        <w:rPr>
          <w:rFonts w:ascii="Times New Roman" w:hAnsi="Times New Roman" w:cs="Times New Roman"/>
          <w:sz w:val="24"/>
          <w:szCs w:val="24"/>
        </w:rPr>
      </w:pPr>
    </w:p>
    <w:p w:rsidR="00927396" w:rsidRDefault="00927396" w:rsidP="00927396">
      <w:pPr>
        <w:shd w:val="clear" w:color="auto" w:fill="FFFFFF"/>
        <w:spacing w:after="120" w:line="240" w:lineRule="auto"/>
        <w:textAlignment w:val="baseline"/>
        <w:outlineLvl w:val="0"/>
        <w:rPr>
          <w:rFonts w:eastAsia="Times New Roman" w:cs="Times New Roman"/>
          <w:b/>
          <w:bCs/>
          <w:i/>
          <w:kern w:val="36"/>
          <w:sz w:val="36"/>
          <w:szCs w:val="36"/>
          <w:u w:val="single"/>
        </w:rPr>
      </w:pPr>
      <w:r>
        <w:rPr>
          <w:rFonts w:eastAsia="Times New Roman" w:cs="Times New Roman"/>
          <w:b/>
          <w:bCs/>
          <w:i/>
          <w:kern w:val="36"/>
          <w:sz w:val="36"/>
          <w:szCs w:val="36"/>
          <w:u w:val="single"/>
        </w:rPr>
        <w:lastRenderedPageBreak/>
        <w:t>LEAP’s Essential Learning Outcomes</w:t>
      </w:r>
      <w:r>
        <w:rPr>
          <w:rStyle w:val="FootnoteReference"/>
          <w:rFonts w:eastAsia="Times New Roman" w:cs="Times New Roman"/>
          <w:bCs/>
          <w:kern w:val="36"/>
          <w:sz w:val="32"/>
          <w:szCs w:val="32"/>
        </w:rPr>
        <w:footnoteReference w:id="1"/>
      </w:r>
    </w:p>
    <w:p w:rsidR="00927396" w:rsidRDefault="00927396" w:rsidP="00927396">
      <w:pPr>
        <w:shd w:val="clear" w:color="auto" w:fill="FFFFFF"/>
        <w:spacing w:after="120" w:line="300" w:lineRule="atLeast"/>
        <w:textAlignment w:val="baseline"/>
        <w:rPr>
          <w:rFonts w:eastAsia="Times New Roman" w:cs="Times New Roman"/>
        </w:rPr>
      </w:pPr>
      <w:r>
        <w:rPr>
          <w:rFonts w:eastAsia="Times New Roman" w:cs="Times New Roman"/>
        </w:rPr>
        <w:t>The LEAP campaign is organized around a robust set of "Essential Learning Outcomes" -- all of which are best developed by a contemporary liberal education. Described in </w:t>
      </w:r>
      <w:hyperlink r:id="rId8" w:tgtFrame="_blank" w:history="1">
        <w:r>
          <w:rPr>
            <w:rStyle w:val="Hyperlink"/>
            <w:rFonts w:eastAsia="Times New Roman" w:cs="Times New Roman"/>
            <w:i/>
            <w:iCs/>
            <w:bdr w:val="none" w:sz="0" w:space="0" w:color="auto" w:frame="1"/>
          </w:rPr>
          <w:t>College Learning for the New Global Century</w:t>
        </w:r>
      </w:hyperlink>
      <w:r>
        <w:rPr>
          <w:rFonts w:eastAsia="Times New Roman" w:cs="Times New Roman"/>
        </w:rPr>
        <w:t>, these essential learning outcomes and a set of </w:t>
      </w:r>
      <w:hyperlink r:id="rId9" w:history="1">
        <w:r>
          <w:rPr>
            <w:rStyle w:val="Hyperlink"/>
            <w:rFonts w:eastAsia="Times New Roman" w:cs="Times New Roman"/>
            <w:bdr w:val="none" w:sz="0" w:space="0" w:color="auto" w:frame="1"/>
          </w:rPr>
          <w:t>"Principles of Excellence"</w:t>
        </w:r>
      </w:hyperlink>
      <w:r>
        <w:rPr>
          <w:rFonts w:eastAsia="Times New Roman" w:cs="Times New Roman"/>
        </w:rPr>
        <w:t> provide a new framework to guide students' cumulative progress through college.</w:t>
      </w:r>
    </w:p>
    <w:p w:rsidR="00927396" w:rsidRDefault="00927396" w:rsidP="00927396">
      <w:pPr>
        <w:shd w:val="clear" w:color="auto" w:fill="FFFFFF"/>
        <w:spacing w:after="120" w:line="300" w:lineRule="atLeast"/>
        <w:textAlignment w:val="baseline"/>
        <w:rPr>
          <w:rFonts w:eastAsia="Times New Roman" w:cs="Times New Roman"/>
        </w:rPr>
      </w:pPr>
      <w:r>
        <w:rPr>
          <w:rFonts w:eastAsia="Times New Roman" w:cs="Times New Roman"/>
        </w:rPr>
        <w:t>Through its VALUE Initiative, AAC&amp;U has developed a set of </w:t>
      </w:r>
      <w:hyperlink r:id="rId10" w:history="1">
        <w:r>
          <w:rPr>
            <w:rStyle w:val="Hyperlink"/>
            <w:rFonts w:eastAsia="Times New Roman" w:cs="Times New Roman"/>
            <w:bdr w:val="none" w:sz="0" w:space="0" w:color="auto" w:frame="1"/>
          </w:rPr>
          <w:t>rubrics</w:t>
        </w:r>
      </w:hyperlink>
      <w:r>
        <w:rPr>
          <w:rFonts w:eastAsia="Times New Roman" w:cs="Times New Roman"/>
        </w:rPr>
        <w:t> to assess many of the following learning outcomes. Beginning in school, and continuing at successively higher levels across their college studies, students should prepare for twenty-first-century challenges by gaining:</w:t>
      </w:r>
    </w:p>
    <w:p w:rsidR="00927396" w:rsidRDefault="00927396" w:rsidP="00927396">
      <w:pPr>
        <w:shd w:val="clear" w:color="auto" w:fill="FFFFFF"/>
        <w:spacing w:after="120" w:line="300" w:lineRule="atLeast"/>
        <w:ind w:left="348"/>
        <w:textAlignment w:val="baseline"/>
        <w:rPr>
          <w:rFonts w:eastAsia="Times New Roman" w:cs="Times New Roman"/>
        </w:rPr>
      </w:pPr>
      <w:r>
        <w:rPr>
          <w:rFonts w:eastAsia="Times New Roman" w:cs="Times New Roman"/>
          <w:b/>
          <w:bCs/>
          <w:bdr w:val="none" w:sz="0" w:space="0" w:color="auto" w:frame="1"/>
        </w:rPr>
        <w:t>Knowledge of Human Cultures and the Physical and Natural World</w:t>
      </w:r>
    </w:p>
    <w:p w:rsidR="00927396" w:rsidRDefault="00927396" w:rsidP="00927396">
      <w:pPr>
        <w:numPr>
          <w:ilvl w:val="0"/>
          <w:numId w:val="2"/>
        </w:numPr>
        <w:shd w:val="clear" w:color="auto" w:fill="FFFFFF"/>
        <w:tabs>
          <w:tab w:val="clear" w:pos="836"/>
          <w:tab w:val="num" w:pos="1590"/>
        </w:tabs>
        <w:spacing w:after="120" w:line="300" w:lineRule="atLeast"/>
        <w:ind w:left="1056" w:right="302"/>
        <w:textAlignment w:val="baseline"/>
        <w:rPr>
          <w:rFonts w:eastAsia="Times New Roman" w:cs="Times New Roman"/>
        </w:rPr>
      </w:pPr>
      <w:r>
        <w:rPr>
          <w:rFonts w:eastAsia="Times New Roman" w:cs="Times New Roman"/>
        </w:rPr>
        <w:t>Through study in the sciences and mathematics, social sciences, humanities, histories, languages, and the arts</w:t>
      </w:r>
    </w:p>
    <w:p w:rsidR="00927396" w:rsidRDefault="00927396" w:rsidP="00927396">
      <w:pPr>
        <w:shd w:val="clear" w:color="auto" w:fill="FFFFFF"/>
        <w:spacing w:after="120" w:line="300" w:lineRule="atLeast"/>
        <w:ind w:left="751"/>
        <w:textAlignment w:val="baseline"/>
        <w:rPr>
          <w:rFonts w:eastAsia="Times New Roman" w:cs="Times New Roman"/>
        </w:rPr>
      </w:pPr>
      <w:r>
        <w:rPr>
          <w:rFonts w:eastAsia="Times New Roman" w:cs="Times New Roman"/>
          <w:i/>
          <w:iCs/>
          <w:bdr w:val="none" w:sz="0" w:space="0" w:color="auto" w:frame="1"/>
        </w:rPr>
        <w:t>Focused</w:t>
      </w:r>
      <w:r>
        <w:rPr>
          <w:rFonts w:eastAsia="Times New Roman" w:cs="Times New Roman"/>
        </w:rPr>
        <w:t> by engagement with big questions, both contemporary and enduring</w:t>
      </w:r>
    </w:p>
    <w:p w:rsidR="00927396" w:rsidRDefault="00927396" w:rsidP="00927396">
      <w:pPr>
        <w:shd w:val="clear" w:color="auto" w:fill="FFFFFF"/>
        <w:spacing w:after="120" w:line="300" w:lineRule="atLeast"/>
        <w:ind w:left="348"/>
        <w:textAlignment w:val="baseline"/>
        <w:rPr>
          <w:rFonts w:eastAsia="Times New Roman" w:cs="Times New Roman"/>
        </w:rPr>
      </w:pPr>
      <w:r>
        <w:rPr>
          <w:rFonts w:eastAsia="Times New Roman" w:cs="Times New Roman"/>
          <w:b/>
          <w:bCs/>
          <w:bdr w:val="none" w:sz="0" w:space="0" w:color="auto" w:frame="1"/>
        </w:rPr>
        <w:t>Intellectual and Practical Skills, Including</w:t>
      </w:r>
    </w:p>
    <w:p w:rsidR="00927396" w:rsidRDefault="00927396" w:rsidP="00927396">
      <w:pPr>
        <w:numPr>
          <w:ilvl w:val="0"/>
          <w:numId w:val="3"/>
        </w:numPr>
        <w:shd w:val="clear" w:color="auto" w:fill="FFFFFF"/>
        <w:tabs>
          <w:tab w:val="clear" w:pos="720"/>
          <w:tab w:val="num" w:pos="1138"/>
        </w:tabs>
        <w:spacing w:after="40" w:line="300" w:lineRule="atLeast"/>
        <w:ind w:left="1068" w:right="302"/>
        <w:textAlignment w:val="baseline"/>
        <w:rPr>
          <w:rFonts w:eastAsia="Times New Roman" w:cs="Times New Roman"/>
        </w:rPr>
      </w:pPr>
      <w:r>
        <w:rPr>
          <w:rFonts w:eastAsia="Times New Roman" w:cs="Times New Roman"/>
        </w:rPr>
        <w:t>Inquiry and analysis</w:t>
      </w:r>
    </w:p>
    <w:p w:rsidR="00927396" w:rsidRDefault="00927396" w:rsidP="00927396">
      <w:pPr>
        <w:numPr>
          <w:ilvl w:val="0"/>
          <w:numId w:val="3"/>
        </w:numPr>
        <w:shd w:val="clear" w:color="auto" w:fill="FFFFFF"/>
        <w:spacing w:after="40" w:line="300" w:lineRule="atLeast"/>
        <w:ind w:left="1068" w:right="302"/>
        <w:textAlignment w:val="baseline"/>
        <w:rPr>
          <w:rFonts w:eastAsia="Times New Roman" w:cs="Times New Roman"/>
        </w:rPr>
      </w:pPr>
      <w:r>
        <w:rPr>
          <w:rFonts w:eastAsia="Times New Roman" w:cs="Times New Roman"/>
        </w:rPr>
        <w:t>Critical and creative thinking</w:t>
      </w:r>
    </w:p>
    <w:p w:rsidR="00927396" w:rsidRDefault="00927396" w:rsidP="00927396">
      <w:pPr>
        <w:numPr>
          <w:ilvl w:val="0"/>
          <w:numId w:val="3"/>
        </w:numPr>
        <w:shd w:val="clear" w:color="auto" w:fill="FFFFFF"/>
        <w:spacing w:after="40" w:line="300" w:lineRule="atLeast"/>
        <w:ind w:left="1068" w:right="302"/>
        <w:textAlignment w:val="baseline"/>
        <w:rPr>
          <w:rFonts w:eastAsia="Times New Roman" w:cs="Times New Roman"/>
        </w:rPr>
      </w:pPr>
      <w:r>
        <w:rPr>
          <w:rFonts w:eastAsia="Times New Roman" w:cs="Times New Roman"/>
        </w:rPr>
        <w:t>Written and oral communication</w:t>
      </w:r>
    </w:p>
    <w:p w:rsidR="00927396" w:rsidRDefault="00927396" w:rsidP="00927396">
      <w:pPr>
        <w:numPr>
          <w:ilvl w:val="0"/>
          <w:numId w:val="3"/>
        </w:numPr>
        <w:shd w:val="clear" w:color="auto" w:fill="FFFFFF"/>
        <w:spacing w:after="40" w:line="300" w:lineRule="atLeast"/>
        <w:ind w:left="1068" w:right="302"/>
        <w:textAlignment w:val="baseline"/>
        <w:rPr>
          <w:rFonts w:eastAsia="Times New Roman" w:cs="Times New Roman"/>
        </w:rPr>
      </w:pPr>
      <w:r>
        <w:rPr>
          <w:rFonts w:eastAsia="Times New Roman" w:cs="Times New Roman"/>
        </w:rPr>
        <w:t>Quantitative literacy</w:t>
      </w:r>
    </w:p>
    <w:p w:rsidR="00927396" w:rsidRDefault="00927396" w:rsidP="00927396">
      <w:pPr>
        <w:numPr>
          <w:ilvl w:val="0"/>
          <w:numId w:val="3"/>
        </w:numPr>
        <w:shd w:val="clear" w:color="auto" w:fill="FFFFFF"/>
        <w:spacing w:after="40" w:line="300" w:lineRule="atLeast"/>
        <w:ind w:left="1068" w:right="302"/>
        <w:textAlignment w:val="baseline"/>
        <w:rPr>
          <w:rFonts w:eastAsia="Times New Roman" w:cs="Times New Roman"/>
        </w:rPr>
      </w:pPr>
      <w:r>
        <w:rPr>
          <w:rFonts w:eastAsia="Times New Roman" w:cs="Times New Roman"/>
        </w:rPr>
        <w:t>Information literacy</w:t>
      </w:r>
    </w:p>
    <w:p w:rsidR="00927396" w:rsidRDefault="00927396" w:rsidP="00927396">
      <w:pPr>
        <w:numPr>
          <w:ilvl w:val="0"/>
          <w:numId w:val="3"/>
        </w:numPr>
        <w:shd w:val="clear" w:color="auto" w:fill="FFFFFF"/>
        <w:spacing w:after="40" w:line="300" w:lineRule="atLeast"/>
        <w:ind w:left="1068" w:right="302"/>
        <w:textAlignment w:val="baseline"/>
        <w:rPr>
          <w:rFonts w:eastAsia="Times New Roman" w:cs="Times New Roman"/>
        </w:rPr>
      </w:pPr>
      <w:r>
        <w:rPr>
          <w:rFonts w:eastAsia="Times New Roman" w:cs="Times New Roman"/>
        </w:rPr>
        <w:t>Teamwork and problem solving</w:t>
      </w:r>
    </w:p>
    <w:p w:rsidR="00927396" w:rsidRDefault="00927396" w:rsidP="00927396">
      <w:pPr>
        <w:shd w:val="clear" w:color="auto" w:fill="FFFFFF"/>
        <w:spacing w:after="120" w:line="300" w:lineRule="atLeast"/>
        <w:ind w:left="751"/>
        <w:textAlignment w:val="baseline"/>
        <w:rPr>
          <w:rFonts w:eastAsia="Times New Roman" w:cs="Times New Roman"/>
        </w:rPr>
      </w:pPr>
      <w:r>
        <w:rPr>
          <w:rFonts w:eastAsia="Times New Roman" w:cs="Times New Roman"/>
          <w:i/>
          <w:iCs/>
          <w:bdr w:val="none" w:sz="0" w:space="0" w:color="auto" w:frame="1"/>
        </w:rPr>
        <w:t>Practiced extensively</w:t>
      </w:r>
      <w:r>
        <w:rPr>
          <w:rFonts w:eastAsia="Times New Roman" w:cs="Times New Roman"/>
        </w:rPr>
        <w:t>, across the curriculum, in the context of progressively more challenging problems, projects, and standards for performance</w:t>
      </w:r>
    </w:p>
    <w:p w:rsidR="00927396" w:rsidRDefault="00927396" w:rsidP="00927396">
      <w:pPr>
        <w:shd w:val="clear" w:color="auto" w:fill="FFFFFF"/>
        <w:spacing w:after="120" w:line="300" w:lineRule="atLeast"/>
        <w:ind w:left="348"/>
        <w:textAlignment w:val="baseline"/>
        <w:rPr>
          <w:rFonts w:eastAsia="Times New Roman" w:cs="Times New Roman"/>
        </w:rPr>
      </w:pPr>
      <w:r>
        <w:rPr>
          <w:rFonts w:eastAsia="Times New Roman" w:cs="Times New Roman"/>
          <w:b/>
          <w:bCs/>
          <w:bdr w:val="none" w:sz="0" w:space="0" w:color="auto" w:frame="1"/>
        </w:rPr>
        <w:t>Personal and Social Responsibility, Including</w:t>
      </w:r>
    </w:p>
    <w:p w:rsidR="00927396" w:rsidRDefault="00927396" w:rsidP="00927396">
      <w:pPr>
        <w:numPr>
          <w:ilvl w:val="0"/>
          <w:numId w:val="4"/>
        </w:numPr>
        <w:shd w:val="clear" w:color="auto" w:fill="FFFFFF"/>
        <w:tabs>
          <w:tab w:val="clear" w:pos="720"/>
          <w:tab w:val="num" w:pos="1138"/>
        </w:tabs>
        <w:spacing w:after="40" w:line="300" w:lineRule="atLeast"/>
        <w:ind w:left="1068" w:right="302"/>
        <w:textAlignment w:val="baseline"/>
        <w:rPr>
          <w:rFonts w:eastAsia="Times New Roman" w:cs="Times New Roman"/>
        </w:rPr>
      </w:pPr>
      <w:r>
        <w:rPr>
          <w:rFonts w:eastAsia="Times New Roman" w:cs="Times New Roman"/>
        </w:rPr>
        <w:t>Civic knowledge and engagement—local and global</w:t>
      </w:r>
    </w:p>
    <w:p w:rsidR="00927396" w:rsidRDefault="00927396" w:rsidP="00927396">
      <w:pPr>
        <w:numPr>
          <w:ilvl w:val="0"/>
          <w:numId w:val="4"/>
        </w:numPr>
        <w:shd w:val="clear" w:color="auto" w:fill="FFFFFF"/>
        <w:spacing w:after="40" w:line="300" w:lineRule="atLeast"/>
        <w:ind w:left="1068" w:right="302"/>
        <w:textAlignment w:val="baseline"/>
        <w:rPr>
          <w:rFonts w:eastAsia="Times New Roman" w:cs="Times New Roman"/>
        </w:rPr>
      </w:pPr>
      <w:r>
        <w:rPr>
          <w:rFonts w:eastAsia="Times New Roman" w:cs="Times New Roman"/>
        </w:rPr>
        <w:t>Intercultural knowledge and competence</w:t>
      </w:r>
    </w:p>
    <w:p w:rsidR="00927396" w:rsidRDefault="00927396" w:rsidP="00927396">
      <w:pPr>
        <w:numPr>
          <w:ilvl w:val="0"/>
          <w:numId w:val="4"/>
        </w:numPr>
        <w:shd w:val="clear" w:color="auto" w:fill="FFFFFF"/>
        <w:spacing w:after="40" w:line="300" w:lineRule="atLeast"/>
        <w:ind w:left="1068" w:right="302"/>
        <w:textAlignment w:val="baseline"/>
        <w:rPr>
          <w:rFonts w:eastAsia="Times New Roman" w:cs="Times New Roman"/>
        </w:rPr>
      </w:pPr>
      <w:r>
        <w:rPr>
          <w:rFonts w:eastAsia="Times New Roman" w:cs="Times New Roman"/>
        </w:rPr>
        <w:t>Ethical reasoning and action</w:t>
      </w:r>
    </w:p>
    <w:p w:rsidR="00927396" w:rsidRDefault="00927396" w:rsidP="00927396">
      <w:pPr>
        <w:numPr>
          <w:ilvl w:val="0"/>
          <w:numId w:val="4"/>
        </w:numPr>
        <w:shd w:val="clear" w:color="auto" w:fill="FFFFFF"/>
        <w:spacing w:after="40" w:line="300" w:lineRule="atLeast"/>
        <w:ind w:left="1068" w:right="302"/>
        <w:textAlignment w:val="baseline"/>
        <w:rPr>
          <w:rFonts w:eastAsia="Times New Roman" w:cs="Times New Roman"/>
        </w:rPr>
      </w:pPr>
      <w:r>
        <w:rPr>
          <w:rFonts w:eastAsia="Times New Roman" w:cs="Times New Roman"/>
        </w:rPr>
        <w:t>Foundations and skills for lifelong learning</w:t>
      </w:r>
    </w:p>
    <w:p w:rsidR="00927396" w:rsidRDefault="00927396" w:rsidP="00927396">
      <w:pPr>
        <w:shd w:val="clear" w:color="auto" w:fill="FFFFFF"/>
        <w:spacing w:after="120" w:line="300" w:lineRule="atLeast"/>
        <w:ind w:left="751"/>
        <w:textAlignment w:val="baseline"/>
        <w:rPr>
          <w:rFonts w:eastAsia="Times New Roman" w:cs="Times New Roman"/>
        </w:rPr>
      </w:pPr>
      <w:r>
        <w:rPr>
          <w:rFonts w:eastAsia="Times New Roman" w:cs="Times New Roman"/>
          <w:i/>
          <w:iCs/>
          <w:bdr w:val="none" w:sz="0" w:space="0" w:color="auto" w:frame="1"/>
        </w:rPr>
        <w:t>Anchored</w:t>
      </w:r>
      <w:r>
        <w:rPr>
          <w:rFonts w:eastAsia="Times New Roman" w:cs="Times New Roman"/>
        </w:rPr>
        <w:t> through active involvement with diverse communities and real-world challenges</w:t>
      </w:r>
    </w:p>
    <w:p w:rsidR="00927396" w:rsidRDefault="00927396" w:rsidP="00927396">
      <w:pPr>
        <w:shd w:val="clear" w:color="auto" w:fill="FFFFFF"/>
        <w:spacing w:after="120" w:line="300" w:lineRule="atLeast"/>
        <w:ind w:left="348"/>
        <w:textAlignment w:val="baseline"/>
        <w:rPr>
          <w:rFonts w:eastAsia="Times New Roman" w:cs="Times New Roman"/>
        </w:rPr>
      </w:pPr>
      <w:r>
        <w:rPr>
          <w:rFonts w:eastAsia="Times New Roman" w:cs="Times New Roman"/>
          <w:b/>
          <w:bCs/>
          <w:bdr w:val="none" w:sz="0" w:space="0" w:color="auto" w:frame="1"/>
        </w:rPr>
        <w:t>Integrative and Applied Learning, Including</w:t>
      </w:r>
    </w:p>
    <w:p w:rsidR="00927396" w:rsidRDefault="00927396" w:rsidP="00927396">
      <w:pPr>
        <w:numPr>
          <w:ilvl w:val="0"/>
          <w:numId w:val="5"/>
        </w:numPr>
        <w:shd w:val="clear" w:color="auto" w:fill="FFFFFF"/>
        <w:tabs>
          <w:tab w:val="clear" w:pos="720"/>
          <w:tab w:val="num" w:pos="1200"/>
        </w:tabs>
        <w:spacing w:after="120" w:line="300" w:lineRule="atLeast"/>
        <w:ind w:left="1128" w:right="300"/>
        <w:textAlignment w:val="baseline"/>
        <w:rPr>
          <w:rFonts w:eastAsia="Times New Roman" w:cs="Times New Roman"/>
        </w:rPr>
      </w:pPr>
      <w:r>
        <w:rPr>
          <w:rFonts w:eastAsia="Times New Roman" w:cs="Times New Roman"/>
        </w:rPr>
        <w:t>Synthesis and advanced accomplishment across general and specialized studies</w:t>
      </w:r>
    </w:p>
    <w:p w:rsidR="00927396" w:rsidRDefault="00927396" w:rsidP="00927396">
      <w:pPr>
        <w:shd w:val="clear" w:color="auto" w:fill="FFFFFF"/>
        <w:spacing w:after="120" w:line="300" w:lineRule="atLeast"/>
        <w:ind w:left="828"/>
        <w:textAlignment w:val="baseline"/>
        <w:rPr>
          <w:rFonts w:eastAsia="Times New Roman" w:cs="Times New Roman"/>
        </w:rPr>
      </w:pPr>
      <w:r>
        <w:rPr>
          <w:rFonts w:eastAsia="Times New Roman" w:cs="Times New Roman"/>
          <w:i/>
          <w:iCs/>
          <w:bdr w:val="none" w:sz="0" w:space="0" w:color="auto" w:frame="1"/>
        </w:rPr>
        <w:t>Demonstrated</w:t>
      </w:r>
      <w:r>
        <w:rPr>
          <w:rFonts w:eastAsia="Times New Roman" w:cs="Times New Roman"/>
        </w:rPr>
        <w:t> through the application of knowledge, skills, and responsibilities to new settings and complex problems</w:t>
      </w:r>
    </w:p>
    <w:p w:rsidR="00927396" w:rsidRDefault="00927396" w:rsidP="00927396">
      <w:pPr>
        <w:shd w:val="clear" w:color="auto" w:fill="FFFFFF"/>
        <w:spacing w:after="120" w:line="240" w:lineRule="auto"/>
        <w:textAlignment w:val="baseline"/>
        <w:outlineLvl w:val="0"/>
        <w:rPr>
          <w:rFonts w:eastAsia="Times New Roman" w:cs="Times New Roman"/>
          <w:b/>
          <w:bCs/>
          <w:i/>
          <w:kern w:val="36"/>
          <w:sz w:val="36"/>
          <w:szCs w:val="36"/>
          <w:u w:val="single"/>
        </w:rPr>
      </w:pPr>
    </w:p>
    <w:p w:rsidR="00927396" w:rsidRDefault="00927396" w:rsidP="00927396">
      <w:pPr>
        <w:shd w:val="clear" w:color="auto" w:fill="FFFFFF"/>
        <w:spacing w:after="120" w:line="240" w:lineRule="auto"/>
        <w:textAlignment w:val="baseline"/>
        <w:outlineLvl w:val="0"/>
        <w:rPr>
          <w:rFonts w:eastAsia="Times New Roman" w:cs="Times New Roman"/>
          <w:b/>
          <w:bCs/>
          <w:i/>
          <w:kern w:val="36"/>
          <w:sz w:val="36"/>
          <w:szCs w:val="36"/>
          <w:u w:val="single"/>
        </w:rPr>
      </w:pPr>
      <w:bookmarkStart w:id="0" w:name="_GoBack"/>
      <w:bookmarkEnd w:id="0"/>
      <w:r>
        <w:rPr>
          <w:rFonts w:eastAsia="Times New Roman" w:cs="Times New Roman"/>
          <w:b/>
          <w:bCs/>
          <w:i/>
          <w:kern w:val="36"/>
          <w:sz w:val="36"/>
          <w:szCs w:val="36"/>
          <w:u w:val="single"/>
        </w:rPr>
        <w:lastRenderedPageBreak/>
        <w:t>Old Westbury’s Mission and Guiding Principles</w:t>
      </w:r>
      <w:r>
        <w:rPr>
          <w:rStyle w:val="FootnoteReference"/>
          <w:rFonts w:eastAsia="Times New Roman" w:cs="Times New Roman"/>
          <w:b/>
          <w:bCs/>
          <w:i/>
          <w:kern w:val="36"/>
          <w:sz w:val="36"/>
          <w:szCs w:val="36"/>
          <w:u w:val="single"/>
        </w:rPr>
        <w:footnoteReference w:id="2"/>
      </w:r>
    </w:p>
    <w:p w:rsidR="00927396" w:rsidRDefault="00927396" w:rsidP="00927396">
      <w:pPr>
        <w:shd w:val="clear" w:color="auto" w:fill="FFFFFF"/>
        <w:spacing w:after="120" w:line="300" w:lineRule="atLeast"/>
        <w:textAlignment w:val="baseline"/>
        <w:rPr>
          <w:rFonts w:eastAsia="Times New Roman" w:cs="Times New Roman"/>
          <w:b/>
          <w:sz w:val="24"/>
          <w:szCs w:val="24"/>
        </w:rPr>
      </w:pPr>
    </w:p>
    <w:p w:rsidR="00927396" w:rsidRDefault="00927396" w:rsidP="00927396">
      <w:pPr>
        <w:shd w:val="clear" w:color="auto" w:fill="FFFFFF"/>
        <w:spacing w:after="120" w:line="300" w:lineRule="atLeast"/>
        <w:textAlignment w:val="baseline"/>
        <w:rPr>
          <w:rFonts w:eastAsia="Times New Roman" w:cs="Times New Roman"/>
          <w:b/>
          <w:sz w:val="24"/>
          <w:szCs w:val="24"/>
        </w:rPr>
      </w:pPr>
      <w:r>
        <w:rPr>
          <w:rFonts w:eastAsia="Times New Roman" w:cs="Times New Roman"/>
          <w:b/>
          <w:sz w:val="24"/>
          <w:szCs w:val="24"/>
        </w:rPr>
        <w:t>Mission</w:t>
      </w:r>
    </w:p>
    <w:p w:rsidR="00927396" w:rsidRDefault="00927396" w:rsidP="00927396">
      <w:pPr>
        <w:shd w:val="clear" w:color="auto" w:fill="FFFFFF"/>
        <w:spacing w:after="120" w:line="300" w:lineRule="atLeast"/>
        <w:textAlignment w:val="baseline"/>
        <w:rPr>
          <w:rFonts w:eastAsia="Times New Roman" w:cs="Times New Roman"/>
        </w:rPr>
      </w:pPr>
      <w:r>
        <w:rPr>
          <w:rFonts w:eastAsia="Times New Roman" w:cs="Times New Roman"/>
        </w:rPr>
        <w:t xml:space="preserve">SUNY College at Old Westbury is a dynamic and diverse public liberal arts college that fosters academic excellence through close interaction among students, faculty and staff.  Old Westbury weaves the values of integrity, community engagement, and global citizenship into the fabric of its academic programs and campus life.  In an environment that cultivates critical thinking, empathy, creativity and intercultural understanding, we endeavor to stimulate a passion for learning and a commitment to building a more just and sustainable world. The College is a community of students, teachers, staff, and alumni bound together in mutual support, respect, and dedication to the Mission. </w:t>
      </w:r>
    </w:p>
    <w:p w:rsidR="00927396" w:rsidRDefault="00927396" w:rsidP="00927396">
      <w:pPr>
        <w:shd w:val="clear" w:color="auto" w:fill="FFFFFF"/>
        <w:spacing w:after="120" w:line="300" w:lineRule="atLeast"/>
        <w:textAlignment w:val="baseline"/>
        <w:rPr>
          <w:rFonts w:eastAsia="Times New Roman" w:cs="Times New Roman"/>
          <w:b/>
        </w:rPr>
      </w:pPr>
    </w:p>
    <w:p w:rsidR="00927396" w:rsidRDefault="00927396" w:rsidP="00927396">
      <w:pPr>
        <w:shd w:val="clear" w:color="auto" w:fill="FFFFFF"/>
        <w:spacing w:after="120" w:line="300" w:lineRule="atLeast"/>
        <w:textAlignment w:val="baseline"/>
        <w:rPr>
          <w:rFonts w:eastAsia="Times New Roman" w:cs="Times New Roman"/>
          <w:b/>
          <w:sz w:val="24"/>
          <w:szCs w:val="24"/>
        </w:rPr>
      </w:pPr>
      <w:r>
        <w:rPr>
          <w:rFonts w:eastAsia="Times New Roman" w:cs="Times New Roman"/>
          <w:b/>
          <w:sz w:val="24"/>
          <w:szCs w:val="24"/>
        </w:rPr>
        <w:t>Guiding Principles</w:t>
      </w:r>
    </w:p>
    <w:p w:rsidR="00927396" w:rsidRDefault="00927396" w:rsidP="00927396">
      <w:pPr>
        <w:shd w:val="clear" w:color="auto" w:fill="FFFFFF"/>
        <w:spacing w:after="120" w:line="300" w:lineRule="atLeast"/>
        <w:textAlignment w:val="baseline"/>
        <w:rPr>
          <w:rFonts w:eastAsia="Times New Roman" w:cs="Times New Roman"/>
        </w:rPr>
      </w:pPr>
      <w:r>
        <w:rPr>
          <w:rFonts w:eastAsia="Times New Roman" w:cs="Times New Roman"/>
        </w:rPr>
        <w:t>We are guided by these concepts and principles:</w:t>
      </w:r>
    </w:p>
    <w:p w:rsidR="00927396" w:rsidRDefault="00927396" w:rsidP="00927396">
      <w:pPr>
        <w:shd w:val="clear" w:color="auto" w:fill="FFFFFF"/>
        <w:spacing w:after="120" w:line="300" w:lineRule="atLeast"/>
        <w:textAlignment w:val="baseline"/>
        <w:rPr>
          <w:rFonts w:eastAsia="Times New Roman" w:cs="Times New Roman"/>
        </w:rPr>
      </w:pPr>
      <w:proofErr w:type="gramStart"/>
      <w:r>
        <w:rPr>
          <w:rFonts w:eastAsia="Times New Roman" w:cs="Times New Roman"/>
          <w:b/>
          <w:bCs/>
        </w:rPr>
        <w:t>Liberal Education</w:t>
      </w:r>
      <w:r>
        <w:rPr>
          <w:rFonts w:eastAsia="Times New Roman" w:cs="Times New Roman"/>
        </w:rPr>
        <w:t>.</w:t>
      </w:r>
      <w:proofErr w:type="gramEnd"/>
      <w:r>
        <w:rPr>
          <w:rFonts w:eastAsia="Times New Roman" w:cs="Times New Roman"/>
        </w:rPr>
        <w:t xml:space="preserve">  Old Westbury promotes rigorous intellectual inquiry, grounded in ethical and civic values, that connects learning in the classroom with engagement in the community. Through an integrative curriculum, innovative pedagogy, and small classes we provide a transformative educational experience that fosters the capacity for life-long intellectual and personal growth.  </w:t>
      </w:r>
    </w:p>
    <w:p w:rsidR="00927396" w:rsidRDefault="00927396" w:rsidP="00927396">
      <w:pPr>
        <w:shd w:val="clear" w:color="auto" w:fill="FFFFFF"/>
        <w:spacing w:after="120" w:line="300" w:lineRule="atLeast"/>
        <w:textAlignment w:val="baseline"/>
        <w:rPr>
          <w:rFonts w:eastAsia="Times New Roman" w:cs="Times New Roman"/>
        </w:rPr>
      </w:pPr>
      <w:proofErr w:type="gramStart"/>
      <w:r>
        <w:rPr>
          <w:rFonts w:eastAsia="Times New Roman" w:cs="Times New Roman"/>
          <w:b/>
          <w:bCs/>
        </w:rPr>
        <w:t>Integrity</w:t>
      </w:r>
      <w:r>
        <w:rPr>
          <w:rFonts w:eastAsia="Times New Roman" w:cs="Times New Roman"/>
        </w:rPr>
        <w:t>.</w:t>
      </w:r>
      <w:proofErr w:type="gramEnd"/>
      <w:r>
        <w:rPr>
          <w:rFonts w:eastAsia="Times New Roman" w:cs="Times New Roman"/>
        </w:rPr>
        <w:t xml:space="preserve">  Because all human relationships, as well as a just society, rely on the principles of truth, trust and fairness, Old Westbury is committed to the highest ethical standards in academic, institutional and community life.</w:t>
      </w:r>
    </w:p>
    <w:p w:rsidR="00927396" w:rsidRDefault="00927396" w:rsidP="00927396">
      <w:pPr>
        <w:shd w:val="clear" w:color="auto" w:fill="FFFFFF"/>
        <w:spacing w:after="120" w:line="300" w:lineRule="atLeast"/>
        <w:textAlignment w:val="baseline"/>
        <w:rPr>
          <w:rFonts w:eastAsia="Times New Roman" w:cs="Times New Roman"/>
        </w:rPr>
      </w:pPr>
      <w:proofErr w:type="gramStart"/>
      <w:r>
        <w:rPr>
          <w:rFonts w:eastAsia="Times New Roman" w:cs="Times New Roman"/>
          <w:b/>
          <w:bCs/>
        </w:rPr>
        <w:t>Participatory Governance</w:t>
      </w:r>
      <w:r>
        <w:rPr>
          <w:rFonts w:eastAsia="Times New Roman" w:cs="Times New Roman"/>
        </w:rPr>
        <w:t>.</w:t>
      </w:r>
      <w:proofErr w:type="gramEnd"/>
      <w:r>
        <w:rPr>
          <w:rFonts w:eastAsia="Times New Roman" w:cs="Times New Roman"/>
        </w:rPr>
        <w:t xml:space="preserve">  To exemplify in all College policies the values we espouse, Old Westbury upholds the principles of transparency, accountability and democracy in every aspect of governance and planning conducted by students, staff, faculty, administration, trustees and friends of the College alike.</w:t>
      </w:r>
    </w:p>
    <w:p w:rsidR="00927396" w:rsidRDefault="00927396" w:rsidP="00927396">
      <w:pPr>
        <w:shd w:val="clear" w:color="auto" w:fill="FFFFFF"/>
        <w:spacing w:after="120" w:line="300" w:lineRule="atLeast"/>
        <w:textAlignment w:val="baseline"/>
        <w:rPr>
          <w:rFonts w:eastAsia="Times New Roman" w:cs="Times New Roman"/>
        </w:rPr>
      </w:pPr>
      <w:proofErr w:type="gramStart"/>
      <w:r>
        <w:rPr>
          <w:rFonts w:eastAsia="Times New Roman" w:cs="Times New Roman"/>
          <w:b/>
          <w:bCs/>
        </w:rPr>
        <w:t>Intercultural Understanding</w:t>
      </w:r>
      <w:r>
        <w:rPr>
          <w:rFonts w:eastAsia="Times New Roman" w:cs="Times New Roman"/>
        </w:rPr>
        <w:t>.</w:t>
      </w:r>
      <w:proofErr w:type="gramEnd"/>
      <w:r>
        <w:rPr>
          <w:rFonts w:eastAsia="Times New Roman" w:cs="Times New Roman"/>
        </w:rPr>
        <w:t xml:space="preserve">  Old Westbury promotes an inclusive environment and critical awareness of the multiplicity and range of human perspectives and identities (including race, ethnicity, religion, gender, class, sexuality, age, and (dis)ability, among others) through the interactions of students, faculty and staff within its diverse learning community.</w:t>
      </w:r>
    </w:p>
    <w:p w:rsidR="00927396" w:rsidRDefault="00927396" w:rsidP="00927396">
      <w:pPr>
        <w:shd w:val="clear" w:color="auto" w:fill="FFFFFF"/>
        <w:spacing w:after="120" w:line="300" w:lineRule="atLeast"/>
        <w:textAlignment w:val="baseline"/>
        <w:rPr>
          <w:rFonts w:eastAsia="Times New Roman" w:cs="Times New Roman"/>
        </w:rPr>
      </w:pPr>
      <w:proofErr w:type="gramStart"/>
      <w:r>
        <w:rPr>
          <w:rFonts w:eastAsia="Times New Roman" w:cs="Times New Roman"/>
          <w:b/>
          <w:bCs/>
        </w:rPr>
        <w:t>Sustainability</w:t>
      </w:r>
      <w:r>
        <w:rPr>
          <w:rFonts w:eastAsia="Times New Roman" w:cs="Times New Roman"/>
        </w:rPr>
        <w:t>.</w:t>
      </w:r>
      <w:proofErr w:type="gramEnd"/>
      <w:r>
        <w:rPr>
          <w:rFonts w:eastAsia="Times New Roman" w:cs="Times New Roman"/>
        </w:rPr>
        <w:t xml:space="preserve">  The campus community is dedicated to the stewardship of our environment and fragile ecosystem and to equity in the allocation and preservation of shared resources—such as air, water, and land—on campus, on Long Island, and in the larger world.</w:t>
      </w:r>
    </w:p>
    <w:p w:rsidR="00927396" w:rsidRDefault="00927396" w:rsidP="00927396">
      <w:pPr>
        <w:shd w:val="clear" w:color="auto" w:fill="FFFFFF"/>
        <w:spacing w:after="120" w:line="300" w:lineRule="atLeast"/>
        <w:textAlignment w:val="baseline"/>
        <w:rPr>
          <w:rFonts w:eastAsia="Times New Roman" w:cs="Times New Roman"/>
        </w:rPr>
      </w:pPr>
      <w:r>
        <w:rPr>
          <w:rFonts w:eastAsia="Times New Roman" w:cs="Times New Roman"/>
          <w:b/>
          <w:bCs/>
        </w:rPr>
        <w:t>Social Justice</w:t>
      </w:r>
      <w:r>
        <w:rPr>
          <w:rFonts w:eastAsia="Times New Roman" w:cs="Times New Roman"/>
        </w:rPr>
        <w:t xml:space="preserve">.  Old Westbury promotes social justice and equality in living and learning through its historic commitment to educational empowerment, diversity, access, equity, self-determination, community activism and responsible global citizenship. </w:t>
      </w:r>
    </w:p>
    <w:p w:rsidR="00927396" w:rsidRPr="006B5E37" w:rsidRDefault="00927396" w:rsidP="006B5E37">
      <w:pPr>
        <w:spacing w:after="0" w:line="240" w:lineRule="auto"/>
        <w:rPr>
          <w:rFonts w:ascii="Times New Roman" w:hAnsi="Times New Roman" w:cs="Times New Roman"/>
          <w:sz w:val="24"/>
          <w:szCs w:val="24"/>
        </w:rPr>
      </w:pPr>
    </w:p>
    <w:sectPr w:rsidR="00927396" w:rsidRPr="006B5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FDC" w:rsidRDefault="00F27FDC" w:rsidP="006B5E37">
      <w:pPr>
        <w:spacing w:after="0" w:line="240" w:lineRule="auto"/>
      </w:pPr>
      <w:r>
        <w:separator/>
      </w:r>
    </w:p>
  </w:endnote>
  <w:endnote w:type="continuationSeparator" w:id="0">
    <w:p w:rsidR="00F27FDC" w:rsidRDefault="00F27FDC" w:rsidP="006B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FDC" w:rsidRDefault="00F27FDC" w:rsidP="006B5E37">
      <w:pPr>
        <w:spacing w:after="0" w:line="240" w:lineRule="auto"/>
      </w:pPr>
      <w:r>
        <w:separator/>
      </w:r>
    </w:p>
  </w:footnote>
  <w:footnote w:type="continuationSeparator" w:id="0">
    <w:p w:rsidR="00F27FDC" w:rsidRDefault="00F27FDC" w:rsidP="006B5E37">
      <w:pPr>
        <w:spacing w:after="0" w:line="240" w:lineRule="auto"/>
      </w:pPr>
      <w:r>
        <w:continuationSeparator/>
      </w:r>
    </w:p>
  </w:footnote>
  <w:footnote w:id="1">
    <w:p w:rsidR="00927396" w:rsidRDefault="00927396" w:rsidP="00927396">
      <w:pPr>
        <w:spacing w:after="0"/>
        <w:rPr>
          <w:sz w:val="16"/>
          <w:szCs w:val="16"/>
        </w:rPr>
      </w:pPr>
      <w:r>
        <w:rPr>
          <w:rStyle w:val="FootnoteReference"/>
          <w:sz w:val="16"/>
          <w:szCs w:val="16"/>
        </w:rPr>
        <w:footnoteRef/>
      </w:r>
      <w:r>
        <w:rPr>
          <w:sz w:val="16"/>
          <w:szCs w:val="16"/>
        </w:rPr>
        <w:t xml:space="preserve"> </w:t>
      </w:r>
      <w:r>
        <w:rPr>
          <w:sz w:val="20"/>
          <w:szCs w:val="20"/>
        </w:rPr>
        <w:t xml:space="preserve">From “The Essential Learning Outcomes,” in </w:t>
      </w:r>
      <w:r>
        <w:rPr>
          <w:i/>
          <w:sz w:val="20"/>
          <w:szCs w:val="20"/>
        </w:rPr>
        <w:t>The LEAP Vision for Learning: Outcomes, Practices, Impact and Employers’ Views</w:t>
      </w:r>
      <w:r>
        <w:rPr>
          <w:sz w:val="20"/>
          <w:szCs w:val="20"/>
        </w:rPr>
        <w:t xml:space="preserve"> (AACU, 2011), https://www.aacu.org/sites/default/files/files/LEAP/EssentialOutcomes_Chart.pdf</w:t>
      </w:r>
    </w:p>
  </w:footnote>
  <w:footnote w:id="2">
    <w:p w:rsidR="00927396" w:rsidRDefault="00927396" w:rsidP="00927396">
      <w:pPr>
        <w:pStyle w:val="FootnoteText"/>
      </w:pPr>
      <w:r>
        <w:rPr>
          <w:rStyle w:val="FootnoteReference"/>
        </w:rPr>
        <w:footnoteRef/>
      </w:r>
      <w:r>
        <w:t xml:space="preserve"> From the </w:t>
      </w:r>
      <w:r>
        <w:rPr>
          <w:i/>
        </w:rPr>
        <w:t>SUNY College at Old Westbury Strategic Plan</w:t>
      </w:r>
      <w:r>
        <w:t>, 2010-2016 (February 18, 2010).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237"/>
    <w:multiLevelType w:val="multilevel"/>
    <w:tmpl w:val="CC8A579C"/>
    <w:lvl w:ilvl="0">
      <w:start w:val="1"/>
      <w:numFmt w:val="bullet"/>
      <w:lvlText w:val=""/>
      <w:lvlJc w:val="left"/>
      <w:pPr>
        <w:tabs>
          <w:tab w:val="num" w:pos="836"/>
        </w:tabs>
        <w:ind w:left="836" w:hanging="360"/>
      </w:pPr>
      <w:rPr>
        <w:rFonts w:ascii="Symbol" w:hAnsi="Symbol" w:hint="default"/>
        <w:sz w:val="20"/>
      </w:rPr>
    </w:lvl>
    <w:lvl w:ilvl="1">
      <w:start w:val="1"/>
      <w:numFmt w:val="bullet"/>
      <w:lvlText w:val="o"/>
      <w:lvlJc w:val="left"/>
      <w:pPr>
        <w:tabs>
          <w:tab w:val="num" w:pos="1556"/>
        </w:tabs>
        <w:ind w:left="1556" w:hanging="360"/>
      </w:pPr>
      <w:rPr>
        <w:rFonts w:ascii="Courier New" w:hAnsi="Courier New" w:cs="Times New Roman" w:hint="default"/>
        <w:sz w:val="20"/>
      </w:rPr>
    </w:lvl>
    <w:lvl w:ilvl="2">
      <w:start w:val="1"/>
      <w:numFmt w:val="bullet"/>
      <w:lvlText w:val=""/>
      <w:lvlJc w:val="left"/>
      <w:pPr>
        <w:tabs>
          <w:tab w:val="num" w:pos="2276"/>
        </w:tabs>
        <w:ind w:left="2276" w:hanging="360"/>
      </w:pPr>
      <w:rPr>
        <w:rFonts w:ascii="Wingdings" w:hAnsi="Wingdings" w:hint="default"/>
        <w:sz w:val="20"/>
      </w:rPr>
    </w:lvl>
    <w:lvl w:ilvl="3">
      <w:start w:val="1"/>
      <w:numFmt w:val="bullet"/>
      <w:lvlText w:val=""/>
      <w:lvlJc w:val="left"/>
      <w:pPr>
        <w:tabs>
          <w:tab w:val="num" w:pos="2996"/>
        </w:tabs>
        <w:ind w:left="2996" w:hanging="360"/>
      </w:pPr>
      <w:rPr>
        <w:rFonts w:ascii="Wingdings" w:hAnsi="Wingdings" w:hint="default"/>
        <w:sz w:val="20"/>
      </w:rPr>
    </w:lvl>
    <w:lvl w:ilvl="4">
      <w:start w:val="1"/>
      <w:numFmt w:val="bullet"/>
      <w:lvlText w:val=""/>
      <w:lvlJc w:val="left"/>
      <w:pPr>
        <w:tabs>
          <w:tab w:val="num" w:pos="3716"/>
        </w:tabs>
        <w:ind w:left="3716" w:hanging="360"/>
      </w:pPr>
      <w:rPr>
        <w:rFonts w:ascii="Wingdings" w:hAnsi="Wingdings" w:hint="default"/>
        <w:sz w:val="20"/>
      </w:rPr>
    </w:lvl>
    <w:lvl w:ilvl="5">
      <w:start w:val="1"/>
      <w:numFmt w:val="bullet"/>
      <w:lvlText w:val=""/>
      <w:lvlJc w:val="left"/>
      <w:pPr>
        <w:tabs>
          <w:tab w:val="num" w:pos="4436"/>
        </w:tabs>
        <w:ind w:left="4436" w:hanging="360"/>
      </w:pPr>
      <w:rPr>
        <w:rFonts w:ascii="Wingdings" w:hAnsi="Wingdings" w:hint="default"/>
        <w:sz w:val="20"/>
      </w:rPr>
    </w:lvl>
    <w:lvl w:ilvl="6">
      <w:start w:val="1"/>
      <w:numFmt w:val="bullet"/>
      <w:lvlText w:val=""/>
      <w:lvlJc w:val="left"/>
      <w:pPr>
        <w:tabs>
          <w:tab w:val="num" w:pos="5156"/>
        </w:tabs>
        <w:ind w:left="5156" w:hanging="360"/>
      </w:pPr>
      <w:rPr>
        <w:rFonts w:ascii="Wingdings" w:hAnsi="Wingdings" w:hint="default"/>
        <w:sz w:val="20"/>
      </w:rPr>
    </w:lvl>
    <w:lvl w:ilvl="7">
      <w:start w:val="1"/>
      <w:numFmt w:val="bullet"/>
      <w:lvlText w:val=""/>
      <w:lvlJc w:val="left"/>
      <w:pPr>
        <w:tabs>
          <w:tab w:val="num" w:pos="5876"/>
        </w:tabs>
        <w:ind w:left="5876" w:hanging="360"/>
      </w:pPr>
      <w:rPr>
        <w:rFonts w:ascii="Wingdings" w:hAnsi="Wingdings" w:hint="default"/>
        <w:sz w:val="20"/>
      </w:rPr>
    </w:lvl>
    <w:lvl w:ilvl="8">
      <w:start w:val="1"/>
      <w:numFmt w:val="bullet"/>
      <w:lvlText w:val=""/>
      <w:lvlJc w:val="left"/>
      <w:pPr>
        <w:tabs>
          <w:tab w:val="num" w:pos="6596"/>
        </w:tabs>
        <w:ind w:left="6596" w:hanging="360"/>
      </w:pPr>
      <w:rPr>
        <w:rFonts w:ascii="Wingdings" w:hAnsi="Wingdings" w:hint="default"/>
        <w:sz w:val="20"/>
      </w:rPr>
    </w:lvl>
  </w:abstractNum>
  <w:abstractNum w:abstractNumId="1">
    <w:nsid w:val="1B3610A1"/>
    <w:multiLevelType w:val="hybridMultilevel"/>
    <w:tmpl w:val="54AE0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00D4B17"/>
    <w:multiLevelType w:val="multilevel"/>
    <w:tmpl w:val="C5D4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D595A22"/>
    <w:multiLevelType w:val="multilevel"/>
    <w:tmpl w:val="18BAF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4CB5BD0"/>
    <w:multiLevelType w:val="multilevel"/>
    <w:tmpl w:val="F026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37"/>
    <w:rsid w:val="0001754D"/>
    <w:rsid w:val="000265EC"/>
    <w:rsid w:val="000278B6"/>
    <w:rsid w:val="000834C5"/>
    <w:rsid w:val="000D3F85"/>
    <w:rsid w:val="000F4F0F"/>
    <w:rsid w:val="00107590"/>
    <w:rsid w:val="0014248D"/>
    <w:rsid w:val="00155011"/>
    <w:rsid w:val="0019360D"/>
    <w:rsid w:val="00220278"/>
    <w:rsid w:val="00244494"/>
    <w:rsid w:val="00290D37"/>
    <w:rsid w:val="002C5B59"/>
    <w:rsid w:val="002D1619"/>
    <w:rsid w:val="002F3812"/>
    <w:rsid w:val="002F4838"/>
    <w:rsid w:val="0033185A"/>
    <w:rsid w:val="003A05FB"/>
    <w:rsid w:val="003D11C1"/>
    <w:rsid w:val="00413926"/>
    <w:rsid w:val="00416F45"/>
    <w:rsid w:val="00437761"/>
    <w:rsid w:val="00474498"/>
    <w:rsid w:val="00477FDD"/>
    <w:rsid w:val="004824C0"/>
    <w:rsid w:val="004838D4"/>
    <w:rsid w:val="004B06AF"/>
    <w:rsid w:val="004D5798"/>
    <w:rsid w:val="004F436C"/>
    <w:rsid w:val="005041E4"/>
    <w:rsid w:val="00546571"/>
    <w:rsid w:val="00597D1C"/>
    <w:rsid w:val="005A0764"/>
    <w:rsid w:val="005B3EC8"/>
    <w:rsid w:val="00622216"/>
    <w:rsid w:val="006B5E37"/>
    <w:rsid w:val="006B6314"/>
    <w:rsid w:val="006F32C5"/>
    <w:rsid w:val="007978C5"/>
    <w:rsid w:val="007A273F"/>
    <w:rsid w:val="007E60DC"/>
    <w:rsid w:val="007F11CB"/>
    <w:rsid w:val="00801B46"/>
    <w:rsid w:val="008525B0"/>
    <w:rsid w:val="008B59D0"/>
    <w:rsid w:val="008C06F4"/>
    <w:rsid w:val="008E03D7"/>
    <w:rsid w:val="00927396"/>
    <w:rsid w:val="0095055D"/>
    <w:rsid w:val="00951330"/>
    <w:rsid w:val="009963D3"/>
    <w:rsid w:val="009C7DAF"/>
    <w:rsid w:val="00A61D96"/>
    <w:rsid w:val="00AA3958"/>
    <w:rsid w:val="00AB17DA"/>
    <w:rsid w:val="00AB2CF8"/>
    <w:rsid w:val="00B055C3"/>
    <w:rsid w:val="00B349E6"/>
    <w:rsid w:val="00B37DB0"/>
    <w:rsid w:val="00BB0695"/>
    <w:rsid w:val="00C00632"/>
    <w:rsid w:val="00C02277"/>
    <w:rsid w:val="00C3142B"/>
    <w:rsid w:val="00C72133"/>
    <w:rsid w:val="00C76E83"/>
    <w:rsid w:val="00C862C1"/>
    <w:rsid w:val="00CB23C8"/>
    <w:rsid w:val="00CC4518"/>
    <w:rsid w:val="00D725C4"/>
    <w:rsid w:val="00D84EDB"/>
    <w:rsid w:val="00D947DB"/>
    <w:rsid w:val="00DA6A24"/>
    <w:rsid w:val="00DE36E4"/>
    <w:rsid w:val="00E01B54"/>
    <w:rsid w:val="00E31AFB"/>
    <w:rsid w:val="00E521E7"/>
    <w:rsid w:val="00E93752"/>
    <w:rsid w:val="00EA2469"/>
    <w:rsid w:val="00EB5E24"/>
    <w:rsid w:val="00ED62B8"/>
    <w:rsid w:val="00F27FDC"/>
    <w:rsid w:val="00F44EB6"/>
    <w:rsid w:val="00FB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E37"/>
    <w:rPr>
      <w:sz w:val="20"/>
      <w:szCs w:val="20"/>
    </w:rPr>
  </w:style>
  <w:style w:type="character" w:styleId="FootnoteReference">
    <w:name w:val="footnote reference"/>
    <w:basedOn w:val="DefaultParagraphFont"/>
    <w:uiPriority w:val="99"/>
    <w:semiHidden/>
    <w:unhideWhenUsed/>
    <w:rsid w:val="006B5E37"/>
    <w:rPr>
      <w:vertAlign w:val="superscript"/>
    </w:rPr>
  </w:style>
  <w:style w:type="paragraph" w:styleId="ListParagraph">
    <w:name w:val="List Paragraph"/>
    <w:basedOn w:val="Normal"/>
    <w:uiPriority w:val="34"/>
    <w:qFormat/>
    <w:rsid w:val="006B5E37"/>
    <w:pPr>
      <w:ind w:left="720"/>
      <w:contextualSpacing/>
    </w:pPr>
  </w:style>
  <w:style w:type="character" w:styleId="Hyperlink">
    <w:name w:val="Hyperlink"/>
    <w:basedOn w:val="DefaultParagraphFont"/>
    <w:uiPriority w:val="99"/>
    <w:semiHidden/>
    <w:unhideWhenUsed/>
    <w:rsid w:val="009273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B5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E37"/>
    <w:rPr>
      <w:sz w:val="20"/>
      <w:szCs w:val="20"/>
    </w:rPr>
  </w:style>
  <w:style w:type="character" w:styleId="FootnoteReference">
    <w:name w:val="footnote reference"/>
    <w:basedOn w:val="DefaultParagraphFont"/>
    <w:uiPriority w:val="99"/>
    <w:semiHidden/>
    <w:unhideWhenUsed/>
    <w:rsid w:val="006B5E37"/>
    <w:rPr>
      <w:vertAlign w:val="superscript"/>
    </w:rPr>
  </w:style>
  <w:style w:type="paragraph" w:styleId="ListParagraph">
    <w:name w:val="List Paragraph"/>
    <w:basedOn w:val="Normal"/>
    <w:uiPriority w:val="34"/>
    <w:qFormat/>
    <w:rsid w:val="006B5E37"/>
    <w:pPr>
      <w:ind w:left="720"/>
      <w:contextualSpacing/>
    </w:pPr>
  </w:style>
  <w:style w:type="character" w:styleId="Hyperlink">
    <w:name w:val="Hyperlink"/>
    <w:basedOn w:val="DefaultParagraphFont"/>
    <w:uiPriority w:val="99"/>
    <w:semiHidden/>
    <w:unhideWhenUsed/>
    <w:rsid w:val="00927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99066">
      <w:bodyDiv w:val="1"/>
      <w:marLeft w:val="0"/>
      <w:marRight w:val="0"/>
      <w:marTop w:val="0"/>
      <w:marBottom w:val="0"/>
      <w:divBdr>
        <w:top w:val="none" w:sz="0" w:space="0" w:color="auto"/>
        <w:left w:val="none" w:sz="0" w:space="0" w:color="auto"/>
        <w:bottom w:val="none" w:sz="0" w:space="0" w:color="auto"/>
        <w:right w:val="none" w:sz="0" w:space="0" w:color="auto"/>
      </w:divBdr>
    </w:div>
    <w:div w:id="385841570">
      <w:bodyDiv w:val="1"/>
      <w:marLeft w:val="0"/>
      <w:marRight w:val="0"/>
      <w:marTop w:val="0"/>
      <w:marBottom w:val="0"/>
      <w:divBdr>
        <w:top w:val="none" w:sz="0" w:space="0" w:color="auto"/>
        <w:left w:val="none" w:sz="0" w:space="0" w:color="auto"/>
        <w:bottom w:val="none" w:sz="0" w:space="0" w:color="auto"/>
        <w:right w:val="none" w:sz="0" w:space="0" w:color="auto"/>
      </w:divBdr>
    </w:div>
    <w:div w:id="12465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aacu.org/store/detail.aspx?id=LEAPRP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acu.org/value/rubrics" TargetMode="External"/><Relationship Id="rId4" Type="http://schemas.openxmlformats.org/officeDocument/2006/relationships/settings" Target="settings.xml"/><Relationship Id="rId9" Type="http://schemas.openxmlformats.org/officeDocument/2006/relationships/hyperlink" Target="https://www.aacu.org/leap/principles-of-excel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Frisken</dc:creator>
  <cp:lastModifiedBy>Amanda Frisken</cp:lastModifiedBy>
  <cp:revision>2</cp:revision>
  <dcterms:created xsi:type="dcterms:W3CDTF">2016-03-15T16:35:00Z</dcterms:created>
  <dcterms:modified xsi:type="dcterms:W3CDTF">2016-03-15T16:35:00Z</dcterms:modified>
</cp:coreProperties>
</file>