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val="false"/>
          <w:bCs w:val="false"/>
          <w:i w:val="false"/>
          <w:iCs w:val="false"/>
          <w:color w:val="000000"/>
          <w:sz w:val="60"/>
          <w:szCs w:val="60"/>
        </w:rPr>
        <w:t xml:space="preserve"/>
      </w:r>
    </w:p>
    <w:p>
      <w:pPr>
        <w:spacing w:after="120" w:before="0"/>
        <w:jc w:val="center"/>
      </w:pPr>
      <w:r>
        <w:rPr>
          <w:rFonts w:ascii="Arial" w:cs="Arial" w:eastAsia="Arial" w:hAnsi="Arial"/>
          <w:b/>
          <w:bCs/>
          <w:i w:val="false"/>
          <w:iCs w:val="false"/>
          <w:color w:val="1F3864"/>
          <w:sz w:val="52"/>
          <w:szCs w:val="52"/>
        </w:rPr>
        <w:t xml:space="preserve">PHÂN TÍCH FEATURE &amp; INSIGHT</w:t>
      </w:r>
    </w:p>
    <w:p>
      <w:pPr>
        <w:spacing w:after="80" w:before="0"/>
        <w:jc w:val="center"/>
      </w:pPr>
      <w:r>
        <w:rPr>
          <w:rFonts w:ascii="Arial" w:cs="Arial" w:eastAsia="Arial" w:hAnsi="Arial"/>
          <w:b/>
          <w:bCs/>
          <w:i w:val="false"/>
          <w:iCs w:val="false"/>
          <w:color w:val="2E75B6"/>
          <w:sz w:val="36"/>
          <w:szCs w:val="36"/>
        </w:rPr>
        <w:t xml:space="preserve">DỰ ÁN PHÂN TÍCH KINH TẾ VĨ MÔ</w:t>
      </w:r>
    </w:p>
    <w:p>
      <w:pPr>
        <w:spacing w:after="300" w:before="0"/>
        <w:jc w:val="center"/>
      </w:pPr>
      <w:r>
        <w:rPr>
          <w:rFonts w:ascii="Arial" w:cs="Arial" w:eastAsia="Arial" w:hAnsi="Arial"/>
          <w:b w:val="false"/>
          <w:bCs w:val="false"/>
          <w:i/>
          <w:iCs/>
          <w:color w:val="595959"/>
          <w:sz w:val="22"/>
          <w:szCs w:val="22"/>
        </w:rPr>
        <w:t xml:space="preserve">Tài liệu kỹ thuật cho Data Engineers · Data Analysts · AI/ML Engineers</w:t>
      </w:r>
    </w:p>
    <w:p>
      <w:pPr>
        <w:spacing w:after="0" w:before="0"/>
      </w:pPr>
      <w:r>
        <w:rPr>
          <w:rFonts w:ascii="Arial" w:cs="Arial" w:eastAsia="Arial" w:hAnsi="Arial"/>
          <w:b w:val="false"/>
          <w:bCs w:val="false"/>
          <w:i w:val="false"/>
          <w:iCs w:val="false"/>
          <w:color w:val="000000"/>
          <w:sz w:val="6"/>
          <w:szCs w:val="6"/>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5B6" w:sz="8"/>
              <w:left w:val="single" w:color="2E75B6" w:sz="8"/>
              <w:bottom w:val="single" w:color="2E75B6" w:sz="8"/>
              <w:right w:val="single" w:color="2E75B6" w:sz="8"/>
            </w:tcBorders>
            <w:shd w:fill="D6E4F0" w:val="clear"/>
            <w:tcMar>
              <w:top w:type="dxa" w:w="200"/>
              <w:left w:type="dxa" w:w="300"/>
              <w:bottom w:type="dxa" w:w="200"/>
              <w:right w:type="dxa" w:w="300"/>
            </w:tcMar>
          </w:tcPr>
          <w:p>
            <w:pPr>
              <w:spacing w:after="80" w:before="0"/>
              <w:jc w:val="center"/>
            </w:pPr>
            <w:r>
              <w:rPr>
                <w:rFonts w:ascii="Arial" w:cs="Arial" w:eastAsia="Arial" w:hAnsi="Arial"/>
                <w:b/>
                <w:bCs/>
                <w:i w:val="false"/>
                <w:iCs w:val="false"/>
                <w:color w:val="1F3864"/>
                <w:sz w:val="24"/>
                <w:szCs w:val="24"/>
              </w:rPr>
              <w:t xml:space="preserve">Phạm vi tài liệu</w:t>
            </w:r>
          </w:p>
          <w:p>
            <w:pPr>
              <w:spacing w:after="40" w:before="0"/>
              <w:jc w:val="center"/>
            </w:pPr>
            <w:r>
              <w:rPr>
                <w:rFonts w:ascii="Arial" w:cs="Arial" w:eastAsia="Arial" w:hAnsi="Arial"/>
                <w:b w:val="false"/>
                <w:bCs w:val="false"/>
                <w:i w:val="false"/>
                <w:iCs w:val="false"/>
                <w:color w:val="595959"/>
                <w:sz w:val="20"/>
                <w:szCs w:val="20"/>
              </w:rPr>
              <w:t xml:space="preserve">3 Dataset được phân tích</w:t>
            </w:r>
          </w:p>
          <w:p>
            <w:pPr>
              <w:spacing w:after="60" w:before="0"/>
              <w:jc w:val="center"/>
            </w:pPr>
            <w:r>
              <w:rPr>
                <w:rFonts w:ascii="Arial" w:cs="Arial" w:eastAsia="Arial" w:hAnsi="Arial"/>
                <w:b/>
                <w:bCs/>
                <w:i w:val="false"/>
                <w:iCs w:val="false"/>
                <w:color w:val="2E75B6"/>
                <w:sz w:val="20"/>
                <w:szCs w:val="20"/>
              </w:rPr>
              <w:t xml:space="preserve">Dataset 1 · Macro-Statistics FAO  |  Dataset 2 · GMD  |  Dataset 3 · WDiCSV</w:t>
            </w:r>
          </w:p>
          <w:p>
            <w:pPr>
              <w:spacing w:after="120" w:before="0"/>
              <w:jc w:val="center"/>
            </w:pPr>
            <w:r>
              <w:rPr>
                <w:rFonts w:ascii="Arial" w:cs="Arial" w:eastAsia="Arial" w:hAnsi="Arial"/>
                <w:b w:val="false"/>
                <w:bCs w:val="false"/>
                <w:i w:val="false"/>
                <w:iCs w:val="false"/>
                <w:color w:val="595959"/>
                <w:sz w:val="20"/>
                <w:szCs w:val="20"/>
              </w:rPr>
              <w:t xml:space="preserve">87 quốc gia   ·   Chuỗi thời gian dài hạn   ·   3 vai trò sử dụng: DE / DA / AI</w:t>
            </w:r>
          </w:p>
        </w:tc>
      </w:tr>
    </w:tbl>
    <w:p>
      <w:pPr>
        <w:spacing w:after="120" w:before="0"/>
        <w:jc w:val="left"/>
      </w:pPr>
      <w:r>
        <w:rPr>
          <w:rFonts w:ascii="Arial" w:cs="Arial" w:eastAsia="Arial" w:hAnsi="Arial"/>
          <w:b w:val="false"/>
          <w:bCs w:val="false"/>
          <w:i w:val="false"/>
          <w:iCs w:val="false"/>
          <w:color w:val="000000"/>
          <w:sz w:val="30"/>
          <w:szCs w:val="30"/>
        </w:rPr>
        <w:t xml:space="preserve"/>
      </w:r>
    </w:p>
    <w:p>
      <w:r>
        <w:br w:type="page"/>
      </w:r>
    </w:p>
    <w:p>
      <w:pPr>
        <w:spacing w:after="120" w:before="0"/>
        <w:jc w:val="left"/>
      </w:pPr>
      <w:r>
        <w:rPr>
          <w:rFonts w:ascii="Arial" w:cs="Arial" w:eastAsia="Arial" w:hAnsi="Arial"/>
          <w:b w:val="false"/>
          <w:bCs w:val="false"/>
          <w:i w:val="false"/>
          <w:iCs w:val="false"/>
          <w:color w:val="000000"/>
          <w:sz w:val="6"/>
          <w:szCs w:val="6"/>
        </w:rPr>
        <w:t xml:space="preserve"/>
      </w:r>
    </w:p>
    <w:p>
      <w:pPr>
        <w:pStyle w:val="Heading2"/>
        <w:shd w:fill="2E75B6" w:val="clear"/>
        <w:spacing w:after="100" w:before="200"/>
      </w:pPr>
      <w:r>
        <w:rPr>
          <w:rFonts w:ascii="Arial" w:cs="Arial" w:eastAsia="Arial" w:hAnsi="Arial"/>
          <w:b/>
          <w:bCs/>
          <w:i w:val="false"/>
          <w:iCs w:val="false"/>
          <w:color w:val="FFFFFF"/>
          <w:sz w:val="24"/>
          <w:szCs w:val="24"/>
        </w:rPr>
        <w:t xml:space="preserve">TỔNG QUAN CÁC DATASET</w:t>
      </w:r>
    </w:p>
    <w:p>
      <w:pPr>
        <w:spacing w:after="120" w:before="0"/>
        <w:jc w:val="left"/>
      </w:pPr>
      <w:r>
        <w:rPr>
          <w:rFonts w:ascii="Arial" w:cs="Arial" w:eastAsia="Arial" w:hAnsi="Arial"/>
          <w:b w:val="false"/>
          <w:bCs w:val="false"/>
          <w:i w:val="false"/>
          <w:iCs w:val="false"/>
          <w:color w:val="000000"/>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800"/>
        <w:gridCol w:w="1700"/>
        <w:gridCol w:w="1560"/>
      </w:tblGrid>
      <w:tr>
        <w:tc>
          <w:tcPr>
            <w:tcW w:type="dxa" w:w="18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FFFFFF"/>
                <w:sz w:val="20"/>
                <w:szCs w:val="20"/>
              </w:rPr>
              <w:t xml:space="preserve">Dataset</w:t>
            </w:r>
          </w:p>
        </w:tc>
        <w:tc>
          <w:tcPr>
            <w:tcW w:type="dxa" w:w="25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FFFFFF"/>
                <w:sz w:val="20"/>
                <w:szCs w:val="20"/>
              </w:rPr>
              <w:t xml:space="preserve">Nguồn / Dạng dữ liệu</w:t>
            </w:r>
          </w:p>
        </w:tc>
        <w:tc>
          <w:tcPr>
            <w:tcW w:type="dxa" w:w="18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FFFFFF"/>
                <w:sz w:val="20"/>
                <w:szCs w:val="20"/>
              </w:rPr>
              <w:t xml:space="preserve">Số feature đề xuất</w:t>
            </w:r>
          </w:p>
        </w:tc>
        <w:tc>
          <w:tcPr>
            <w:tcW w:type="dxa" w:w="17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FFFFFF"/>
                <w:sz w:val="20"/>
                <w:szCs w:val="20"/>
              </w:rPr>
              <w:t xml:space="preserve">Vai trò chính</w:t>
            </w:r>
          </w:p>
        </w:tc>
        <w:tc>
          <w:tcPr>
            <w:tcW w:type="dxa" w:w="156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FFFFFF"/>
                <w:sz w:val="20"/>
                <w:szCs w:val="20"/>
              </w:rPr>
              <w:t xml:space="preserve">Đặc điểm nổi bật</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20"/>
                <w:szCs w:val="20"/>
              </w:rPr>
              <w:t xml:space="preserve">Macro-Statistics (FAO)</w:t>
            </w:r>
          </w:p>
        </w:tc>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20"/>
                <w:szCs w:val="20"/>
              </w:rPr>
              <w:t xml:space="preserve">FAO · Long/Normalized format · GDP, GFCF, GNI, VA nông nghiệp &amp; sản xuất</w:t>
            </w:r>
          </w:p>
        </w:tc>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center"/>
            </w:pPr>
            <w:r>
              <w:rPr>
                <w:rFonts w:ascii="Arial" w:cs="Arial" w:eastAsia="Arial" w:hAnsi="Arial"/>
                <w:b w:val="false"/>
                <w:bCs w:val="false"/>
                <w:i w:val="false"/>
                <w:iCs w:val="false"/>
                <w:color w:val="000000"/>
                <w:sz w:val="20"/>
                <w:szCs w:val="20"/>
              </w:rPr>
              <w:t xml:space="preserve">10 features</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20"/>
                <w:szCs w:val="20"/>
              </w:rPr>
              <w:t xml:space="preserve">DE (pivot) → DA (cơ cấu ngành)</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20"/>
                <w:szCs w:val="20"/>
              </w:rPr>
              <w:t xml:space="preserve">Dữ liệu ngành theo FAO — cần pivot từ long sang wide</w:t>
            </w:r>
          </w:p>
        </w:tc>
      </w:tr>
      <w:tr>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20"/>
                <w:szCs w:val="20"/>
              </w:rPr>
              <w:t xml:space="preserve">GMD (Global Macro DB)</w:t>
            </w:r>
          </w:p>
        </w:tc>
        <w:tc>
          <w:tcPr>
            <w:tcW w:type="dxa" w:w="25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20"/>
                <w:szCs w:val="20"/>
              </w:rPr>
              <w:t xml:space="preserve">GMD · Wide format · ~80 cột kinh tế vĩ mô toàn diện</w:t>
            </w:r>
          </w:p>
        </w:tc>
        <w:tc>
          <w:tcPr>
            <w:tcW w:type="dxa" w:w="18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center"/>
            </w:pPr>
            <w:r>
              <w:rPr>
                <w:rFonts w:ascii="Arial" w:cs="Arial" w:eastAsia="Arial" w:hAnsi="Arial"/>
                <w:b w:val="false"/>
                <w:bCs w:val="false"/>
                <w:i w:val="false"/>
                <w:iCs w:val="false"/>
                <w:color w:val="000000"/>
                <w:sz w:val="20"/>
                <w:szCs w:val="20"/>
              </w:rPr>
              <w:t xml:space="preserve">12 features</w:t>
            </w:r>
          </w:p>
        </w:tc>
        <w:tc>
          <w:tcPr>
            <w:tcW w:type="dxa" w:w="17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20"/>
                <w:szCs w:val="20"/>
              </w:rPr>
              <w:t xml:space="preserve">Tất cả 3 vai trò</w:t>
            </w:r>
          </w:p>
        </w:tc>
        <w:tc>
          <w:tcPr>
            <w:tcW w:type="dxa" w:w="15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20"/>
                <w:szCs w:val="20"/>
              </w:rPr>
              <w:t xml:space="preserve">Phong phú nhất: tài khóa, tiền tệ, khủng hoảng, thương mại</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20"/>
                <w:szCs w:val="20"/>
              </w:rPr>
              <w:t xml:space="preserve">WDiCSV (World Bank)</w:t>
            </w:r>
          </w:p>
        </w:tc>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20"/>
                <w:szCs w:val="20"/>
              </w:rPr>
              <w:t xml:space="preserve">World Bank · Wide format · Lao động, dân số, nghèo đói, thương mại</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center"/>
            </w:pPr>
            <w:r>
              <w:rPr>
                <w:rFonts w:ascii="Arial" w:cs="Arial" w:eastAsia="Arial" w:hAnsi="Arial"/>
                <w:b w:val="false"/>
                <w:bCs w:val="false"/>
                <w:i w:val="false"/>
                <w:iCs w:val="false"/>
                <w:color w:val="000000"/>
                <w:sz w:val="20"/>
                <w:szCs w:val="20"/>
              </w:rPr>
              <w:t xml:space="preserve">11 features</w:t>
            </w:r>
          </w:p>
        </w:tc>
        <w:tc>
          <w:tcPr>
            <w:tcW w:type="dxa" w:w="1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20"/>
                <w:szCs w:val="20"/>
              </w:rPr>
              <w:t xml:space="preserve">DA (phúc lợi) · AI (target vars)</w:t>
            </w:r>
          </w:p>
        </w:tc>
        <w:tc>
          <w:tcPr>
            <w:tcW w:type="dxa" w:w="1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20"/>
                <w:szCs w:val="20"/>
              </w:rPr>
              <w:t xml:space="preserve">Tập trung vào phát triển con người và xã hội</w:t>
            </w:r>
          </w:p>
        </w:tc>
      </w:tr>
    </w:tbl>
    <w:p>
      <w:pPr>
        <w:spacing w:after="120" w:before="0"/>
        <w:jc w:val="left"/>
      </w:pPr>
      <w:r>
        <w:rPr>
          <w:rFonts w:ascii="Arial" w:cs="Arial" w:eastAsia="Arial" w:hAnsi="Arial"/>
          <w:b w:val="false"/>
          <w:bCs w:val="false"/>
          <w:i w:val="false"/>
          <w:iCs w:val="false"/>
          <w:color w:val="000000"/>
          <w:sz w:val="10"/>
          <w:szCs w:val="10"/>
        </w:rPr>
        <w:t xml:space="preserve"/>
      </w:r>
    </w:p>
    <w:p>
      <w:pPr>
        <w:spacing w:after="120" w:before="0"/>
        <w:jc w:val="left"/>
      </w:pPr>
      <w:r>
        <w:rPr>
          <w:rFonts w:ascii="Arial" w:cs="Arial" w:eastAsia="Arial" w:hAnsi="Arial"/>
          <w:b w:val="false"/>
          <w:bCs w:val="false"/>
          <w:i w:val="false"/>
          <w:iCs w:val="false"/>
          <w:color w:val="000000"/>
          <w:sz w:val="6"/>
          <w:szCs w:val="6"/>
        </w:rPr>
        <w:t xml:space="preserve"/>
      </w:r>
    </w:p>
    <w:p>
      <w:pPr>
        <w:pStyle w:val="Heading2"/>
        <w:shd w:fill="2E75B6" w:val="clear"/>
        <w:spacing w:after="100" w:before="200"/>
      </w:pPr>
      <w:r>
        <w:rPr>
          <w:rFonts w:ascii="Arial" w:cs="Arial" w:eastAsia="Arial" w:hAnsi="Arial"/>
          <w:b/>
          <w:bCs/>
          <w:i w:val="false"/>
          <w:iCs w:val="false"/>
          <w:color w:val="FFFFFF"/>
          <w:sz w:val="24"/>
          <w:szCs w:val="24"/>
        </w:rPr>
        <w:t xml:space="preserve">CHÚ THÍCH BẢNG FEATURE</w:t>
      </w:r>
    </w:p>
    <w:p>
      <w:pPr>
        <w:spacing w:after="120" w:before="0"/>
        <w:jc w:val="left"/>
      </w:pPr>
      <w:r>
        <w:rPr>
          <w:rFonts w:ascii="Arial" w:cs="Arial" w:eastAsia="Arial" w:hAnsi="Arial"/>
          <w:b w:val="false"/>
          <w:bCs w:val="false"/>
          <w:i w:val="false"/>
          <w:iCs w:val="false"/>
          <w:color w:val="000000"/>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6"/>
              <w:left w:val="single" w:color="FFFFFF" w:sz="6"/>
              <w:bottom w:val="single" w:color="FFFFFF" w:sz="6"/>
              <w:right w:val="single" w:color="FFFFFF" w:sz="6"/>
            </w:tcBorders>
            <w:shd w:fill="1A6B72" w:val="clear"/>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FFFFFF"/>
                <w:sz w:val="20"/>
                <w:szCs w:val="20"/>
              </w:rPr>
              <w:t xml:space="preserve">Trường</w:t>
            </w:r>
          </w:p>
        </w:tc>
        <w:tc>
          <w:tcPr>
            <w:tcW w:type="dxa" w:w="7360"/>
            <w:tcBorders>
              <w:top w:val="single" w:color="FFFFFF" w:sz="6"/>
              <w:left w:val="single" w:color="FFFFFF" w:sz="6"/>
              <w:bottom w:val="single" w:color="FFFFFF" w:sz="6"/>
              <w:right w:val="single" w:color="FFFFFF" w:sz="6"/>
            </w:tcBorders>
            <w:shd w:fill="1A6B72" w:val="clear"/>
            <w:tcMar>
              <w:top w:type="dxa" w:w="80"/>
              <w:left w:type="dxa" w:w="120"/>
              <w:bottom w:type="dxa" w:w="80"/>
              <w:right w:type="dxa" w:w="120"/>
            </w:tcMar>
            <w:vAlign w:val="center"/>
          </w:tcPr>
          <w:p>
            <w:pPr>
              <w:spacing w:after="120" w:before="0"/>
              <w:jc w:val="center"/>
            </w:pPr>
            <w:r>
              <w:rPr>
                <w:rFonts w:ascii="Arial" w:cs="Arial" w:eastAsia="Arial" w:hAnsi="Arial"/>
                <w:b/>
                <w:bCs/>
                <w:i w:val="false"/>
                <w:iCs w:val="false"/>
                <w:color w:val="FFFFFF"/>
                <w:sz w:val="20"/>
                <w:szCs w:val="20"/>
              </w:rPr>
              <w:t xml:space="preserve">Ý nghĩa</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20"/>
                <w:szCs w:val="20"/>
              </w:rPr>
              <w:t xml:space="preserve">Mô tả</w:t>
            </w:r>
          </w:p>
        </w:tc>
        <w:tc>
          <w:tcPr>
            <w:tcW w:type="dxa" w:w="7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20"/>
                <w:szCs w:val="20"/>
              </w:rPr>
              <w:t xml:space="preserve">Giải thích feature là gì và tại sao nó xuất hiện trong dữ liệu</w:t>
            </w:r>
          </w:p>
        </w:tc>
      </w:tr>
      <w:tr>
        <w:tc>
          <w:tcPr>
            <w:tcW w:type="dxa" w:w="20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20"/>
                <w:szCs w:val="20"/>
              </w:rPr>
              <w:t xml:space="preserve">Loại</w:t>
            </w:r>
          </w:p>
        </w:tc>
        <w:tc>
          <w:tcPr>
            <w:tcW w:type="dxa" w:w="73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20"/>
                <w:szCs w:val="20"/>
              </w:rPr>
              <w:t xml:space="preserve">Raw = lấy trực tiếp từ dataset gốc (có thể sau cleaning/pivot). Derived = tính toán từ 1+ cột gốc.</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20"/>
                <w:szCs w:val="20"/>
              </w:rPr>
              <w:t xml:space="preserve">Logic biến đổi</w:t>
            </w:r>
          </w:p>
        </w:tc>
        <w:tc>
          <w:tcPr>
            <w:tcW w:type="dxa" w:w="7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20"/>
                <w:szCs w:val="20"/>
              </w:rPr>
              <w:t xml:space="preserve">Các bước cụ thể DE cần thực hiện để tạo ra feature này trong pipeline</w:t>
            </w:r>
          </w:p>
        </w:tc>
      </w:tr>
      <w:tr>
        <w:tc>
          <w:tcPr>
            <w:tcW w:type="dxa" w:w="20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20"/>
                <w:szCs w:val="20"/>
              </w:rPr>
              <w:t xml:space="preserve">Insight</w:t>
            </w:r>
          </w:p>
        </w:tc>
        <w:tc>
          <w:tcPr>
            <w:tcW w:type="dxa" w:w="73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20"/>
                <w:szCs w:val="20"/>
              </w:rPr>
              <w:t xml:space="preserve">Thông tin kinh tế có thể rút ra — phục vụ DA phân tích và AI xây model</w:t>
            </w:r>
          </w:p>
        </w:tc>
      </w:tr>
      <w:tr>
        <w:tc>
          <w:tcPr>
            <w:tcW w:type="dxa" w:w="20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20"/>
                <w:szCs w:val="20"/>
              </w:rPr>
              <w:t xml:space="preserve">Phụ thuộc</w:t>
            </w:r>
          </w:p>
        </w:tc>
        <w:tc>
          <w:tcPr>
            <w:tcW w:type="dxa" w:w="73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20"/>
                <w:szCs w:val="20"/>
              </w:rPr>
              <w:t xml:space="preserve">Feature này dùng độc lập hay cần kết hợp với feature khác / dataset khác</w:t>
            </w:r>
          </w:p>
        </w:tc>
      </w:tr>
    </w:tbl>
    <w:p>
      <w:pPr>
        <w:spacing w:after="120" w:before="0"/>
        <w:jc w:val="left"/>
      </w:pPr>
      <w:r>
        <w:rPr>
          <w:rFonts w:ascii="Arial" w:cs="Arial" w:eastAsia="Arial" w:hAnsi="Arial"/>
          <w:b w:val="false"/>
          <w:bCs w:val="false"/>
          <w:i w:val="false"/>
          <w:iCs w:val="false"/>
          <w:color w:val="000000"/>
          <w:sz w:val="10"/>
          <w:szCs w:val="10"/>
        </w:rPr>
        <w:t xml:space="preserve"/>
      </w:r>
    </w:p>
    <w:p>
      <w:r>
        <w:br w:type="page"/>
      </w:r>
    </w:p>
    <w:p>
      <w:pPr>
        <w:spacing w:after="120" w:before="0"/>
        <w:jc w:val="left"/>
      </w:pPr>
      <w:r>
        <w:rPr>
          <w:rFonts w:ascii="Arial" w:cs="Arial" w:eastAsia="Arial" w:hAnsi="Arial"/>
          <w:b w:val="false"/>
          <w:bCs w:val="false"/>
          <w:i w:val="false"/>
          <w:iCs w:val="false"/>
          <w:color w:val="000000"/>
          <w:sz w:val="8"/>
          <w:szCs w:val="8"/>
        </w:rPr>
        <w:t xml:space="preserve"/>
      </w:r>
    </w:p>
    <w:p>
      <w:pPr>
        <w:pStyle w:val="Heading1"/>
        <w:pBdr>
          <w:bottom w:val="single" w:color="FFFFFF" w:sz="8"/>
        </w:pBdr>
        <w:shd w:fill="1F3864" w:val="clear"/>
        <w:spacing w:after="0" w:before="300"/>
        <w:jc w:val="left"/>
      </w:pPr>
      <w:r>
        <w:rPr>
          <w:rFonts w:ascii="Arial" w:cs="Arial" w:eastAsia="Arial" w:hAnsi="Arial"/>
          <w:b/>
          <w:bCs/>
          <w:i w:val="false"/>
          <w:iCs w:val="false"/>
          <w:color w:val="FFFFFF"/>
          <w:sz w:val="32"/>
          <w:szCs w:val="32"/>
        </w:rPr>
        <w:t xml:space="preserve">Dataset 1: Macro-Statistics_Key_Indicators_E_All_Data_(Normalized)</w:t>
      </w:r>
    </w:p>
    <w:p>
      <w:pPr>
        <w:shd w:fill="1F3864" w:val="clear"/>
        <w:spacing w:after="160" w:before="0"/>
        <w:jc w:val="left"/>
      </w:pPr>
      <w:r>
        <w:rPr>
          <w:rFonts w:ascii="Arial" w:cs="Arial" w:eastAsia="Arial" w:hAnsi="Arial"/>
          <w:b w:val="false"/>
          <w:bCs w:val="false"/>
          <w:i/>
          <w:iCs/>
          <w:color w:val="D6E4F0"/>
          <w:sz w:val="20"/>
          <w:szCs w:val="20"/>
        </w:rPr>
        <w:t xml:space="preserve">Nguồn: FAO | Dạng: Long/Normalized | Phạm vi: Toàn cầu, lọc 87 quốc gia</w:t>
      </w:r>
    </w:p>
    <w:p>
      <w:pPr>
        <w:spacing w:after="120" w:before="0"/>
        <w:jc w:val="left"/>
      </w:pPr>
      <w:r>
        <w:rPr>
          <w:rFonts w:ascii="Arial" w:cs="Arial" w:eastAsia="Arial" w:hAnsi="Arial"/>
          <w:b w:val="false"/>
          <w:bCs w:val="false"/>
          <w:i w:val="false"/>
          <w:iCs w:val="false"/>
          <w:color w:val="000000"/>
          <w:sz w:val="6"/>
          <w:szCs w:val="6"/>
        </w:rPr>
        <w:t xml:space="preserve"/>
      </w:r>
    </w:p>
    <w:p>
      <w:pPr>
        <w:spacing w:after="120" w:before="0"/>
        <w:jc w:val="left"/>
      </w:pPr>
      <w:r>
        <w:rPr>
          <w:rFonts w:ascii="Arial" w:cs="Arial" w:eastAsia="Arial" w:hAnsi="Arial"/>
          <w:b w:val="false"/>
          <w:bCs w:val="false"/>
          <w:i w:val="false"/>
          <w:iCs w:val="false"/>
          <w:color w:val="000000"/>
          <w:sz w:val="6"/>
          <w:szCs w:val="6"/>
        </w:rPr>
        <w:t xml:space="preserve"/>
      </w:r>
    </w:p>
    <w:p>
      <w:pPr>
        <w:pStyle w:val="Heading2"/>
        <w:shd w:fill="2E75B6" w:val="clear"/>
        <w:spacing w:after="100" w:before="200"/>
      </w:pPr>
      <w:r>
        <w:rPr>
          <w:rFonts w:ascii="Arial" w:cs="Arial" w:eastAsia="Arial" w:hAnsi="Arial"/>
          <w:b/>
          <w:bCs/>
          <w:i w:val="false"/>
          <w:iCs w:val="false"/>
          <w:color w:val="FFFFFF"/>
          <w:sz w:val="24"/>
          <w:szCs w:val="24"/>
        </w:rPr>
        <w:t xml:space="preserve">DANH SÁCH FEATURE – DATASET 1</w:t>
      </w:r>
    </w:p>
    <w:p>
      <w:pPr>
        <w:spacing w:after="120" w:before="0"/>
        <w:jc w:val="left"/>
      </w:pPr>
      <w:r>
        <w:rPr>
          <w:rFonts w:ascii="Arial" w:cs="Arial" w:eastAsia="Arial" w:hAnsi="Arial"/>
          <w:b w:val="false"/>
          <w:bCs w:val="false"/>
          <w:i w:val="false"/>
          <w:iCs w:val="false"/>
          <w:color w:val="000000"/>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F1.1 — country (Quốc gia)</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Tên quốc gia lấy từ cột Area. Dataset gốc ở dạng chuẩn hóa (long format), mỗi dòng là một quan sát (quốc gia × chỉ tiêu × năm). Cần lọc chỉ giữ 87 quốc gia trong danh sách yêu cầu.</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Raw — sau lọc &amp; chuẩn hóa</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Lọc Area IN (danh sách 87 nước).
2. Chuẩn hóa tên: strip khoảng trắng, thống nhất encoding UTF-8.
3. Map sang ISO3 để join với các dataset khác.
4. Label-encode hoặc One-Hot khi đưa vào mô hình ML.</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Cho phép phân nhóm và so sánh các chỉ tiêu kinh tế theo quốc gia. | Sau khi map sang ISO3, có thể join với GMD và WDiCSV để tạo bức tranh đa chiều.</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cột ISO3 của GMD và country_name của WDiCSV để join cross-dataset. Giả thuyết: Các nước có cùng nhóm thu nhập (income_group) có xu hướng chia sẻ cấu trúc giá trị gia tăng ngành tương tự.</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F1.2 — year (Năm)</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Cột Year dùng làm trục thời gian. Dataset FAO thường có dữ liệu từ năm 1970 trở đi. Là key để tạo time-series và tính toán tốc độ tăng trưởng.</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Raw — chuẩn hóa kiểu số nguyên</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Ép kiểu sang integer (int16).
2. Lọc khoảng năm phù hợp với các dataset còn lại (ví dụ 1990–2022).
3. Tạo cột decade = (year // 10) * 10 để phân nhóm thập kỷ.
4. Dùng làm index trong pivot table.</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Cho phép phân tích xu hướng dài hạn (trend analysis) và phát hiện điểm đột biến (structural break). | Cột decade giúp DA so sánh hiệu suất kinh tế theo từng thập kỷ dễ hơn.</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value của bất kỳ Item nào để tính YoY growth. Kết hợp với crisis indicators trong GMD (SovDebtCrisis, BankingCrisis) để xác định xem các cú sốc có làm gián đoạn xu hướng tăng trưởng không.</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F1.3 — GDP_value (Tổng sản phẩm quốc nội)</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Giá trị GDP lấy từ dòng có Item = "Gross Domestic Product" (ItemCode 22008), đơn vị SLC (Standard Local Currency). Là chỉ tiêu nền tảng để tính tỷ trọng các ngành.</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Raw — sau pivot từ long sang wide</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Lọc Item == "Gross Domestic Product".
2. Pivot: index=(Area, Year), values=Value → tạo cột GDP_SLC.
3. Xử lý null: interpolate tuyến tính nếu thiếu ít hơn 3 năm liên tiếp, đánh dấu flag nếu thiếu nhiều hơn.
4. Normalize bằng log1p nếu dùng cho ML.</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Là mẫu số để tính tỷ trọng đầu tư, nông nghiệp, sản xuất so với toàn bộ nền kinh tế. | So sánh GDP SLC theo thời gian phản ánh tăng trưởng danh nghĩa; cần deflator để có tăng trưởng thực.</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GFCF_value, Agri_VA, Manuf_VA trong cùng dataset để tính tỷ trọng ngành. Join với rGDP từ GMD để kiểm tra chéo và tính hệ số deflator riêng.</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F1.4 — GFCF_value (Tổng hình thành vốn cố định)</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Gross Fixed Capital Formation — đo lường đầu tư vào tài sản cố định (máy móc, hạ tầng, công trình). Lấy từ ItemCode 22015.</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Raw — sau pivot</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Lọc Item == "Gross Fixed Capital Formation", pivot tương tự F1.3.
2. Kiểm tra tính nhất quán đơn vị (phải cùng SLC với GDP).
3. Tính GFCF_to_GDP = GFCF_value / GDP_value × 100.</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Tỷ lệ GFCF/GDP cho biết mức độ tái đầu tư của nền kinh tế. Các nước đang phát triển thường cần tỷ lệ này &gt; 25% để duy trì tăng trưởng bền vững. | Tăng GFCF kéo theo tăng GDP trong dài hạn (cơ chế multiplier đầu tư).</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GDP_value (F1.3) để tính tỷ lệ. So sánh với inv_GDP trong GMD để kiểm tra chéo. Giả thuyết: Quốc gia có GFCF/GDP cao liên tục &gt; 5 năm thường đạt tốc độ tăng rGDP_pc cao hơn trung bình.</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F1.5 — GNI_to_GDP (Tỷ lệ Thu nhập Quốc dân / GDP)</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GNI (Gross National Income, ItemCode 22011) khác GDP ở chỗ tính thêm thu nhập từ nước ngoài chuyển về và trừ đi phần thu nhập chuyển ra nước ngoài. Tỷ lệ GNI/GDP phản ánh mức độ phụ thuộc vào kiều hối và FDI.</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Derived — tính từ GNI_value / GDP_value</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Pivot cả GNI và GDP.
2. GNI_to_GDP = GNI_value / GDP_value.
3. Phân loại: &lt;0.95 = phụ thuộc FDI nhiều, 0.95–1.05 = cân bằng, &gt;1.05 = kiều hối lớn.</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Nếu GNI &lt; GDP → phần lớn thu nhập sản xuất trong nước chảy ra ngoài (FDI repatriation). | Nếu GNI &gt; GDP → quốc gia nhận kiều hối lớn (ví dụ Philippines, Bangladesh). Chỉ số này quan trọng khi phân tích phúc lợi thực sự của người dân.</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CA_GDP trong GMD (current account) để kiểm tra tính nhất quán. Kết hợp với rGDP_pc_USD để thấy rõ chênh lệch giữa sản xuất và thu nhập thực tế của dân.</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F1.6 — agri_va_share (Tỷ trọng giá trị gia tăng nông nghiệp/GDP)</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Tỷ lệ phần trăm đóng góp của ngành nông nghiệp (kể cả lâm nghiệp, thủy sản) vào GDP. Lấy từ ItemCode 22016 (Value Added Agriculture, Forestry and Fishing) chia cho GDP.</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Derived — VA_Agri / GDP × 100</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Pivot VA_Agri (ItemCode 22016) và GDP (22008).
2. agri_va_share = VA_Agri / GDP × 100.
3. Phân loại: &gt;30% = nông nghiệp là trụ cột, 10–30% = đang chuyển dịch, &lt;10% = đã công nghiệp hóa.</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Tỷ trọng nông nghiệp giảm theo thời gian là dấu hiệu chuyển dịch cơ cấu kinh tế (structural transformation) — quy luật phổ biến trong phát triển kinh tế. | Quốc gia có agri_va_share &gt; 25% thường có GDP per capita thấp, tỷ lệ nghèo đói cao hơn.</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Poverty headcount (WDiCSV) — Giả thuyết: agri_va_share cao tương quan thuận với tỷ lệ nghèo đói. Kết hợp với manuf_va_share (F1.7) để tính chỉ số dịch chuyển cơ cấu ngành.</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F1.7 — manuf_va_share (Tỷ trọng giá trị gia tăng sản xuất/GDP)</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Tỷ trọng ngành sản xuất (Total Manufacturing, ItemCode 22075) trong GDP. Là chỉ số công nghiệp hóa của nền kinh tế.</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Derived — VA_Manuf / GDP × 100</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Pivot VA_Manuf (22075) và GDP.
2. manuf_va_share = VA_Manuf / GDP × 100.
3. Tính YoY change để xem xu hướng de-industrialization hay re-industrialization.</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Tăng manuf_va_share thường đi kèm tăng việc làm công nghiệp và xuất khẩu hàng hóa. | Các nước có manuf_va_share giảm liên tục (ví dụ nhiều nước phương Tây) có thể đang trải qua quá trình dịch chuyển sang dịch vụ — cần đối chiếu với dữ liệu dịch vụ để xác nhận.</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agri_va_share (F1.6) để vẽ biểu đồ tam giác cơ cấu ngành (nông nghiệp – công nghiệp – dịch vụ). Kết hợp với exports_GDP (GMD) — Giả thuyết: Nước có manuf_va_share cao thường có tỷ lệ xuất khẩu hàng hóa lớn hơn.</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F1.8 — food_bev_share_manuf (Tỷ trọng thực phẩm &amp; đồ uống trong sản xuất)</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Tỷ lệ giá trị gia tăng ngành thực phẩm &amp; đồ uống (ItemCode 22077) so với toàn ngành sản xuất (22075). Phản ánh mức độ chế biến thực phẩm trong chuỗi sản xuất.</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Derived — VA_FoodBev / VA_Manuf × 100</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Pivot VA_FoodBev (22077) và VA_Manuf (22075).
2. food_bev_share_manuf = VA_FoodBev / VA_Manuf × 100.
3. Winsorize ở 99th percentile để loại outlier do lỗi dữ liệu.</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Tỷ lệ cao cho thấy ngành sản xuất còn tập trung ở mức sơ chế, chưa đa dạng hóa sang công nghiệp nặng hay công nghệ cao. | Giảm theo thời gian → nền kinh tế đang đa dạng hóa cơ cấu sản xuất.</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agri_va_share (F1.6) — Giả thuyết: Nước có agri_va_share cao thường có food_bev_share_manuf cao vì nguyên liệu đầu vào dồi dào. Kết hợp với Exports (GMD) để xem sản phẩm thực phẩm có phải mặt hàng xuất khẩu chính không.</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F1.9 — GDP_growth_YoY (Tăng trưởng GDP danh nghĩa hằng năm)</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Tốc độ tăng trưởng năm-over-năm của GDP theo giá hiện hành (local currency). Là chỉ số phản ứng nhanh nhất với các biến động kinh tế.</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Derived — (GDP_t - GDP_{t-1}) / GDP_{t-1} × 100</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Sau pivot, sort by (country, year).
2. GDP_growth_YoY = GDP_SLC.pct_change() × 100 (groupby country).
3. Loại bỏ năm đầu tiên của mỗi quốc gia (NaN).
4. Capping ±50% để loại hyperinflation outlier (xử lý riêng sau).</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Xác định chu kỳ tăng trưởng và suy thoái (boom-bust cycles) theo từng quốc gia. | Là target variable quan trọng cho mô hình dự đoán tăng trưởng kinh tế (AI/ML).</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crisis indicators (GMD) để kiểm tra xem suy thoái có trùng với khủng hoảng tài chính không. Kết hợp với infl (GMD) để tính tăng trưởng thực: real_growth ≈ GDP_growth_YoY - infl.</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F1.10 — data_quality_flag (Cờ chất lượng dữ liệu)</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Cột Flag trong dataset FAO đánh dấu nguồn gốc và độ tin cậy của dữ liệu (ví dụ: X = unofficial, E = estimated, blank = official). Cần lưu lại để cảnh báo trong pipeline.</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Raw — categorical encoding</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Map Flag: official → 0, estimated → 1, unofficial/imputed → 2, missing → 3.
2. Tạo cột flag_score để filter hoặc weight trong model.
3. Khi tổng hợp: ưu tiên dùng dòng có flag_score = 0.</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Giúp DE và DA biết dòng dữ liệu nào đáng tin cậy để đưa vào pipeline chính thức. | Dữ liệu estimated hoặc unofficial có thể làm méo kết quả mô hình nếu không xử lý.</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Độc lập — dùng như metadata filter. Nên dùng flag_score kết hợp với mọi feature trong dataset này trước khi tính toán.</w:t>
            </w:r>
          </w:p>
        </w:tc>
      </w:tr>
    </w:tbl>
    <w:p>
      <w:pPr>
        <w:spacing w:after="120" w:before="0"/>
        <w:jc w:val="left"/>
      </w:pPr>
      <w:r>
        <w:rPr>
          <w:rFonts w:ascii="Arial" w:cs="Arial" w:eastAsia="Arial" w:hAnsi="Arial"/>
          <w:b w:val="false"/>
          <w:bCs w:val="false"/>
          <w:i w:val="false"/>
          <w:iCs w:val="false"/>
          <w:color w:val="000000"/>
          <w:sz w:val="10"/>
          <w:szCs w:val="10"/>
        </w:rPr>
        <w:t xml:space="preserve"/>
      </w:r>
    </w:p>
    <w:p>
      <w:r>
        <w:br w:type="page"/>
      </w:r>
    </w:p>
    <w:p>
      <w:pPr>
        <w:spacing w:after="120" w:before="0"/>
        <w:jc w:val="left"/>
      </w:pPr>
      <w:r>
        <w:rPr>
          <w:rFonts w:ascii="Arial" w:cs="Arial" w:eastAsia="Arial" w:hAnsi="Arial"/>
          <w:b w:val="false"/>
          <w:bCs w:val="false"/>
          <w:i w:val="false"/>
          <w:iCs w:val="false"/>
          <w:color w:val="000000"/>
          <w:sz w:val="8"/>
          <w:szCs w:val="8"/>
        </w:rPr>
        <w:t xml:space="preserve"/>
      </w:r>
    </w:p>
    <w:p>
      <w:pPr>
        <w:pStyle w:val="Heading1"/>
        <w:pBdr>
          <w:bottom w:val="single" w:color="FFFFFF" w:sz="8"/>
        </w:pBdr>
        <w:shd w:fill="1F3864" w:val="clear"/>
        <w:spacing w:after="0" w:before="300"/>
        <w:jc w:val="left"/>
      </w:pPr>
      <w:r>
        <w:rPr>
          <w:rFonts w:ascii="Arial" w:cs="Arial" w:eastAsia="Arial" w:hAnsi="Arial"/>
          <w:b/>
          <w:bCs/>
          <w:i w:val="false"/>
          <w:iCs w:val="false"/>
          <w:color w:val="FFFFFF"/>
          <w:sz w:val="32"/>
          <w:szCs w:val="32"/>
        </w:rPr>
        <w:t xml:space="preserve">Dataset 2: GMD — Global Macro Database</w:t>
      </w:r>
    </w:p>
    <w:p>
      <w:pPr>
        <w:shd w:fill="1F3864" w:val="clear"/>
        <w:spacing w:after="160" w:before="0"/>
        <w:jc w:val="left"/>
      </w:pPr>
      <w:r>
        <w:rPr>
          <w:rFonts w:ascii="Arial" w:cs="Arial" w:eastAsia="Arial" w:hAnsi="Arial"/>
          <w:b w:val="false"/>
          <w:bCs w:val="false"/>
          <w:i/>
          <w:iCs/>
          <w:color w:val="D6E4F0"/>
          <w:sz w:val="20"/>
          <w:szCs w:val="20"/>
        </w:rPr>
        <w:t xml:space="preserve">Nguồn: Global Macro Database | Dạng: Wide | Phạm vi: Đa quốc gia, chuỗi thời gian dài</w:t>
      </w:r>
    </w:p>
    <w:p>
      <w:pPr>
        <w:spacing w:after="120" w:before="0"/>
        <w:jc w:val="left"/>
      </w:pPr>
      <w:r>
        <w:rPr>
          <w:rFonts w:ascii="Arial" w:cs="Arial" w:eastAsia="Arial" w:hAnsi="Arial"/>
          <w:b w:val="false"/>
          <w:bCs w:val="false"/>
          <w:i w:val="false"/>
          <w:iCs w:val="false"/>
          <w:color w:val="000000"/>
          <w:sz w:val="6"/>
          <w:szCs w:val="6"/>
        </w:rPr>
        <w:t xml:space="preserve"/>
      </w:r>
    </w:p>
    <w:p>
      <w:pPr>
        <w:spacing w:after="120" w:before="0"/>
        <w:jc w:val="left"/>
      </w:pPr>
      <w:r>
        <w:rPr>
          <w:rFonts w:ascii="Arial" w:cs="Arial" w:eastAsia="Arial" w:hAnsi="Arial"/>
          <w:b w:val="false"/>
          <w:bCs w:val="false"/>
          <w:i w:val="false"/>
          <w:iCs w:val="false"/>
          <w:color w:val="000000"/>
          <w:sz w:val="6"/>
          <w:szCs w:val="6"/>
        </w:rPr>
        <w:t xml:space="preserve"/>
      </w:r>
    </w:p>
    <w:p>
      <w:pPr>
        <w:pStyle w:val="Heading2"/>
        <w:shd w:fill="2E75B6" w:val="clear"/>
        <w:spacing w:after="100" w:before="200"/>
      </w:pPr>
      <w:r>
        <w:rPr>
          <w:rFonts w:ascii="Arial" w:cs="Arial" w:eastAsia="Arial" w:hAnsi="Arial"/>
          <w:b/>
          <w:bCs/>
          <w:i w:val="false"/>
          <w:iCs w:val="false"/>
          <w:color w:val="FFFFFF"/>
          <w:sz w:val="24"/>
          <w:szCs w:val="24"/>
        </w:rPr>
        <w:t xml:space="preserve">DANH SÁCH FEATURE – DATASET 2</w:t>
      </w:r>
    </w:p>
    <w:p>
      <w:pPr>
        <w:spacing w:after="120" w:before="0"/>
        <w:jc w:val="left"/>
      </w:pPr>
      <w:r>
        <w:rPr>
          <w:rFonts w:ascii="Arial" w:cs="Arial" w:eastAsia="Arial" w:hAnsi="Arial"/>
          <w:b w:val="false"/>
          <w:bCs w:val="false"/>
          <w:i w:val="false"/>
          <w:iCs w:val="false"/>
          <w:color w:val="000000"/>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F2.1 — rGDP_growth_YoY (Tăng trưởng GDP thực hằng năm)</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Tốc độ tăng trưởng GDP thực (loại trừ lạm phát) tính từ cột rGDP. Đây là chỉ số tăng trưởng kinh tế chuẩn nhất — phản ánh tăng sản lượng thực sự, không bị bóp méo bởi lạm phát.</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Derived — pct_change của rGDP theo năm, groupby country</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Sort by (countryname, year).
2. rGDP_growth_YoY = rGDP.pct_change() × 100 per country.
3. Xử lý outlier: nếu |growth| &gt; 30%, kiểm tra xem có dữ liệu thiếu hay đứt chuỗi không.
4. Tính rolling_mean_5yr = rolling(5).mean() để làm mượt xu hướng dài hạn.</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Target variable chính cho mô hình dự báo tăng trưởng kinh tế (AI/ML). | Rolling 5-year average giúp DA phân biệt tăng trưởng cấu trúc với biến động ngắn hạn.</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SovDebtCrisis, BankingCrisis, CurrencyCrisis để kiểm tra: Giả thuyết: Năm xảy ra khủng hoảng (crisis=1) thường có rGDP_growth_YoY âm hoặc giảm mạnh hơn 3 điểm %. Kết hợp với GDP_growth_YoY từ DS1 (FAO) để cross-validate.</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F2.2 — rGDP_pc_USD (GDP thực bình quân đầu người - USD)</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Cột rGDP_pc_USD là GDP thực tế tính bình quân đầu người, quy đổi sang USD. Là thước đo tiêu chuẩn nhất về mức sống và trình độ phát triển kinh tế của một quốc gia.</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Raw — chuẩn hóa log nếu dùng cho ML</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Kiểm tra missing: interpolate nếu thiếu ≤2 năm.
2. log_rGDP_pc_USD = log(rGDP_pc_USD + 1) — dùng trong ML để giảm skewness.
3. Phân nhóm phát triển: &lt;1000 = thấp, 1000–5000 = trung bình thấp, 5000–15000 = trung bình cao, &gt;15000 = cao.</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So sánh ngang (cross-country) mức độ giàu có thực tế giữa các nước. | Phân nhóm phát triển giúp AI chia dataset thành các cụm để xây mô hình riêng phù hợp hơn.</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Poverty headcount (WDiCSV) — Giả thuyết: Nước có rGDP_pc_USD &lt; 2000 có tỷ lệ dân sống dưới $3/ngày trên 20%. Kết hợp với income_group để kiểm tra tính nhất quán phân loại.</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F2.3 — trade_balance_GDP (Cán cân thương mại / GDP)</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Cán cân thương mại hàng hóa &amp; dịch vụ = exports_GDP − imports_GDP. Dương → thặng dư (xuất khẩu nhiều hơn), âm → thâm hụt (nhập khẩu nhiều hơn).</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Derived — exports_GDP - imports_GDP</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trade_balance_GDP = exports_GDP - imports_GDP.
2. Phân loại: &gt;3% = surplus mạnh, -3% đến 3% = cân bằng, &lt;-3% = deficit mạnh.
3. Tính rolling_3yr để giảm noise do biến động giá hàng hóa.</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Thâm hụt thương mại kéo dài thường tạo áp lực lên tỷ giá và dự trữ ngoại tệ. | Thặng dư thương mại lớn (ví dụ Germany, China) có thể phản ánh năng lực cạnh tranh xuất khẩu.</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CA_GDP (current account) vì cán cân thương mại là thành phần lớn nhất của current account. Kết hợp với REER_change (F2.6) — Giả thuyết: REER tăng (đồng nội tệ lên giá thực) thường dẫn đến trade_balance_GDP giảm sau 1–2 năm.</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F2.4 — hcons_share (Tỷ trọng tiêu dùng hộ gia đình / GDP)</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Household consumption as % of GDP (cột hcons_GDP). Đây là thành phần lớn nhất trong GDP theo phương pháp chi tiêu ở hầu hết các nền kinh tế.</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Raw (hcons_GDP)</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Kiểm tra: hcons_GDP + gcons_GDP + inv_GDP + exports_GDP - imports_GDP ≈ 100% (kiểm tra nhất quán nội bộ).
2. Tính hcons_growth = hcons_USD.pct_change() × 100.
3. Phân loại: &gt;60% = consumption-driven economy, &lt;50% = investment/export-driven.</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Nền kinh tế phụ thuộc tiêu dùng nội địa (hcons_share &gt; 65%) dễ bị tổn thương khi thu nhập hộ gia đình giảm (khủng hoảng, thất nghiệp). | Tăng hcons_growth mà không đi kèm tăng thu nhập thực → có thể là tín hiệu vay nợ tiêu dùng quá mức.</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unemp (thất nghiệp) — Giả thuyết: Tỷ lệ thất nghiệp tăng → hcons_growth giảm với độ trễ 1–2 quý. Kết hợp với infl để xem tiêu dùng tăng do số lượng hay giá cả.</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F2.5 — fiscal_balance_GDP (Cân bằng ngân sách / GDP)</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Thặng dư/thâm hụt ngân sách chính phủ = govrev_GDP − govexp_GDP. Âm → thâm hụt (chi nhiều hơn thu), dương → thặng dư.</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Derived — govrev_GDP - govexp_GDP</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fiscal_balance_GDP = govrev_GDP - govexp_GDP.
2. Cross-check với govdef_GDP (cột sẵn có): fiscal_balance_GDP ≈ -govdef_GDP.
3. Tính cumulative_deficit_5yr = rolling(5).sum() để xem xu hướng tích lũy thâm hụt.</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Thâm hụt liên tục &gt; 3% GDP (ngưỡng Maastricht) có thể dẫn đến tích lũy nợ công nguy hiểm. | cumulative_deficit_5yr phản ánh xu hướng tài khóa dài hạn — quan trọng hơn giá trị đơn lẻ từng năm.</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govdebt_GDP — Giả thuyết: Tích lũy thâm hụt kéo dài dẫn đến govdebt_GDP tăng, cuối cùng có thể kích hoạt SovDebtCrisis. Kết hợp với ltrate (lãi suất dài hạn) vì nợ công cao thường đẩy lãi suất lên.</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F2.6 — govdebt_GDP (Nợ công / GDP)</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Tỷ lệ nợ chính phủ so với GDP (cột govdebt_GDP). Là chỉ số bền vững tài khóa quan trọng nhất.</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Raw</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Kiểm tra missing: nợ công thường có nhiều missing hơn GDP.
2. Phân ngưỡng rủi ro: &lt;40% = thấp, 40–60% = vừa, 60–90% = cao, &gt;90% = rất cao.
3. Tính debt_change_YoY = govdebt_GDP.diff() để xem tốc độ tích lũy nợ.</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Ngưỡng &gt;90% GDP tương quan mạnh với tăng trưởng thấp hơn dài hạn (theo nhiều nghiên cứu thực nghiệm). | Debt_change_YoY &gt; 5 điểm % trong 3 năm liên tiếp là dấu hiệu cảnh báo sớm khủng hoảng nợ.</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SovDebtCrisis (binary) để xây mô hình phân loại: Khi nào govdebt_GDP đạt mức nguy hiểm → SovDebtCrisis = 1. Kết hợp với ltrate: Nợ cao → investors đòi premium → ltrate tăng.</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F2.7 — real_interest_rate (Lãi suất thực)</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Lãi suất thực = lãi suất dài hạn (ltrate) trừ lạm phát (infl). Phản ánh chi phí vay vốn thực sự sau khi điều chỉnh lạm phát — quan trọng với quyết định đầu tư.</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Derived — ltrate - infl</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real_interest_rate = ltrate - infl.
2. Xử lý: nếu infl rất cao (&gt;20%), real_interest_rate có thể âm sâu — giữ nguyên nhưng đánh dấu flag.
3. Phân loại: &lt;0% = âm (kích thích vay), 0–3% = bình thường, &gt;5% = hạn chế đầu tư.</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Lãi suất thực âm (real_interest_rate &lt; 0) kích thích đầu tư và tiêu dùng nhưng có thể tạo bong bóng tài sản. | Lãi suất thực cao (&gt;5%) thường xảy ra khi NHTW thắt chặt tiền tệ để kiềm chế lạm phát — dẫn đến inv_GDP giảm.</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inv_GDP (đầu tư/GDP) — Giả thuyết: real_interest_rate tăng → inv_GDP giảm với độ trễ 1–2 năm. Kết hợp với HPI (giá nhà) — lãi suất thực âm thường đi kèm bong bóng bất động sản (HPI tăng mạnh).</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F2.8 — M2_growth (Tăng trưởng cung tiền M2)</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Tốc độ tăng trưởng cung tiền M2 hằng năm. M2 bao gồm tiền mặt + tiền gửi ngắn hạn + tiền gửi tiết kiệm. Là chỉ số thanh khoản và áp lực lạm phát tiềm tàng.</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Derived — M2.pct_change() × 100 per country</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Sort by (countryname, year), tính M2_growth = M2.pct_change() × 100.
2. Loại bỏ nếu M2 = 0 hoặc âm (lỗi dữ liệu).
3. Tính M2_to_GDP = M2 / nGDP_USD × 100 (monetization ratio).</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M2_growth vượt 15%/năm thường là dấu hiệu cảnh báo lạm phát trong 12–18 tháng tới (quantity theory of money). | M2_to_GDP cao phản ánh hệ thống tài chính phát triển hoặc rủi ro thanh khoản dư thừa.</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infl: Giả thuyết: M2_growth cao liên tục → infl tăng với độ trễ 1–2 năm (truyền dẫn tiền tệ). Kết hợp với cbrate: NHTW thường nâng cbrate khi M2_growth và infl cùng tăng.</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F2.9 — crisis_composite (Chỉ số khủng hoảng tổng hợp)</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3 cột binary: SovDebtCrisis, CurrencyCrisis, BankingCrisis thành một chỉ số duy nhất. Cho phép phân tích đa chiều về các cú sốc kinh tế.</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Derived — tổng 3 cột binary</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crisis_composite = SovDebtCrisis + CurrencyCrisis + BankingCrisis (range 0–3).
2. crisis_any = 1 nếu crisis_composite &gt;= 1, else 0.
3. Tạo cột crisis_type: phân loại loại khủng hoảng chính (nếu 1 loại = 1) hoặc "systemic" nếu composite = 3.</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Khủng hoảng "systemic" (composite=3) hiếm nhưng tác động rất nặng — điển hình 2008-2009. | crisis_any là biến mục tiêu (target) cho mô hình phân loại cảnh báo sớm khủng hoảng (Early Warning System).</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govdebt_GDP, M2_growth, real_interest_rate, REER để xây Early Warning Model: Giả thuyết: Tổ hợp (nợ cao + cung tiền tăng nhanh + REER đánh giá quá cao) tăng xác suất crisis_any = 1 trong 2 năm tới. Là feature quan trọng nhất cho AI/ML team.</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F2.10 — REER_overvaluation (Định giá thực tế hối đoái)</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Real Effective Exchange Rate (REER) đo giá trị đồng nội tệ so với rổ ngoại tệ đã điều chỉnh lạm phát. Biến đổi đo mức tăng/giảm và phát hiện overvaluation.</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Derived — REER so với trung bình 5 năm</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REER_ma5 = REER.rolling(5).mean() per country.
2. REER_deviation = (REER - REER_ma5) / REER_ma5 × 100.
3. Flag: nếu REER_deviation &gt; +15% liên tục 2 năm → đánh dấu "overvalued".</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REER overvalued → xuất khẩu kém cạnh tranh → trade_balance_GDP xấu đi → áp lực phá giá đồng nội tệ. | Phá giá đột ngột sau giai đoạn REER quá cao thường kích hoạt CurrencyCrisis.</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trade_balance_GDP (F2.3) và CurrencyCrisis. Giả thuyết: REER_deviation &gt; 20% kéo dài 3 năm → xác suất CurrencyCrisis trong 2 năm tiếp theo tăng đáng kể.</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F2.11 — tax_burden &amp; spending_efficiency (Gánh nặng thuế &amp; hiệu quả chi tiêu)</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govtax_GDP: tỷ lệ thu thuế/GDP (năng lực tài khóa). Kết hợp với govexp_GDP và rGDP_growth để đo lường hiệu quả chi tiêu công: mỗi % GDP chi tiêu công tạo ra bao nhiêu % tăng trưởng.</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Raw (govtax_GDP) + Derived (spending_efficiency)</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govtax_GDP: giữ nguyên, phân loại &lt;15% = năng lực tài khóa thấp, 15–25% = trung bình, &gt;25% = cao.
2. spending_efficiency = rGDP_growth_YoY / govexp_GDP (ratio — cao hơn là tốt hơn).
3. Tính rolling 3-year của spending_efficiency.</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Nước có govtax_GDP thấp (&lt;15%) khó duy trì đầu tư công và cơ sở hạ tầng. | spending_efficiency cao nhưng govtax_GDP thấp có thể có nghĩa là chi tiêu nhắm đúng mục tiêu — hoặc dữ liệu không đầy đủ.</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Tax revenue (WDiCSV) để cross-validate govtax_GDP. Kết hợp với rGDP_growth_YoY để phân tích: Nước nào chi nhiều nhưng tăng trưởng thấp → non-productive spending.</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F2.12 — income_group (Nhóm thu nhập — encoded)</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Cột income_group phân loại quốc gia theo nhóm thu nhập (theo World Bank: Low, Lower-Middle, Upper-Middle, High). Dùng như biến phân nhóm trong phân tích và như feature phân loại trong ML.</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Raw — categorical, cần encoding</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Ordinal encode: Low=0, Lower-Middle=1, Upper-Middle=2, High=3.
2. One-Hot encode thêm 4 cột binary cho ML.
3. Cập nhật nếu quốc gia thay đổi nhóm theo năm (time-varying classification).</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Phân tầng theo income_group giúp DA so sánh nội nhóm — tránh so sánh Ethiopia với Germany. | income_group là strong prior trong mô hình ML: nhiều chỉ số kinh tế có phân phối rất khác nhau giữa các nhóm.</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mọi feature khác làm biến stratification. Đặc biệt hữu ích khi kết hợp với Poverty headcount (WDiCSV) và agri_va_share (DS1) để kiểm tra tính nhất quán của phân loại thu nhập.</w:t>
            </w:r>
          </w:p>
        </w:tc>
      </w:tr>
    </w:tbl>
    <w:p>
      <w:pPr>
        <w:spacing w:after="120" w:before="0"/>
        <w:jc w:val="left"/>
      </w:pPr>
      <w:r>
        <w:rPr>
          <w:rFonts w:ascii="Arial" w:cs="Arial" w:eastAsia="Arial" w:hAnsi="Arial"/>
          <w:b w:val="false"/>
          <w:bCs w:val="false"/>
          <w:i w:val="false"/>
          <w:iCs w:val="false"/>
          <w:color w:val="000000"/>
          <w:sz w:val="10"/>
          <w:szCs w:val="10"/>
        </w:rPr>
        <w:t xml:space="preserve"/>
      </w:r>
    </w:p>
    <w:p>
      <w:r>
        <w:br w:type="page"/>
      </w:r>
    </w:p>
    <w:p>
      <w:pPr>
        <w:spacing w:after="120" w:before="0"/>
        <w:jc w:val="left"/>
      </w:pPr>
      <w:r>
        <w:rPr>
          <w:rFonts w:ascii="Arial" w:cs="Arial" w:eastAsia="Arial" w:hAnsi="Arial"/>
          <w:b w:val="false"/>
          <w:bCs w:val="false"/>
          <w:i w:val="false"/>
          <w:iCs w:val="false"/>
          <w:color w:val="000000"/>
          <w:sz w:val="8"/>
          <w:szCs w:val="8"/>
        </w:rPr>
        <w:t xml:space="preserve"/>
      </w:r>
    </w:p>
    <w:p>
      <w:pPr>
        <w:pStyle w:val="Heading1"/>
        <w:pBdr>
          <w:bottom w:val="single" w:color="FFFFFF" w:sz="8"/>
        </w:pBdr>
        <w:shd w:fill="1F3864" w:val="clear"/>
        <w:spacing w:after="0" w:before="300"/>
        <w:jc w:val="left"/>
      </w:pPr>
      <w:r>
        <w:rPr>
          <w:rFonts w:ascii="Arial" w:cs="Arial" w:eastAsia="Arial" w:hAnsi="Arial"/>
          <w:b/>
          <w:bCs/>
          <w:i w:val="false"/>
          <w:iCs w:val="false"/>
          <w:color w:val="FFFFFF"/>
          <w:sz w:val="32"/>
          <w:szCs w:val="32"/>
        </w:rPr>
        <w:t xml:space="preserve">Dataset 3: WDiCSV — World Development Indicators</w:t>
      </w:r>
    </w:p>
    <w:p>
      <w:pPr>
        <w:shd w:fill="1F3864" w:val="clear"/>
        <w:spacing w:after="160" w:before="0"/>
        <w:jc w:val="left"/>
      </w:pPr>
      <w:r>
        <w:rPr>
          <w:rFonts w:ascii="Arial" w:cs="Arial" w:eastAsia="Arial" w:hAnsi="Arial"/>
          <w:b w:val="false"/>
          <w:bCs w:val="false"/>
          <w:i/>
          <w:iCs/>
          <w:color w:val="D6E4F0"/>
          <w:sz w:val="20"/>
          <w:szCs w:val="20"/>
        </w:rPr>
        <w:t xml:space="preserve">Nguồn: World Bank | Dạng: Wide (pivot theo indicator) | Phạm vi: 87 quốc gia được chọn</w:t>
      </w:r>
    </w:p>
    <w:p>
      <w:pPr>
        <w:spacing w:after="120" w:before="0"/>
        <w:jc w:val="left"/>
      </w:pPr>
      <w:r>
        <w:rPr>
          <w:rFonts w:ascii="Arial" w:cs="Arial" w:eastAsia="Arial" w:hAnsi="Arial"/>
          <w:b w:val="false"/>
          <w:bCs w:val="false"/>
          <w:i w:val="false"/>
          <w:iCs w:val="false"/>
          <w:color w:val="000000"/>
          <w:sz w:val="6"/>
          <w:szCs w:val="6"/>
        </w:rPr>
        <w:t xml:space="preserve"/>
      </w:r>
    </w:p>
    <w:p>
      <w:pPr>
        <w:spacing w:after="120" w:before="0"/>
        <w:jc w:val="left"/>
      </w:pPr>
      <w:r>
        <w:rPr>
          <w:rFonts w:ascii="Arial" w:cs="Arial" w:eastAsia="Arial" w:hAnsi="Arial"/>
          <w:b w:val="false"/>
          <w:bCs w:val="false"/>
          <w:i w:val="false"/>
          <w:iCs w:val="false"/>
          <w:color w:val="000000"/>
          <w:sz w:val="6"/>
          <w:szCs w:val="6"/>
        </w:rPr>
        <w:t xml:space="preserve"/>
      </w:r>
    </w:p>
    <w:p>
      <w:pPr>
        <w:pStyle w:val="Heading2"/>
        <w:shd w:fill="2E75B6" w:val="clear"/>
        <w:spacing w:after="100" w:before="200"/>
      </w:pPr>
      <w:r>
        <w:rPr>
          <w:rFonts w:ascii="Arial" w:cs="Arial" w:eastAsia="Arial" w:hAnsi="Arial"/>
          <w:b/>
          <w:bCs/>
          <w:i w:val="false"/>
          <w:iCs w:val="false"/>
          <w:color w:val="FFFFFF"/>
          <w:sz w:val="24"/>
          <w:szCs w:val="24"/>
        </w:rPr>
        <w:t xml:space="preserve">DANH SÁCH FEATURE – DATASET 3</w:t>
      </w:r>
    </w:p>
    <w:p>
      <w:pPr>
        <w:spacing w:after="120" w:before="0"/>
        <w:jc w:val="left"/>
      </w:pPr>
      <w:r>
        <w:rPr>
          <w:rFonts w:ascii="Arial" w:cs="Arial" w:eastAsia="Arial" w:hAnsi="Arial"/>
          <w:b w:val="false"/>
          <w:bCs w:val="false"/>
          <w:i w:val="false"/>
          <w:iCs w:val="false"/>
          <w:color w:val="000000"/>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F3.1 — unemployment_total (Tỷ lệ thất nghiệp tổng)</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"Unemployment, total (% of total labor force)" — Tỷ lệ phần trăm lực lượng lao động không có việc làm nhưng đang tích cực tìm kiếm. Nguồn ước tính ILO, có độ nhất quán cao giữa các nước.</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Raw</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Xử lý missing: thất nghiệp thường thiếu ở các nước thu nhập thấp — đánh dấu flag thay vì impute.
2. Tính unemp_change_YoY = diff() per country.
3. Phân loại: &lt;5% = thấp, 5–10% = vừa, &gt;10% = cao, &gt;20% = khủng hoảng việc làm.</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Thất nghiệp cao kéo dài → tiêu dùng giảm → vòng xoáy suy thoái. | unemp_change_YoY âm (thất nghiệp giảm) là dấu hiệu phục hồi kinh tế sớm hơn GDP growth.</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hcons_GDP (GMD) — Giả thuyết: unemp tăng 1% → hcons_GDP giảm ~0.3–0.5% sau 1 năm. Kết hợp với rGDP_growth_YoY (GMD): quan hệ Okun — tăng trưởng GDP âm → thất nghiệp tăng.</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F3.2 — youth_unemployment_gap (Khoảng cách thất nghiệp thanh niên)</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Chênh lệch giữa tỷ lệ thất nghiệp thanh niên (15–24 tuổi) và tỷ lệ thất nghiệp tổng. Phản ánh rào cản gia nhập thị trường lao động của người trẻ.</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Derived — youth_unemp - total_unemp</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youth_unemployment_gap = unemployment_youth - unemployment_total.
2. Chuẩn hóa: gap_ratio = unemployment_youth / unemployment_total (nếu tổng &gt; 0).
3. Phân ngưỡng: gap_ratio &gt; 3 lần = rào cản gia nhập rất cao.</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Gap lớn cho thấy hệ thống giáo dục chưa phù hợp với nhu cầu thị trường lao động. | Thất nghiệp thanh niên cao kéo dài → rủi ro xã hội (bất ổn, mất kỹ năng, giảm dân số hoạt động kinh tế lâu dài).</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urbanization_rate (F3.4): thanh niên thất nghiệp tập trung ở thành thị lớn → sức ép đô thị hóa. Kết hợp với GDP per capita growth — Giả thuyết: Nước có youth_unemployment_gap &gt; 15% có GDP per capita growth thấp hơn do lãng phí nguồn lực nhân khẩu học.</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F3.3 — self_employment_rate (Tỷ lệ tự làm chủ)</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"Self-employed, total (% of total employment)" — Đại diện gián tiếp cho quy mô kinh tế phi chính thức (informal economy). Tỷ lệ cao thường đi kèm với nền kinh tế ít bảo hộ lao động.</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Raw</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Giữ nguyên tỷ lệ (%).
2. Phân loại: &gt;50% = kinh tế phi chính thức chiếm ưu thế, 20–50% = hỗn hợp, &lt;20% = kinh tế chính thức mạnh.
3. Tính tốc độ thay đổi YoY để quan sát xu hướng formalization.</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Tỷ lệ tự làm chủ cao → cơ sở thu thuế nhỏ hơn → govtax_GDP thấp hơn. | Giảm self_employment_rate theo thời gian phản ánh quá trình formalization kinh tế — thường đi kèm phát triển.</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govtax_GDP (GMD): Giả thuyết: self_employment_rate cao tương quan nghịch với govtax_GDP. Kết hợp với Poverty headcount: kinh tế phi chính thức thường bảo vệ người nghèo kém hơn.</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F3.4 — urbanization_rate &amp; urbanization_speed (Đô thị hóa)</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Hai chỉ số bổ sung: "Urban population (% of total)" đo mức độ đô thị hóa hiện tại; "Urban population growth (annual %)" đo tốc độ đô thị hóa.</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Raw (cả hai)</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urbanization_rate: giữ nguyên. Phân loại: &lt;40% = nông thôn, 40–70% = đang đô thị hóa, &gt;70% = đô thị hóa cao.
2. urbanization_speed: flag nếu &gt;4%/năm (tốc độ nhanh bất thường — rủi ro hạ tầng).
3. Tính urbanization_acceleration = diff(urbanization_speed) để phát hiện bùng nổ đô thị.</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Đô thị hóa nhanh thường đi kèm tăng trưởng kinh tế nhưng cũng tạo sức ép lên hạ tầng, nhà ở, và dịch vụ công. | Kết hợp với population_density giúp xác định nước nào đang bị quá tải đô thị.</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population_density (F3.5) và HPI (GMD): Giả thuyết: Đô thị hóa nhanh + mật độ cao → HPI tăng (giá nhà tăng). Kết hợp với gcons_GDP (GMD): Chính phủ phải tăng chi tiêu để đáp ứng hạ tầng đô thị hóa.</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F3.5 — population_density (Mật độ dân số)</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"Population density (people per sq. km of land area)" — Mật độ dân số phản ánh áp lực tài nguyên, hạ tầng và tiềm năng thị trường nội địa.</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Raw — log-transform nếu dùng ML</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log_pop_density = log(population_density + 1) vì phân phối rất skewed (Singapore vs. Mongolia).
2. Phân loại: &lt;10 = thưa thớt, 10–100 = vừa, &gt;100 = dày đặc, &gt;500 = siêu đô thị.</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Mật độ cao → thị trường nội địa lớn → doanh nghiệp có thể đạt economies of scale → GDP/capita có xu hướng cao hơn. | Mật độ quá cao mà không có hạ tầng tốt → bất bình đẳng đô thị tăng.</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urbanization_rate (F3.4) và rGDP_pc_USD (GMD). Độc lập được dùng như biến kiểm soát (control variable) trong các mô hình hồi quy kinh tế.</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F3.6 — inflation_cpi &amp; inflation_deflator_gap (Lạm phát &amp; Chênh lệch đo lường)</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Hai chỉ số lạm phát: CPI (giá tiêu dùng) và GDP deflator. Chênh lệch giữa hai chỉ số cho thấy lạm phát ảnh hưởng tới người tiêu dùng và tới toàn nền kinh tế theo mức độ khác nhau.</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Raw (cả hai) + Derived (gap)</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Giữ nguyên inflation_cpi và inflation_gdp_deflator.
2. inflation_gap = inflation_cpi - inflation_gdp_deflator.
3. Flag outlier: |inflation_cpi| &gt; 50% → hyperinflation, xử lý riêng.
4. Tính rolling_3yr_avg_cpi để làm mượt.</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Khi inflation_gap &gt; 0 (CPI &gt; deflator): giá tiêu dùng tăng nhanh hơn toàn bộ nền kinh tế → gánh nặng thực sự lên người tiêu dùng lớn hơn. | Lạm phát cao (&gt;10%) làm xói mòn thu nhập thực → tiêu dùng giảm → recession risk.</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infl và CPI từ GMD để cross-validate. Kết hợp với cbrate: NHTW thường tăng cbrate khi inflation_cpi vượt ngưỡng mục tiêu (thường 2–4%). Giả thuyết: inflation_cpi &gt; 8% → cbrate tăng trong vòng 2 quý.</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F3.7 — poverty_headcount (Tỷ lệ nghèo đói)</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"Poverty headcount ratio at $3.00/day (2021 PPP)" — Phần trăm dân số sống dưới mức $3/ngày sau điều chỉnh PPP. Là chỉ số phúc lợi xã hội quan trọng nhất.</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Raw</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Xử lý missing: nghèo đói thiếu nhiều ở các nước giàu (vì tỷ lệ gần 0) → có thể impute = 0 nếu rGDP_pc_USD &gt; 15000.
2. Tính poverty_change_5yr = poverty(t) - poverty(t-5) để đo tiến bộ giảm nghèo.
3. Phân loại: &gt;40% = nghèo đói cực độ, 10–40% = đang phát triển, &lt;10% = đã giảm nghèo thành công.</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poverty_change_5yr âm (giảm) xác nhận tăng trưởng kinh tế có tính bao trùm (inclusive growth). | Nghịch lý: một số nước tăng trưởng GDP cao nhưng poverty_headcount vẫn cao → tăng trưởng không đều (inequality-driven growth).</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rGDP_pc_USD (GMD) và agri_va_share (DS1): Giả thuyết: agri_va_share cao + rGDP_pc thấp → poverty_headcount cao. Đây là bộ 3 feature quan trọng cho phân tích bất bình đẳng phát triển.</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F3.8 — trade_openness (Độ mở thương mại)</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"Trade (% of GDP)" = (Xuất khẩu + Nhập khẩu) / GDP × 100. Đo lường mức độ hội nhập quốc tế của nền kinh tế.</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Raw</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Giữ nguyên tỷ lệ %. Phân loại: &lt;40% = ít mở, 40–80% = vừa, &gt;80% = rất mở (kinh tế nhỏ như Singapore, Malaysia).
2. Tính trade_openness_growth = YoY change để xem xu hướng globalization hay deglobalization.
3. So sánh với (exports_GDP + imports_GDP) từ GMD để cross-validate.</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Nước có trade_openness &gt; 80% cực kỳ nhạy cảm với biến động thương mại toàn cầu và giá hàng hóa quốc tế. | Giảm trade_openness liên tục có thể là dấu hiệu protectionism hoặc khủng hoảng ngoại thương.</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trade_balance_GDP (F2.3) và REER_overvaluation (F2.10). Kết hợp với rGDP_growth: Giả thuyết: Nước có trade_openness &gt; 60% có tốc độ tăng trưởng tương quan mạnh hơn với tăng trưởng thương mại toàn cầu.</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F3.9 — tax_revenue_GDP (Thu thuế / GDP từ WDI)</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"Tax revenue (% of GDP)" — Năng lực huy động nguồn lực tài khóa từ thuế. Bổ sung và cross-validate với govtax_GDP từ GMD.</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Raw — dùng để cross-validate &amp; fill missing của GMD</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So sánh với govtax_GDP (GMD): nếu |WDI - GMD| &gt; 3 điểm % → cần điều tra nguồn dữ liệu.
2. Tạo tax_revenue_consensus = trung bình (WDI, GMD) khi cả hai có dữ liệu.
3. Dùng WDI để fill missing trong GMD khi GMD thiếu.</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Sự chênh lệch giữa hai nguồn chỉ ra vấn đề định nghĩa (GMD có thể bao gồm thuế trung ương lẫn địa phương khác WDI). | tax_revenue_GDP thấp tại các nước có self_employment_rate cao → xác nhận giả thuyết kinh tế phi chính thức.</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govtax_GDP (GMD) như mô tả. Kết hợp với self_employment_rate (F3.3) và govdebt_GDP (GMD) để phân tích fiscal space: Nước có thu thuế thấp + nợ cao → không gian tài khóa rất hạn chế.</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F3.10 — GDP_pc_growth_gap (Chênh lệch tăng trưởng GDP tổng và GDP/người)</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Chênh lệch giữa GDP growth và GDP per capita growth phản ánh ảnh hưởng của tốc độ tăng dân số lên thu nhập thực tế bình quân.</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Derived — GDP_growth - GDP_pc_growth</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GDP_pc_growth_gap = GDP_growth - GDP_per_capita_growth.
2. GDP_pc_growth_gap ≈ population_growth (theo định nghĩa toán học) → dùng để cross-validate population_growth.
3. Tính rolling_5yr để thấy xu hướng dài hạn.</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Nước có GDP_pc_growth_gap lớn (&gt;2%) → tăng trưởng GDP bị "ăn mòn" bởi tăng dân số nhanh → thu nhập thực tế mỗi người tăng chậm. | Đây là bẫy phát triển phổ biến ở châu Phi cận Sahara: GDP tăng nhưng nghèo đói không giảm vì dân số tăng nhanh hơn.</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poverty_headcount (F3.7): Giả thuyết: GDP_pc_growth_gap &gt; 1.5% liên tục 10 năm → poverty_headcount giảm chậm hơn mức kỳ vọng từ GDP growth. Kết hợp với Population growth (WDiCSV) để xác nhận tính toán.</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F3.11 — GDP_growth_trend_5yr (Xu hướng tăng trưởng 5 năm)</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Rolling 5-year average của GDP growth (annual %). Làm mượt biến động ngắn hạn để nhận diện chu kỳ tăng trưởng dài hạn.</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Derived — rolling(5).mean() của GDP_growth per country</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Sort by (country_name, year).
2. GDP_growth_trend_5yr = GDP_growth.rolling(5, min_periods=3).mean() per country.
3. Tính trend_deviation = GDP_growth - GDP_growth_trend_5yr để xác định năm bùng nổ hay suy thoái.</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trend_deviation âm sâu (&lt; -3%) và kéo dài = dấu hiệu suy thoái cấu trúc, không chỉ chu kỳ ngắn hạn. | Các nước có GDP_growth_trend_5yr &gt; 5% liên tục thường đang trải qua catching-up effect — phù hợp để nghiên cứu tăng trưởng hội tụ (convergence).</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với crisis_composite (GMD): Giả thuyết: GDP_growth_trend_5yr giảm nhanh + crisis_any = 1 → nước đó bước vào suy thoái kéo dài. Là feature đầu vào quan trọng cho mô hình dự báo tăng trưởng dài hạn (AI).</w:t>
            </w:r>
          </w:p>
        </w:tc>
      </w:tr>
    </w:tbl>
    <w:p>
      <w:pPr>
        <w:spacing w:after="120" w:before="0"/>
        <w:jc w:val="left"/>
      </w:pPr>
      <w:r>
        <w:rPr>
          <w:rFonts w:ascii="Arial" w:cs="Arial" w:eastAsia="Arial" w:hAnsi="Arial"/>
          <w:b w:val="false"/>
          <w:bCs w:val="false"/>
          <w:i w:val="false"/>
          <w:iCs w:val="false"/>
          <w:color w:val="000000"/>
          <w:sz w:val="10"/>
          <w:szCs w:val="10"/>
        </w:rPr>
        <w:t xml:space="preserve"/>
      </w:r>
    </w:p>
    <w:p>
      <w:r>
        <w:br w:type="page"/>
      </w:r>
    </w:p>
    <w:p>
      <w:pPr>
        <w:spacing w:after="120" w:before="0"/>
        <w:jc w:val="left"/>
      </w:pPr>
      <w:r>
        <w:rPr>
          <w:rFonts w:ascii="Arial" w:cs="Arial" w:eastAsia="Arial" w:hAnsi="Arial"/>
          <w:b w:val="false"/>
          <w:bCs w:val="false"/>
          <w:i w:val="false"/>
          <w:iCs w:val="false"/>
          <w:color w:val="000000"/>
          <w:sz w:val="6"/>
          <w:szCs w:val="6"/>
        </w:rPr>
        <w:t xml:space="preserve"/>
      </w:r>
    </w:p>
    <w:p>
      <w:pPr>
        <w:pStyle w:val="Heading2"/>
        <w:shd w:fill="2E75B6" w:val="clear"/>
        <w:spacing w:after="100" w:before="200"/>
      </w:pPr>
      <w:r>
        <w:rPr>
          <w:rFonts w:ascii="Arial" w:cs="Arial" w:eastAsia="Arial" w:hAnsi="Arial"/>
          <w:b/>
          <w:bCs/>
          <w:i w:val="false"/>
          <w:iCs w:val="false"/>
          <w:color w:val="FFFFFF"/>
          <w:sz w:val="24"/>
          <w:szCs w:val="24"/>
        </w:rPr>
        <w:t xml:space="preserve">PHÂN TÍCH CROSS-DATASET — KẾT HỢP 3 NGUỒN DỮ LIỆU</w:t>
      </w:r>
    </w:p>
    <w:p>
      <w:pPr>
        <w:spacing w:after="120" w:before="0"/>
        <w:jc w:val="left"/>
      </w:pPr>
      <w:r>
        <w:rPr>
          <w:rFonts w:ascii="Arial" w:cs="Arial" w:eastAsia="Arial" w:hAnsi="Arial"/>
          <w:b w:val="false"/>
          <w:bCs w:val="false"/>
          <w:i w:val="false"/>
          <w:iCs w:val="false"/>
          <w:color w:val="000000"/>
          <w:sz w:val="4"/>
          <w:szCs w:val="4"/>
        </w:rPr>
        <w:t xml:space="preserve"/>
      </w:r>
    </w:p>
    <w:p>
      <w:pPr>
        <w:spacing w:after="120" w:before="0"/>
        <w:jc w:val="left"/>
      </w:pPr>
      <w:r>
        <w:rPr>
          <w:rFonts w:ascii="Arial" w:cs="Arial" w:eastAsia="Arial" w:hAnsi="Arial"/>
          <w:b w:val="false"/>
          <w:bCs w:val="false"/>
          <w:i w:val="false"/>
          <w:iCs w:val="false"/>
          <w:color w:val="000000"/>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CX.1 — Join Key: country (ISO3) × year</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Khóa chính để kết nối 3 dataset: (ISO3, year). DS1 dùng Area→ISO3 map, DS2 có sẵn ISO3, DS3 dùng country_name→ISO3 map.</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Derived — lookup table ISO3 ↔ country_name ↔ Area</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Tạo master country table: {ISO3, country_name_standard, Area_FAO}.
2. Map tất cả country references về ISO3.
3. Join: DS1 LEFT JOIN DS2 ON (ISO3, year) LEFT JOIN DS3 ON (ISO3, year).
4. Sau join: ~87 quốc gia × số năm có đủ dữ liệu (thường 1990–2022).</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Tạo ra bảng phân tích tổng hợp đa chiều: cơ cấu ngành (DS1) + kinh tế vĩ mô (DS2) + phúc lợi xã hội (DS3).</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Nền tảng cho mọi phân tích cross-dataset. DE cần xây dựng lookup table này trước tất cả các bước khác.</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CX.2 — Inclusive Growth Index (Chỉ số Tăng trưởng Bao trùm)</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Kết hợp rGDP_pc_growth (DS2/DS3), poverty_change_5yr (DS3), và youth_unemployment_gap (DS3) thành một chỉ số đo lường tăng trưởng có lợi cho tất cả tầng lớp dân cư.</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Derived — composite index</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Chuẩn hóa 3 thành phần về thang [0,1]: MinMaxScaler per year.
2. inclusive_growth_index = 0.4×rGDP_pc_growth_norm + 0.35×(1-poverty_change_norm) + 0.25×(1-youth_unemp_gap_norm).
3. Rank các nước theo index mỗi năm.</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Phân biệt nước tăng trưởng "trên giấy" (GDP cao nhưng bất bình đẳng) với tăng trưởng thực sự bao trùm. | Là KPI cấp quốc gia có thể theo dõi theo thời gian.</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Yêu cầu join đầy đủ DS2 + DS3. rGDP_pc_growth từ GMD hoặc WDI; poverty_change từ WDI; youth_unemp từ WDI.</w:t>
            </w:r>
          </w:p>
        </w:tc>
      </w:tr>
    </w:tbl>
    <w:p>
      <w:pPr>
        <w:spacing w:after="120" w:before="0"/>
        <w:jc w:val="left"/>
      </w:pPr>
      <w:r>
        <w:rPr>
          <w:rFonts w:ascii="Arial" w:cs="Arial" w:eastAsia="Arial" w:hAnsi="Arial"/>
          <w:b w:val="false"/>
          <w:bCs w:val="false"/>
          <w:i w:val="false"/>
          <w:iCs w:val="false"/>
          <w:color w:val="000000"/>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2E75B6" w:sz="6"/>
              <w:left w:val="single" w:color="2E75B6" w:sz="6"/>
              <w:bottom w:val="single" w:color="2E75B6" w:sz="6"/>
              <w:right w:val="single" w:color="2E75B6" w:sz="6"/>
            </w:tcBorders>
            <w:shd w:fill="2E75B6" w:val="clear"/>
            <w:tcMar>
              <w:top w:type="dxa" w:w="100"/>
              <w:left w:type="dxa" w:w="140"/>
              <w:bottom w:type="dxa" w:w="100"/>
              <w:right w:type="dxa" w:w="140"/>
            </w:tcMar>
          </w:tcPr>
          <w:p>
            <w:pPr>
              <w:spacing w:after="120" w:before="0"/>
              <w:jc w:val="left"/>
            </w:pPr>
            <w:r>
              <w:rPr>
                <w:rFonts w:ascii="Arial" w:cs="Arial" w:eastAsia="Arial" w:hAnsi="Arial"/>
                <w:b/>
                <w:bCs/>
                <w:i w:val="false"/>
                <w:iCs w:val="false"/>
                <w:color w:val="FFFFFF"/>
                <w:sz w:val="22"/>
                <w:szCs w:val="22"/>
              </w:rPr>
              <w:t xml:space="preserve">CX.3 — Economic Vulnerability Score (Điểm Dễ tổn thương Kinh tế)</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Mô tả</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Tổng hợp các chỉ báo rủi ro: govdebt_GDP (DS2), trade_openness (DS3), crisis_composite (DS2), M2_growth (DS2), REER_overvaluation (DS2). Dùng để xây Early Warning System.</w:t>
            </w:r>
          </w:p>
        </w:tc>
      </w:tr>
      <w:tr>
        <w:tc>
          <w:tcPr>
            <w:tcW w:type="dxa" w:w="240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Loại</w:t>
            </w:r>
          </w:p>
        </w:tc>
        <w:tc>
          <w:tcPr>
            <w:tcW w:type="dxa" w:w="6960"/>
            <w:tcBorders>
              <w:top w:val="single" w:color="DDDDDD" w:sz="4"/>
              <w:left w:val="single" w:color="DDDDDD" w:sz="4"/>
              <w:bottom w:val="single" w:color="DDDDDD" w:sz="4"/>
              <w:right w:val="single" w:color="DDDDDD" w:sz="4"/>
            </w:tcBorders>
            <w:shd w:fill="F2F2F2"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Derived — weighted composite</w:t>
            </w:r>
          </w:p>
        </w:tc>
      </w:tr>
      <w:tr>
        <w:tc>
          <w:tcPr>
            <w:tcW w:type="dxa" w:w="2400"/>
            <w:tcBorders>
              <w:top w:val="single" w:color="DDDDDD" w:sz="4"/>
              <w:left w:val="single" w:color="DDDDDD" w:sz="4"/>
              <w:bottom w:val="single" w:color="DDDDDD" w:sz="4"/>
              <w:right w:val="single" w:color="DDDDDD" w:sz="4"/>
            </w:tcBorders>
            <w:shd w:fill="D6E4F0"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Logic biến đổi</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1. Chuẩn hóa mỗi chỉ số rủi ro về [0,1].
2. vulnerability_score = 0.25×govdebt_norm + 0.2×REER_dev_norm + 0.2×M2_growth_norm + 0.2×trade_openness_norm + 0.15×crisis_lag1_norm.
3. Flag: score &gt; 0.7 → "high vulnerability".</w:t>
            </w:r>
          </w:p>
        </w:tc>
      </w:tr>
      <w:tr>
        <w:tc>
          <w:tcPr>
            <w:tcW w:type="dxa" w:w="240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Insight</w:t>
            </w:r>
          </w:p>
        </w:tc>
        <w:tc>
          <w:tcPr>
            <w:tcW w:type="dxa" w:w="6960"/>
            <w:tcBorders>
              <w:top w:val="single" w:color="DDDDDD" w:sz="4"/>
              <w:left w:val="single" w:color="DDDDDD" w:sz="4"/>
              <w:bottom w:val="single" w:color="DDDDDD" w:sz="4"/>
              <w:right w:val="single" w:color="DDDDDD" w:sz="4"/>
            </w:tcBorders>
            <w:shd w:fill="E2EFDA"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Cung cấp cảnh báo sớm cho AI model dự đoán khủng hoảng trong 1–3 năm tới. | DA có thể vẽ heat map vulnerability theo quốc gia × năm để trình bày kết quả.</w:t>
            </w:r>
          </w:p>
        </w:tc>
      </w:tr>
      <w:tr>
        <w:tc>
          <w:tcPr>
            <w:tcW w:type="dxa" w:w="240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bCs/>
                <w:i w:val="false"/>
                <w:iCs w:val="false"/>
                <w:color w:val="000000"/>
                <w:sz w:val="19"/>
                <w:szCs w:val="19"/>
              </w:rPr>
              <w:t xml:space="preserve">Phụ thuộc</w:t>
            </w:r>
          </w:p>
        </w:tc>
        <w:tc>
          <w:tcPr>
            <w:tcW w:type="dxa" w:w="6960"/>
            <w:tcBorders>
              <w:top w:val="single" w:color="DDDDDD" w:sz="4"/>
              <w:left w:val="single" w:color="DDDDDD" w:sz="4"/>
              <w:bottom w:val="single" w:color="DDDDDD" w:sz="4"/>
              <w:right w:val="single" w:color="DDDDDD" w:sz="4"/>
            </w:tcBorders>
            <w:shd w:fill="FFF2CC" w:val="clear"/>
            <w:tcMar>
              <w:top w:type="dxa" w:w="80"/>
              <w:left w:type="dxa" w:w="120"/>
              <w:bottom w:type="dxa" w:w="80"/>
              <w:right w:type="dxa" w:w="120"/>
            </w:tcMar>
            <w:vAlign w:val="top"/>
          </w:tcPr>
          <w:p>
            <w:pPr>
              <w:spacing w:after="120" w:before="0"/>
              <w:jc w:val="left"/>
            </w:pPr>
            <w:r>
              <w:rPr>
                <w:rFonts w:ascii="Arial" w:cs="Arial" w:eastAsia="Arial" w:hAnsi="Arial"/>
                <w:b w:val="false"/>
                <w:bCs w:val="false"/>
                <w:i w:val="false"/>
                <w:iCs w:val="false"/>
                <w:color w:val="000000"/>
                <w:sz w:val="19"/>
                <w:szCs w:val="19"/>
              </w:rPr>
              <w:t xml:space="preserve">Phụ thuộc vào join đầy đủ DS2 + DS3. Tất cả components cần được tính trước. Là feature đầu vào chính cho mô hình phân loại khủng hoảng (AI/ML — classification model).</w:t>
            </w:r>
          </w:p>
        </w:tc>
      </w:tr>
    </w:tbl>
    <w:p>
      <w:pPr>
        <w:spacing w:after="120" w:before="0"/>
        <w:jc w:val="left"/>
      </w:pPr>
      <w:r>
        <w:rPr>
          <w:rFonts w:ascii="Arial" w:cs="Arial" w:eastAsia="Arial" w:hAnsi="Arial"/>
          <w:b w:val="false"/>
          <w:bCs w:val="false"/>
          <w:i w:val="false"/>
          <w:iCs w:val="false"/>
          <w:color w:val="000000"/>
          <w:sz w:val="20"/>
          <w:szCs w:val="20"/>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spacing w:before="0"/>
    </w:pPr>
    <w:r>
      <w:rPr>
        <w:rFonts w:ascii="Arial" w:cs="Arial" w:eastAsia="Arial" w:hAnsi="Arial"/>
        <w:b w:val="false"/>
        <w:bCs w:val="false"/>
        <w:i w:val="false"/>
        <w:iCs w:val="false"/>
        <w:color w:val="595959"/>
        <w:sz w:val="16"/>
        <w:szCs w:val="16"/>
      </w:rPr>
      <w:t xml:space="preserve">Trang </w:t>
    </w:r>
    <w:r>
      <w:rPr>
        <w:rFonts w:ascii="Arial" w:cs="Arial" w:eastAsia="Arial" w:hAnsi="Arial"/>
        <w:color w:val="2E75B6"/>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95959"/>
        <w:sz w:val="16"/>
        <w:szCs w:val="16"/>
      </w:rPr>
      <w:t xml:space="preserve">  /  </w:t>
    </w:r>
    <w:r>
      <w:rPr>
        <w:rFonts w:ascii="Arial" w:cs="Arial" w:eastAsia="Arial" w:hAnsi="Arial"/>
        <w:color w:val="2E75B6"/>
        <w:sz w:val="16"/>
        <w:szCs w:val="16"/>
      </w:rPr>
      <w:fldChar w:fldCharType="begin"/>
      <w:instrText xml:space="preserve">NUMPAGES</w:instrText>
      <w:fldChar w:fldCharType="separate"/>
      <w:fldChar w:fldCharType="end"/>
    </w:r>
    <w:r>
      <w:rPr>
        <w:rFonts w:ascii="Arial" w:cs="Arial" w:eastAsia="Arial" w:hAnsi="Arial"/>
        <w:b w:val="false"/>
        <w:bCs w:val="false"/>
        <w:i/>
        <w:iCs/>
        <w:color w:val="595959"/>
        <w:sz w:val="16"/>
        <w:szCs w:val="16"/>
      </w:rPr>
      <w:t xml:space="preserve">          Tài liệu kỹ thuật – Nhóm dự án Phân tích Kinh tế</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0"/>
    </w:pPr>
    <w:r>
      <w:rPr>
        <w:rFonts w:ascii="Arial" w:cs="Arial" w:eastAsia="Arial" w:hAnsi="Arial"/>
        <w:b w:val="false"/>
        <w:bCs w:val="false"/>
        <w:i/>
        <w:iCs/>
        <w:color w:val="595959"/>
        <w:sz w:val="16"/>
        <w:szCs w:val="16"/>
      </w:rPr>
      <w:t xml:space="preserve">PHÂN TÍCH FEATURE – DỰ ÁN KINH TẾ VĨ MÔ</w:t>
    </w:r>
    <w:r>
      <w:rPr>
        <w:rFonts w:ascii="Arial" w:cs="Arial" w:eastAsia="Arial" w:hAnsi="Arial"/>
        <w:b w:val="false"/>
        <w:bCs w:val="false"/>
        <w:i w:val="false"/>
        <w:iCs w:val="false"/>
        <w:color w:val="2E75B6"/>
        <w:sz w:val="16"/>
        <w:szCs w:val="16"/>
      </w:rPr>
      <w:t xml:space="preserve">   |   DE · DA ·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2026-04-17T17:31:27.242Z</dcterms:created>
  <dcterms:modified xsi:type="dcterms:W3CDTF">2026-04-17T17:31:27.243Z</dcterms:modified>
</cp:coreProperties>
</file>

<file path=docProps/custom.xml><?xml version="1.0" encoding="utf-8"?>
<Properties xmlns="http://schemas.openxmlformats.org/officeDocument/2006/custom-properties" xmlns:vt="http://schemas.openxmlformats.org/officeDocument/2006/docPropsVTypes"/>
</file>