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86356F" w14:textId="4F305B21" w:rsidR="00E84356" w:rsidRDefault="00E84356" w:rsidP="00E84356">
      <w:pPr>
        <w:pStyle w:val="Title"/>
      </w:pPr>
      <w:bookmarkStart w:id="0" w:name="h.48oyyencrzkn"/>
      <w:bookmarkEnd w:id="0"/>
      <w:r>
        <w:t>The Politics of Need</w:t>
      </w:r>
      <w:r w:rsidR="0027000E" w:rsidRPr="00557DBC">
        <w:rPr>
          <w:rStyle w:val="FootnoteReference"/>
          <w:b w:val="0"/>
        </w:rPr>
        <w:footnoteReference w:customMarkFollows="1" w:id="2"/>
        <w:t>*</w:t>
      </w:r>
    </w:p>
    <w:p w14:paraId="1CBCA291" w14:textId="77777777" w:rsidR="00AB09E9" w:rsidRDefault="00AB09E9" w:rsidP="00E84356">
      <w:pPr>
        <w:pStyle w:val="Subtitle"/>
      </w:pPr>
      <w:r>
        <w:t>Examining Governors' Decisions to Oppose the “</w:t>
      </w:r>
      <w:proofErr w:type="spellStart"/>
      <w:r>
        <w:t>Obamacare</w:t>
      </w:r>
      <w:proofErr w:type="spellEnd"/>
      <w:r>
        <w:t xml:space="preserve">” Medicaid Expansion </w:t>
      </w:r>
    </w:p>
    <w:p w14:paraId="0BB553D8" w14:textId="77777777" w:rsidR="00AB09E9" w:rsidRDefault="00AB09E9">
      <w:pPr>
        <w:pStyle w:val="Affiliation"/>
        <w:rPr>
          <w:sz w:val="24"/>
        </w:rPr>
      </w:pPr>
      <w:r>
        <w:rPr>
          <w:sz w:val="24"/>
        </w:rPr>
        <w:t xml:space="preserve">Charles </w:t>
      </w:r>
      <w:proofErr w:type="spellStart"/>
      <w:r>
        <w:rPr>
          <w:sz w:val="24"/>
        </w:rPr>
        <w:t>Barrilleaux</w:t>
      </w:r>
      <w:proofErr w:type="spellEnd"/>
    </w:p>
    <w:p w14:paraId="465E3DAA" w14:textId="77777777" w:rsidR="00AB09E9" w:rsidRDefault="00AB09E9">
      <w:pPr>
        <w:pStyle w:val="Affiliation"/>
        <w:rPr>
          <w:sz w:val="24"/>
        </w:rPr>
      </w:pPr>
      <w:r>
        <w:rPr>
          <w:sz w:val="24"/>
        </w:rPr>
        <w:t xml:space="preserve">Department of </w:t>
      </w:r>
      <w:proofErr w:type="gramStart"/>
      <w:r>
        <w:rPr>
          <w:sz w:val="24"/>
        </w:rPr>
        <w:t>Political Science</w:t>
      </w:r>
      <w:proofErr w:type="gramEnd"/>
    </w:p>
    <w:p w14:paraId="28708571" w14:textId="77777777" w:rsidR="00AB09E9" w:rsidRDefault="00AB09E9">
      <w:pPr>
        <w:pStyle w:val="Affiliation"/>
        <w:rPr>
          <w:sz w:val="24"/>
        </w:rPr>
      </w:pPr>
      <w:r>
        <w:rPr>
          <w:sz w:val="24"/>
        </w:rPr>
        <w:t>Florida State University</w:t>
      </w:r>
    </w:p>
    <w:p w14:paraId="69BF2519" w14:textId="69A1E548" w:rsidR="00AB09E9" w:rsidRPr="0027000E" w:rsidRDefault="00D27DD4">
      <w:pPr>
        <w:pStyle w:val="Affiliation"/>
        <w:rPr>
          <w:rStyle w:val="Hyperlink"/>
        </w:rPr>
      </w:pPr>
      <w:hyperlink r:id="rId10" w:history="1">
        <w:r w:rsidR="0027000E" w:rsidRPr="0027000E">
          <w:rPr>
            <w:rStyle w:val="Hyperlink"/>
            <w:sz w:val="24"/>
          </w:rPr>
          <w:t>cbarrilleaux@fsu.edu</w:t>
        </w:r>
      </w:hyperlink>
    </w:p>
    <w:p w14:paraId="34B25E07" w14:textId="77777777" w:rsidR="0027000E" w:rsidRDefault="0027000E">
      <w:pPr>
        <w:pStyle w:val="Affiliation"/>
        <w:rPr>
          <w:sz w:val="24"/>
        </w:rPr>
      </w:pPr>
    </w:p>
    <w:p w14:paraId="64FF2A96" w14:textId="77777777" w:rsidR="00AB09E9" w:rsidRDefault="00AB09E9">
      <w:pPr>
        <w:pStyle w:val="Affiliation"/>
        <w:rPr>
          <w:sz w:val="24"/>
        </w:rPr>
      </w:pPr>
      <w:r>
        <w:rPr>
          <w:sz w:val="24"/>
        </w:rPr>
        <w:t>Carlisle Rainey</w:t>
      </w:r>
    </w:p>
    <w:p w14:paraId="2C11BC06" w14:textId="77777777" w:rsidR="00AB09E9" w:rsidRDefault="00AB09E9">
      <w:pPr>
        <w:pStyle w:val="Affiliation"/>
        <w:rPr>
          <w:sz w:val="24"/>
        </w:rPr>
      </w:pPr>
      <w:r>
        <w:rPr>
          <w:sz w:val="24"/>
        </w:rPr>
        <w:t xml:space="preserve">Department of </w:t>
      </w:r>
      <w:proofErr w:type="gramStart"/>
      <w:r>
        <w:rPr>
          <w:sz w:val="24"/>
        </w:rPr>
        <w:t>Political Science</w:t>
      </w:r>
      <w:proofErr w:type="gramEnd"/>
    </w:p>
    <w:p w14:paraId="3F66EB80" w14:textId="77777777" w:rsidR="00AB09E9" w:rsidRDefault="00AB09E9">
      <w:pPr>
        <w:pStyle w:val="Affiliation"/>
        <w:rPr>
          <w:sz w:val="24"/>
        </w:rPr>
      </w:pPr>
      <w:r>
        <w:rPr>
          <w:sz w:val="24"/>
        </w:rPr>
        <w:t>University at Buffalo (SUNY)</w:t>
      </w:r>
    </w:p>
    <w:p w14:paraId="4EF82940" w14:textId="31FB0C1E" w:rsidR="00AB09E9" w:rsidRDefault="00D27DD4">
      <w:pPr>
        <w:pStyle w:val="Affiliation"/>
        <w:rPr>
          <w:sz w:val="24"/>
        </w:rPr>
      </w:pPr>
      <w:hyperlink r:id="rId11" w:history="1">
        <w:r w:rsidR="0027000E" w:rsidRPr="0027000E">
          <w:rPr>
            <w:rStyle w:val="Hyperlink"/>
            <w:sz w:val="24"/>
          </w:rPr>
          <w:t>rcrainey@buffalo.edu</w:t>
        </w:r>
      </w:hyperlink>
    </w:p>
    <w:p w14:paraId="215367B3" w14:textId="77777777" w:rsidR="00AB09E9" w:rsidRDefault="00AB09E9">
      <w:pPr>
        <w:pStyle w:val="Affiliation"/>
        <w:rPr>
          <w:sz w:val="24"/>
        </w:rPr>
      </w:pPr>
    </w:p>
    <w:p w14:paraId="17BE03A3" w14:textId="77777777" w:rsidR="00AB09E9" w:rsidRDefault="00AB09E9">
      <w:pPr>
        <w:pStyle w:val="AbstractLabel"/>
        <w:rPr>
          <w:b/>
        </w:rPr>
      </w:pPr>
      <w:r>
        <w:rPr>
          <w:b/>
        </w:rPr>
        <w:t>Abstract</w:t>
      </w:r>
    </w:p>
    <w:p w14:paraId="6F9E543C" w14:textId="767F85D9" w:rsidR="00557DBC" w:rsidRDefault="00F540BF" w:rsidP="00557DBC">
      <w:pPr>
        <w:pStyle w:val="AbstractText"/>
        <w:suppressLineNumbers/>
        <w:spacing w:line="240" w:lineRule="auto"/>
      </w:pPr>
      <w:r>
        <w:t>This paper explains governors’</w:t>
      </w:r>
      <w:r w:rsidR="00AB09E9">
        <w:t xml:space="preserve"> decisions to </w:t>
      </w:r>
      <w:r w:rsidR="00286D67">
        <w:t>support or oppose</w:t>
      </w:r>
      <w:r w:rsidR="00AB09E9">
        <w:t xml:space="preserve"> Medicaid expansions offered under the 2010 Patient Protection and Affordable Care Act (PPACA).  </w:t>
      </w:r>
      <w:r>
        <w:t>Though the two are often in tension, we theorize that governors’</w:t>
      </w:r>
      <w:r w:rsidR="00AB09E9">
        <w:t xml:space="preserve"> decisions to oppose the</w:t>
      </w:r>
      <w:r>
        <w:t xml:space="preserve"> funding should depend on </w:t>
      </w:r>
      <w:proofErr w:type="gramStart"/>
      <w:r>
        <w:t xml:space="preserve">both </w:t>
      </w:r>
      <w:r w:rsidR="00286D67">
        <w:t xml:space="preserve"> </w:t>
      </w:r>
      <w:r>
        <w:t>political</w:t>
      </w:r>
      <w:proofErr w:type="gramEnd"/>
      <w:r>
        <w:t xml:space="preserve"> </w:t>
      </w:r>
      <w:r w:rsidR="00B84D0A">
        <w:t>demands</w:t>
      </w:r>
      <w:r>
        <w:t xml:space="preserve"> and the level of need in the state. We find t</w:t>
      </w:r>
      <w:r w:rsidR="0027000E">
        <w:t>hat the governor’s partisanship and</w:t>
      </w:r>
      <w:r>
        <w:t xml:space="preserve"> the composition of the legislature have substantively meaningful effects </w:t>
      </w:r>
      <w:r w:rsidR="00286D67">
        <w:t>on governor’s decisions, but</w:t>
      </w:r>
      <w:r>
        <w:t xml:space="preserve"> we find that the level of need in the state exerts a </w:t>
      </w:r>
      <w:r w:rsidR="00B84D0A">
        <w:t>negligible</w:t>
      </w:r>
      <w:r>
        <w:t xml:space="preserve"> effect on governors’ decisions. This suggests that for </w:t>
      </w:r>
      <w:proofErr w:type="gramStart"/>
      <w:r>
        <w:t>high-profile</w:t>
      </w:r>
      <w:proofErr w:type="gramEnd"/>
      <w:r>
        <w:t>, highly-politicized issues such as the Affordable Care Act, political con</w:t>
      </w:r>
      <w:r w:rsidR="00B84D0A">
        <w:t>siderations outweigh</w:t>
      </w:r>
      <w:r>
        <w:t xml:space="preserve"> the needs of citizens in gubernatorial decision making.</w:t>
      </w:r>
    </w:p>
    <w:p w14:paraId="153EBDC3" w14:textId="77777777" w:rsidR="00557DBC" w:rsidRDefault="00557DBC">
      <w:pPr>
        <w:widowControl/>
        <w:tabs>
          <w:tab w:val="clear" w:pos="360"/>
          <w:tab w:val="clear" w:pos="709"/>
        </w:tabs>
        <w:suppressAutoHyphens w:val="0"/>
        <w:spacing w:line="240" w:lineRule="auto"/>
      </w:pPr>
      <w:r>
        <w:br w:type="page"/>
      </w:r>
    </w:p>
    <w:p w14:paraId="5ACDBFE1" w14:textId="77777777" w:rsidR="00047728" w:rsidRDefault="0027000E" w:rsidP="0027000E">
      <w:pPr>
        <w:pStyle w:val="Heading1"/>
      </w:pPr>
      <w:r>
        <w:t>Introduction</w:t>
      </w:r>
    </w:p>
    <w:p w14:paraId="3B3FD72F" w14:textId="097A8C6F" w:rsidR="00AB09E9" w:rsidRDefault="00F540BF">
      <w:pPr>
        <w:pStyle w:val="AbstractText"/>
        <w:jc w:val="left"/>
      </w:pPr>
      <w:r>
        <w:t>“</w:t>
      </w:r>
      <w:r w:rsidR="00AB09E9">
        <w:t>I cannot in good conscience deny F</w:t>
      </w:r>
      <w:r>
        <w:t>loridians access to healthcare,”</w:t>
      </w:r>
      <w:r w:rsidR="00AB09E9">
        <w:t xml:space="preserve"> Gov. Rick Scott (R, FL) on deciding to accept Medicaid expansion following long-time opposition to </w:t>
      </w:r>
      <w:proofErr w:type="spellStart"/>
      <w:r w:rsidR="00AB09E9">
        <w:t>Obamacare</w:t>
      </w:r>
      <w:proofErr w:type="spellEnd"/>
      <w:r w:rsidR="00AB09E9">
        <w:t>, February 20, 2013 (Reeve, 2013).</w:t>
      </w:r>
    </w:p>
    <w:p w14:paraId="1B2EEEAF" w14:textId="77777777" w:rsidR="00AB09E9" w:rsidRDefault="00AB09E9">
      <w:pPr>
        <w:pStyle w:val="AbstractText"/>
        <w:jc w:val="left"/>
      </w:pPr>
    </w:p>
    <w:p w14:paraId="7287636C" w14:textId="10775662" w:rsidR="0027000E" w:rsidRDefault="00AB09E9">
      <w:pPr>
        <w:pStyle w:val="AbstractText"/>
        <w:jc w:val="left"/>
      </w:pPr>
      <w:r>
        <w:t>“I’m trying to determine how the Medicaid expansion is going to pay for the surgery to remove the knife planted in my back,” Henry Kelley, Florida Tea Party blogger, March 5, 2013 (Alvarez, 2013)</w:t>
      </w:r>
    </w:p>
    <w:p w14:paraId="2246FBC6" w14:textId="77777777" w:rsidR="00B84D0A" w:rsidRPr="00B84D0A" w:rsidRDefault="00B84D0A" w:rsidP="00B84D0A">
      <w:pPr>
        <w:widowControl/>
        <w:tabs>
          <w:tab w:val="clear" w:pos="360"/>
          <w:tab w:val="clear" w:pos="709"/>
        </w:tabs>
        <w:suppressAutoHyphens w:val="0"/>
        <w:spacing w:line="240" w:lineRule="auto"/>
      </w:pPr>
    </w:p>
    <w:p w14:paraId="5AEF8E94" w14:textId="77777777" w:rsidR="00AB09E9" w:rsidRDefault="00AB09E9">
      <w:r>
        <w:tab/>
      </w:r>
      <w:r w:rsidR="009D353F">
        <w:t>The statements from Florida Governor Rick Scott and Florida Tea Party activist Henry Kelley illustrate the difficulty that Republican governors faced in deciding whether to accept generous federal aid to expand Medicaid under “</w:t>
      </w:r>
      <w:proofErr w:type="spellStart"/>
      <w:r w:rsidR="009D353F">
        <w:t>Obamacare</w:t>
      </w:r>
      <w:proofErr w:type="spellEnd"/>
      <w:r w:rsidR="009D353F">
        <w:t>.”</w:t>
      </w:r>
      <w:r>
        <w:t xml:space="preserve">  Scott entered Florida politics in 2009 by establishing an anti-health reform political action committee.  He opposed reform throughout his closely fought successful gubernatorial campaign in 2010, in which received substantial Tea Party support.  To the dismay of key Tea Party supporters, though, Governor Scott dropped this key policy position by 2013, noting that the Supreme Court upheld the law and that to turn away federal money is negligent.  Other governors face similar decisions.  This paper seeks to explain why some governors opposed the PPACA Medicaid expansions and other governors did not.</w:t>
      </w:r>
    </w:p>
    <w:p w14:paraId="0554FC9D" w14:textId="7C40456C" w:rsidR="00AB09E9" w:rsidRDefault="00AB09E9">
      <w:r>
        <w:tab/>
        <w:t>Health care reform is the central accomplishment of the Obama administration</w:t>
      </w:r>
      <w:r w:rsidR="00B84D0A">
        <w:t>.  It</w:t>
      </w:r>
      <w:r>
        <w:t xml:space="preserve"> has been a source of conflict between the parties since its passage in </w:t>
      </w:r>
      <w:proofErr w:type="gramStart"/>
      <w:r>
        <w:t>February,</w:t>
      </w:r>
      <w:proofErr w:type="gramEnd"/>
      <w:r>
        <w:t xml:space="preserve"> 2010. The Patient Protection and Affordable Care Act (PPACA, or “</w:t>
      </w:r>
      <w:proofErr w:type="spellStart"/>
      <w:r>
        <w:t>Obamacare</w:t>
      </w:r>
      <w:proofErr w:type="spellEnd"/>
      <w:r>
        <w:t xml:space="preserve">”) is a complex bill that was designed to improve U.S. citizens' health care coverage.  One important piece of the policy's design was a Medicaid expansion in which the national government would assume initially all and eventually 90 percent of the cost of Medicaid for a previously non Medicaid-eligible portion of the </w:t>
      </w:r>
      <w:r>
        <w:lastRenderedPageBreak/>
        <w:t xml:space="preserve">population, the group that is most at risk for being uninsured.  In June 2012, the Supreme Court ruled that portion of </w:t>
      </w:r>
      <w:proofErr w:type="spellStart"/>
      <w:r>
        <w:t>Obamacare</w:t>
      </w:r>
      <w:proofErr w:type="spellEnd"/>
      <w:r>
        <w:t xml:space="preserve"> to be in violation of U.S. law, but the Court also provided states a way to retain their existing Medicaid programs while rejecting the expansion (Rosenbaum and Westmoreland 2012). </w:t>
      </w:r>
    </w:p>
    <w:p w14:paraId="286BC3BE" w14:textId="77777777" w:rsidR="00AB09E9" w:rsidRDefault="00AB09E9">
      <w:r>
        <w:tab/>
        <w:t>The Court's Medicaid ruling was a surprise.  The U.S. District and Appellate court decisions that preceded the June ruling did not address the Medicaid expansion issue, focusing instead on whether the national government could legitimately require persons to purchase health insurance.   The Court upheld that portion of the PPACA.  The Court's Medicaid ruling gave U.S. governors the unexpected power to oppose expanding their Medicaid programs as required under the original law.</w:t>
      </w:r>
      <w:r>
        <w:rPr>
          <w:rStyle w:val="FootnoteReference"/>
        </w:rPr>
        <w:footnoteReference w:id="3"/>
      </w:r>
    </w:p>
    <w:p w14:paraId="5E91D2C6" w14:textId="45DDED1F" w:rsidR="00AB09E9" w:rsidRDefault="00AB09E9" w:rsidP="00E84356">
      <w:pPr>
        <w:pStyle w:val="Heading1"/>
      </w:pPr>
      <w:r>
        <w:t xml:space="preserve">The Politics of Medicaid Expansion under </w:t>
      </w:r>
      <w:proofErr w:type="spellStart"/>
      <w:r>
        <w:t>Obamacare</w:t>
      </w:r>
      <w:proofErr w:type="spellEnd"/>
    </w:p>
    <w:p w14:paraId="1B4FDCA9" w14:textId="77777777" w:rsidR="00AB09E9" w:rsidRDefault="00AB09E9">
      <w:bookmarkStart w:id="2" w:name="h.xa4xo17ptn7k"/>
      <w:bookmarkEnd w:id="2"/>
      <w:r>
        <w:tab/>
        <w:t>The PPACA was passed under a unified Democratic administration with no Republican support, a circumstance that has fueled conflict between the parties.  Republican criticism of the law contributed to their winning the U.S. House in 2010 (</w:t>
      </w:r>
      <w:proofErr w:type="spellStart"/>
      <w:r>
        <w:t>Balz</w:t>
      </w:r>
      <w:proofErr w:type="spellEnd"/>
      <w:r>
        <w:t xml:space="preserve"> and </w:t>
      </w:r>
      <w:proofErr w:type="spellStart"/>
      <w:r>
        <w:t>Branigan</w:t>
      </w:r>
      <w:proofErr w:type="spellEnd"/>
      <w:r>
        <w:t xml:space="preserve"> 2010; Brady, et al. 2011; Campbell 2010).  Complaints and warnings about </w:t>
      </w:r>
      <w:proofErr w:type="spellStart"/>
      <w:r>
        <w:t>Obamacare</w:t>
      </w:r>
      <w:proofErr w:type="spellEnd"/>
      <w:r>
        <w:t xml:space="preserve"> also figured prominently in the GOP platform in 2012 (Thompson 2012), and the number of U.S. House votes for its repeal, defunding, or prohibition topped 40 in September 2013.  The attorneys general of 26 states mounted legal challenges to the law, which culminated in </w:t>
      </w:r>
      <w:r>
        <w:rPr>
          <w:i/>
          <w:iCs/>
        </w:rPr>
        <w:t xml:space="preserve">National Federation of Independent Business v. </w:t>
      </w:r>
      <w:proofErr w:type="spellStart"/>
      <w:r>
        <w:rPr>
          <w:i/>
          <w:iCs/>
        </w:rPr>
        <w:t>Sebelius</w:t>
      </w:r>
      <w:proofErr w:type="spellEnd"/>
      <w:r>
        <w:t xml:space="preserve">  (132 S. Ct. 603, 2011) being argued before the U.S. Supreme Court.  Some states refused to establish health exchanges, which are the marketplaces through which citizens are to shop for and purchase </w:t>
      </w:r>
      <w:proofErr w:type="gramStart"/>
      <w:r>
        <w:t>their</w:t>
      </w:r>
      <w:proofErr w:type="gramEnd"/>
      <w:r>
        <w:t xml:space="preserve"> mandated health insurance (Rigby 2012).  The federally established “health navigators” who were intended to help provide information about state </w:t>
      </w:r>
      <w:r>
        <w:lastRenderedPageBreak/>
        <w:t>insurance exchanges were a point of contention in some states.  Insurance lobbyists in several states convinced legislators to pass laws to limit navigators' abilities to perform outreach (</w:t>
      </w:r>
      <w:proofErr w:type="spellStart"/>
      <w:proofErr w:type="gramStart"/>
      <w:r>
        <w:t>Kuznetz</w:t>
      </w:r>
      <w:proofErr w:type="spellEnd"/>
      <w:r>
        <w:t xml:space="preserve">  2013</w:t>
      </w:r>
      <w:proofErr w:type="gramEnd"/>
      <w:r>
        <w:t xml:space="preserve">).  In short, national and state-level groups spent enormous time and efforts to defeat or block </w:t>
      </w:r>
      <w:proofErr w:type="spellStart"/>
      <w:r>
        <w:t>Obamacare</w:t>
      </w:r>
      <w:proofErr w:type="spellEnd"/>
      <w:r>
        <w:t xml:space="preserve">.  </w:t>
      </w:r>
    </w:p>
    <w:p w14:paraId="61D0F3FE" w14:textId="6DDEA9DB" w:rsidR="00AB09E9" w:rsidRDefault="00AB09E9">
      <w:r>
        <w:tab/>
        <w:t xml:space="preserve">The Court's 7-2 vote determined that states could not be forced to expand their Medicaid programs, despite a generous federal subsidy. (The Court upheld the legality of PPACA with a 5-4 vote).  The Court's 2012 decision was an overall victory for supporters of PPACA, </w:t>
      </w:r>
      <w:r w:rsidR="002147D8">
        <w:t>bu</w:t>
      </w:r>
      <w:r>
        <w:t xml:space="preserve">t its Medicaid decision introduced an unexpected barrier to the policy's implementation and shifted the opposition's strategy. </w:t>
      </w:r>
    </w:p>
    <w:p w14:paraId="282D44BF" w14:textId="4C462C62" w:rsidR="009907A4" w:rsidRDefault="00AB09E9">
      <w:r>
        <w:tab/>
        <w:t xml:space="preserve">As of </w:t>
      </w:r>
      <w:r w:rsidR="009913F5">
        <w:t>October 22</w:t>
      </w:r>
      <w:r>
        <w:t xml:space="preserve">, 2013, the governors of 29 states supported the expansion (though fewer saw it passed into law by their legislatures), 16 opposed it, and five were </w:t>
      </w:r>
      <w:r w:rsidR="009913F5">
        <w:t>weighing their options</w:t>
      </w:r>
      <w:r>
        <w:t xml:space="preserve">.  All Democratic governors supported the expansion, but not all Republican governors opposed the proposal.  Ten Republicans supported the expansion, five were undecided, and 16 Republicans opposed it. </w:t>
      </w:r>
    </w:p>
    <w:p w14:paraId="055D69C7" w14:textId="15E787EC" w:rsidR="00386372" w:rsidRPr="00557DBC" w:rsidRDefault="00386372" w:rsidP="00557DBC">
      <w:pPr>
        <w:pStyle w:val="TableFigureNote"/>
        <w:jc w:val="center"/>
        <w:rPr>
          <w:i w:val="0"/>
        </w:rPr>
      </w:pPr>
      <w:r w:rsidRPr="00557DBC">
        <w:rPr>
          <w:i w:val="0"/>
        </w:rPr>
        <w:t>[Insert</w:t>
      </w:r>
      <w:r w:rsidR="00557DBC" w:rsidRPr="00557DBC">
        <w:rPr>
          <w:i w:val="0"/>
        </w:rPr>
        <w:t xml:space="preserve"> </w:t>
      </w:r>
      <w:r w:rsidR="00557DBC" w:rsidRPr="00557DBC">
        <w:rPr>
          <w:i w:val="0"/>
        </w:rPr>
        <w:fldChar w:fldCharType="begin"/>
      </w:r>
      <w:r w:rsidR="00557DBC" w:rsidRPr="00557DBC">
        <w:rPr>
          <w:i w:val="0"/>
        </w:rPr>
        <w:instrText xml:space="preserve"> REF _Ref263016443 \h </w:instrText>
      </w:r>
      <w:r w:rsidR="00557DBC" w:rsidRPr="00557DBC">
        <w:rPr>
          <w:i w:val="0"/>
        </w:rPr>
      </w:r>
      <w:r w:rsidR="00557DBC" w:rsidRPr="00557DBC">
        <w:rPr>
          <w:i w:val="0"/>
        </w:rPr>
        <w:fldChar w:fldCharType="separate"/>
      </w:r>
      <w:r w:rsidR="00557DBC" w:rsidRPr="00557DBC">
        <w:rPr>
          <w:i w:val="0"/>
        </w:rPr>
        <w:t xml:space="preserve">Figure </w:t>
      </w:r>
      <w:r w:rsidR="00557DBC" w:rsidRPr="00557DBC">
        <w:rPr>
          <w:i w:val="0"/>
          <w:noProof/>
        </w:rPr>
        <w:t>1</w:t>
      </w:r>
      <w:r w:rsidR="00557DBC" w:rsidRPr="00557DBC">
        <w:rPr>
          <w:i w:val="0"/>
        </w:rPr>
        <w:fldChar w:fldCharType="end"/>
      </w:r>
      <w:r w:rsidR="00557DBC" w:rsidRPr="00557DBC">
        <w:rPr>
          <w:i w:val="0"/>
        </w:rPr>
        <w:t xml:space="preserve"> </w:t>
      </w:r>
      <w:r w:rsidRPr="00557DBC">
        <w:rPr>
          <w:i w:val="0"/>
        </w:rPr>
        <w:t>about here.]</w:t>
      </w:r>
    </w:p>
    <w:p w14:paraId="25E2C3A9" w14:textId="77777777" w:rsidR="00557DBC" w:rsidRPr="00557DBC" w:rsidRDefault="00557DBC" w:rsidP="00557DBC">
      <w:pPr>
        <w:pStyle w:val="TableFigureNote"/>
        <w:jc w:val="center"/>
        <w:rPr>
          <w:i w:val="0"/>
        </w:rPr>
      </w:pPr>
    </w:p>
    <w:p w14:paraId="246EEE5E" w14:textId="77777777" w:rsidR="00AB09E9" w:rsidRDefault="00AB09E9" w:rsidP="00E84356">
      <w:pPr>
        <w:pStyle w:val="Heading2"/>
        <w:rPr>
          <w:b/>
          <w:i w:val="0"/>
        </w:rPr>
      </w:pPr>
      <w:r>
        <w:t>States' Preferences for Federal Money Differ</w:t>
      </w:r>
    </w:p>
    <w:p w14:paraId="4EBB5CEC" w14:textId="229E26F1" w:rsidR="00AB09E9" w:rsidRDefault="00AB09E9">
      <w:r>
        <w:tab/>
        <w:t>State governments depend on the national government for funds but vary in their tastes for federal spending.  States received about 32 percent of their total revenue from national sources in 2005 (Donovan, et al. 2009).  In 2012, Mississippi ranked first on the list of states relying on the national government for revenues, with nearly half of its funding (49.01%) coming from Washington. Mississippi’s Republican governor opposes the Medicaid expansion.  Alaska was the lowest recipient of feder</w:t>
      </w:r>
      <w:r w:rsidR="009913F5">
        <w:t>al support, garnering only 24</w:t>
      </w:r>
      <w:r>
        <w:t xml:space="preserve"> percent (Tax Foundation 2012) and its Republican governor also rejects the Medicaid expansion.   The refusal of Medicaid expansion </w:t>
      </w:r>
      <w:r>
        <w:lastRenderedPageBreak/>
        <w:t xml:space="preserve">under the PPACA does not indicate a general disavowal of federal funds going to state or a stand against the federal deficit, but appears to represent a partisan rejection of </w:t>
      </w:r>
      <w:proofErr w:type="spellStart"/>
      <w:r>
        <w:t>Obamacare</w:t>
      </w:r>
      <w:proofErr w:type="spellEnd"/>
      <w:r>
        <w:t xml:space="preserve">.  In the past, governors typically accepted Medicaid expansions as a form of “free” federal money, and U.S. House and Senate members claimed credit for those expansions as a benefit to the states that was a bargain due to the steep subsidy (Brown and Sparer 2003). </w:t>
      </w:r>
      <w:r w:rsidR="002147D8">
        <w:t xml:space="preserve"> Of course, the money is never free, but Medicaid is highly subsidized but remains a large portion of state spending.</w:t>
      </w:r>
    </w:p>
    <w:p w14:paraId="04E89C3C" w14:textId="77777777" w:rsidR="00AB09E9" w:rsidRDefault="00AB09E9">
      <w:r>
        <w:tab/>
        <w:t>Both liberal-leaning and conservative-leaning states have refused federal funds at times in the past fifty years, for both practical and ideological reasons (Nicholson-</w:t>
      </w:r>
      <w:proofErr w:type="spellStart"/>
      <w:r>
        <w:t>Crotty</w:t>
      </w:r>
      <w:proofErr w:type="spellEnd"/>
      <w:r>
        <w:t xml:space="preserve"> 2012).  Some states refused abstinence-only funding during the George W. Bush administration and some refused to compete for Race to the Top money under the Obama administration (Nicholson-</w:t>
      </w:r>
      <w:proofErr w:type="spellStart"/>
      <w:r>
        <w:t>Crotty</w:t>
      </w:r>
      <w:proofErr w:type="spellEnd"/>
      <w:r>
        <w:t xml:space="preserve"> 2012).  In 2010, a number of conservative states refused to accept federal stimulus money that would have extended unemployment coverage. Others refused to accept previously granted funds for high-speed rail and funds for creating a health exchange (Nicholson-</w:t>
      </w:r>
      <w:proofErr w:type="spellStart"/>
      <w:r>
        <w:t>Crotty</w:t>
      </w:r>
      <w:proofErr w:type="spellEnd"/>
      <w:r>
        <w:t xml:space="preserve"> 2012 449-450).  Some states take cues from the federal government on health care </w:t>
      </w:r>
      <w:proofErr w:type="gramStart"/>
      <w:r>
        <w:t>spending,</w:t>
      </w:r>
      <w:proofErr w:type="gramEnd"/>
      <w:r>
        <w:t xml:space="preserve"> others are not as welcoming (</w:t>
      </w:r>
      <w:proofErr w:type="spellStart"/>
      <w:r>
        <w:t>Weissert</w:t>
      </w:r>
      <w:proofErr w:type="spellEnd"/>
      <w:r>
        <w:t xml:space="preserve"> and </w:t>
      </w:r>
      <w:proofErr w:type="spellStart"/>
      <w:r>
        <w:t>Scheller</w:t>
      </w:r>
      <w:proofErr w:type="spellEnd"/>
      <w:r>
        <w:t xml:space="preserve"> 2008).  The division over Medicaid expansion is consistent with other recent partisan divisions, but differs in part because of Medicaid’s prominence in state health coverage and its crucial role in the PPACA plan.</w:t>
      </w:r>
    </w:p>
    <w:p w14:paraId="6ABE5CBF" w14:textId="5425C642" w:rsidR="00AB09E9" w:rsidRDefault="00AB09E9">
      <w:r>
        <w:tab/>
        <w:t xml:space="preserve">The 1994 Contract with America was a precursor to the recent refusal by some Republican governors to expand Medicaid.  Although Medicaid was not considered in the Contract, some Republican governors pushed for an end to the Medicaid entitlement in favor of a more limited block grant program.  Their success was stymied by the Clinton administration’s reaction to the 1994-1995 budget shutdown, in which the administration successfully created fears among the elderly </w:t>
      </w:r>
      <w:r w:rsidR="00FD0E24">
        <w:t>about</w:t>
      </w:r>
      <w:r>
        <w:t xml:space="preserve"> the effects of the block grant on nursing home care and on care for special needs </w:t>
      </w:r>
      <w:r>
        <w:lastRenderedPageBreak/>
        <w:t xml:space="preserve">children.  By 1996, despite early signs that the block grant initiative might succeed, the Republican push for Medicaid block grants was defeated (Thompson 2012).  </w:t>
      </w:r>
    </w:p>
    <w:p w14:paraId="23F8F902" w14:textId="03F49C4A" w:rsidR="00AB09E9" w:rsidRDefault="00AB09E9">
      <w:r>
        <w:tab/>
        <w:t xml:space="preserve">The GOP governors’ failure to secure a block grant for Medicaid in the mid-1990s led Republicans not to seek large Medicaid changes until fairly recently.  Block grants and other proposals to cut Medicaid did not re-emerge until 2011, with the rise of the Tea Party bloc in Congress (Thompson 2012).  </w:t>
      </w:r>
      <w:r w:rsidR="00FD0E24">
        <w:t xml:space="preserve">If the block grant scheme supported by the Republican-led U.S. House had become law in the 2012 fiscal year, the effect would have been a huge cut in Medicaid spending, about $1.4 trillion, in addition to repeal of the PPACA (Kaiser 2014). </w:t>
      </w:r>
      <w:r>
        <w:t xml:space="preserve">It is reasonable to expect that this antipathy toward Medicaid expansion among </w:t>
      </w:r>
      <w:r w:rsidR="00FD0E24">
        <w:t>some Republican</w:t>
      </w:r>
      <w:r>
        <w:t xml:space="preserve"> legislators may inform gubernatorial actions on program expansion as governors weigh the political costs and benefits of accepting the funds.</w:t>
      </w:r>
    </w:p>
    <w:p w14:paraId="2175919A" w14:textId="77777777" w:rsidR="00AB09E9" w:rsidRDefault="00AB09E9">
      <w:r>
        <w:tab/>
        <w:t xml:space="preserve">Despite the early refusal to accept Recovery Act funds, and despite early disavowal of PPACA and the legal challenge to the law, some governors have softened on their prior rejection of the Medicaid expansion.  Republican governors who once opposed the expansion have shifted to supporting it, albeit grudgingly.  Ohio Governor John Kasich said of the uninsured “What are we going to do, leave them out in the street, walk away from them when we have a chance to help them?” (Klein 2013).   His support of the Medicaid expansion was met with strong criticism from conservative groups and failed to receive support from the Ohio legislature, leading Kasich to circumvent the legislature and use a state board to bring about the expansion.  Gov. Jan Brewer (R, AZ), who initially opposed the PPACA, signed the expansion into law in </w:t>
      </w:r>
      <w:proofErr w:type="gramStart"/>
      <w:r>
        <w:t>June,</w:t>
      </w:r>
      <w:proofErr w:type="gramEnd"/>
      <w:r>
        <w:t xml:space="preserve"> 2013 after a protracted fight with conservatives in the Arizona House and Senate, with whom she was once joined in opposition to </w:t>
      </w:r>
      <w:proofErr w:type="spellStart"/>
      <w:r>
        <w:t>Obamacare</w:t>
      </w:r>
      <w:proofErr w:type="spellEnd"/>
      <w:r>
        <w:t xml:space="preserve">.  Florida's Scott shifted to support the Medicaid expansions after being assured that Florida would be allowed to continue with its managed-care </w:t>
      </w:r>
      <w:r>
        <w:lastRenderedPageBreak/>
        <w:t xml:space="preserve">style Medicaid program.  It was not supported in the legislature and he did not call a special session to address Medicaid.  </w:t>
      </w:r>
    </w:p>
    <w:p w14:paraId="365F8C8D" w14:textId="77777777" w:rsidR="00AB09E9" w:rsidRPr="00D75F8C" w:rsidRDefault="00AB09E9">
      <w:pPr>
        <w:rPr>
          <w:i/>
          <w:iCs/>
        </w:rPr>
      </w:pPr>
      <w:proofErr w:type="gramStart"/>
      <w:r w:rsidRPr="00D75F8C">
        <w:rPr>
          <w:i/>
          <w:iCs/>
        </w:rPr>
        <w:t>Governors</w:t>
      </w:r>
      <w:proofErr w:type="gramEnd"/>
      <w:r w:rsidRPr="00D75F8C">
        <w:rPr>
          <w:i/>
          <w:iCs/>
        </w:rPr>
        <w:t xml:space="preserve"> May be </w:t>
      </w:r>
      <w:proofErr w:type="gramStart"/>
      <w:r w:rsidRPr="00D75F8C">
        <w:rPr>
          <w:i/>
          <w:iCs/>
        </w:rPr>
        <w:t>Wary of Medicaid Expansion</w:t>
      </w:r>
      <w:proofErr w:type="gramEnd"/>
    </w:p>
    <w:p w14:paraId="0A9FBB44" w14:textId="3E58047C" w:rsidR="00AB09E9" w:rsidRDefault="00AB09E9">
      <w:r>
        <w:tab/>
        <w:t xml:space="preserve">Governors are often held responsible for state economic performance and spending regardless of whether they are able to affect either (Brace 1993).  Medicaid </w:t>
      </w:r>
      <w:r w:rsidR="00FD0E24">
        <w:t>is an enormous and constantly growing portion of state budgets</w:t>
      </w:r>
      <w:r>
        <w:t xml:space="preserve"> that </w:t>
      </w:r>
      <w:r w:rsidR="00FD0E24">
        <w:t>crowds out</w:t>
      </w:r>
      <w:r>
        <w:t xml:space="preserve"> other state spending needs (Altman and Beatrice 1990; </w:t>
      </w:r>
      <w:proofErr w:type="spellStart"/>
      <w:r>
        <w:t>Weissert</w:t>
      </w:r>
      <w:proofErr w:type="spellEnd"/>
      <w:r>
        <w:t xml:space="preserve"> 1992).  Medicaid payments consumed nearly 24 percent of state budgets in 2011-2012.  They ranged from a low of 9.3 percent in Wyoming </w:t>
      </w:r>
      <w:r w:rsidR="00FD0E24">
        <w:t>to a high of</w:t>
      </w:r>
      <w:r>
        <w:t xml:space="preserve"> 30.1 percent in Florida in fiscal 2012 (NASBO 2013).   Medicaid is a state-federal program designed to provide the indigent or medically indigent access to mainstream medical care.  The national government pays at least 50 percent of states' program costs, but can pay as high in 83 percent in states with lower median family incomes. It is not organized on a health delivery model, but is simply a payment system that relies on private providers as a source of care. The strain between the desire to provide access through generous eligibility and service coverage and the need to control Medicaid are longstanding problems faced by states and Medicaid program administrators (</w:t>
      </w:r>
      <w:proofErr w:type="spellStart"/>
      <w:r>
        <w:t>Holahan</w:t>
      </w:r>
      <w:proofErr w:type="spellEnd"/>
      <w:r>
        <w:t xml:space="preserve"> and Cohen 1986).  </w:t>
      </w:r>
    </w:p>
    <w:p w14:paraId="2CDFE277" w14:textId="77777777" w:rsidR="00AB09E9" w:rsidRDefault="00AB09E9">
      <w:r>
        <w:tab/>
        <w:t xml:space="preserve">The PPACA Medicaid expansion promises 100 percent of state Medicaid costs for people with incomes as high as 138 percent of the federal poverty level through 2017, after which reimbursements decline slowly and are fixed at 90 percent beginning in 2020.  It is a generous offer from the national government and would do much to reduce the portions of state population who have no health insurance that is most difficult to reach, the working poor.  Fiscally strapped state governments recognize that the money is not free in the long run since states will have to pay ten percent of the bill for persons who are at or below 138 percent of the federal poverty </w:t>
      </w:r>
      <w:r>
        <w:lastRenderedPageBreak/>
        <w:t xml:space="preserve">level in 2020.  Some partisan critics warn that the federal government may simply remove support for Medicaid with a change of party control of Congress, leaving the states responsible for the program's entire price (Coburn and Jindal 2013; Singer 2013).  </w:t>
      </w:r>
    </w:p>
    <w:p w14:paraId="23FFC301" w14:textId="77777777" w:rsidR="00AB09E9" w:rsidRDefault="00AB09E9">
      <w:r>
        <w:tab/>
        <w:t>The national government has not reneged on Medicaid spending commitments in the past, although the amounts states receive through the Federal Medical Assistance Percentages (FMAPs) have changed as states' wealth has changed.</w:t>
      </w:r>
      <w:r w:rsidR="00192EEB">
        <w:rPr>
          <w:rStyle w:val="FootnoteReference"/>
        </w:rPr>
        <w:footnoteReference w:id="4"/>
      </w:r>
      <w:r>
        <w:t xml:space="preserve"> Income increases in the South and Southwest have resulted in those states receiving lower FMAPs and higher state Medicaid shares.  Income declines relative to national income per capita in parts of the East and the Midwest have produced increases in FMAPs (and lower state Medicaid shares) in those areas (Miller 2011).  Thus there is some evidence of change in FMAP among the states, but no evidence of the US government refusing to pay for Medicaid benefits.  </w:t>
      </w:r>
    </w:p>
    <w:p w14:paraId="25E8B3B0" w14:textId="126885C8" w:rsidR="00AB09E9" w:rsidRDefault="00AB09E9">
      <w:r>
        <w:tab/>
        <w:t xml:space="preserve">There is </w:t>
      </w:r>
      <w:r w:rsidR="00FD0E24">
        <w:t xml:space="preserve">also </w:t>
      </w:r>
      <w:r>
        <w:t xml:space="preserve">concern </w:t>
      </w:r>
      <w:r w:rsidR="00FD0E24">
        <w:t>among some observers</w:t>
      </w:r>
      <w:r>
        <w:t xml:space="preserve"> that states </w:t>
      </w:r>
      <w:r w:rsidR="00FD0E24">
        <w:t>may</w:t>
      </w:r>
      <w:r>
        <w:t xml:space="preserve"> experience a “woodwork” or “Medicaid surge” effect upon implementation of PPACA in which new Medicaid enrollees and latent enrollees--those who were previously eligible but did not enroll--who come to the program in response to new knowledge about their eligibility and produce more-costly-to-the-states payment increases (</w:t>
      </w:r>
      <w:proofErr w:type="spellStart"/>
      <w:r>
        <w:t>Lewin</w:t>
      </w:r>
      <w:proofErr w:type="spellEnd"/>
      <w:r>
        <w:t xml:space="preserve"> Group 2013).  Existing research shows increased knowledge of Medicaid eligibility to increase program enrollment and service use (</w:t>
      </w:r>
      <w:proofErr w:type="spellStart"/>
      <w:r>
        <w:t>Stuber</w:t>
      </w:r>
      <w:proofErr w:type="spellEnd"/>
      <w:r>
        <w:t xml:space="preserve"> and Bradley 2005).  Thus there may be some reason to believe that </w:t>
      </w:r>
      <w:proofErr w:type="spellStart"/>
      <w:r>
        <w:t>Obamacare</w:t>
      </w:r>
      <w:proofErr w:type="spellEnd"/>
      <w:r>
        <w:t xml:space="preserve">, with its health navigators and other outreach efforts to increase public knowledge, may produce higher Medicaid enrollments and spending for states.  </w:t>
      </w:r>
      <w:bookmarkStart w:id="3" w:name="h.encclx8k4e29"/>
      <w:bookmarkEnd w:id="3"/>
    </w:p>
    <w:p w14:paraId="6B4234DC" w14:textId="77777777" w:rsidR="00AB09E9" w:rsidRPr="00E84356" w:rsidRDefault="00AB09E9" w:rsidP="00E84356">
      <w:pPr>
        <w:pStyle w:val="Heading1"/>
      </w:pPr>
      <w:r w:rsidRPr="00E84356">
        <w:lastRenderedPageBreak/>
        <w:t xml:space="preserve">Why Might Governors Refuse the </w:t>
      </w:r>
      <w:proofErr w:type="spellStart"/>
      <w:r w:rsidRPr="00E84356">
        <w:t>Obamacare</w:t>
      </w:r>
      <w:proofErr w:type="spellEnd"/>
      <w:r w:rsidRPr="00E84356">
        <w:t xml:space="preserve"> Medicaid Expansion?</w:t>
      </w:r>
    </w:p>
    <w:p w14:paraId="65F2D887" w14:textId="77777777" w:rsidR="00AB09E9" w:rsidRDefault="00AB09E9" w:rsidP="00E84356">
      <w:r>
        <w:tab/>
        <w:t>Governors face a constant tension over their ties to their party, public opinion, the state legislature, and the public good. We theorize the each of these factors weighs on governors' decisions and we use this framework to model their decisions empirically. The first three factors relate specifically to the political context of reform and the fourth relates directly to need for health insurance.</w:t>
      </w:r>
    </w:p>
    <w:p w14:paraId="30698F95" w14:textId="77777777" w:rsidR="00AB09E9" w:rsidRDefault="00AB09E9" w:rsidP="00E84356">
      <w:pPr>
        <w:pStyle w:val="Heading2"/>
      </w:pPr>
      <w:r>
        <w:t>Politics</w:t>
      </w:r>
    </w:p>
    <w:p w14:paraId="5CB6071E" w14:textId="77777777" w:rsidR="00AB09E9" w:rsidRDefault="00AB09E9">
      <w:r>
        <w:tab/>
        <w:t>Political beliefs and ideology affect Medicaid decisions, and partisan conflict has defined much of the debate over health reform (see, e.g., Grogan and Rigby 2009). Governors often oppose an opposite-party president's position, but opposition is tempered by concern for the state budget.  For example, several Republican governors willingly accepted Obama administration Recovery Act funds in 2009 (Pear and Goodman 2009), and governors typically accepted Medicaid expansions mandated by the national government regardless of party (Brown and Sharer 2003).   However, in the case of the Medicaid expansion under the PPACA, when the issue relates to key component of the Democratic president’s signature legislative achievement, we expect the probability that a Republican governor opposes the president to be large. Similarly, Democratic governors should be substantially less likely to oppose the president on this highly salient, partisan issue.  Elizabeth Rigby (2012) notes that partisan politics are the main influence on state government behavior on the choice to create state health exchanges, and the same may be true of the Medicaid expansion, even with such a large amount of aid available.  This leads to the first hypothesis.</w:t>
      </w:r>
    </w:p>
    <w:p w14:paraId="4E3BE862" w14:textId="77777777" w:rsidR="00AB09E9" w:rsidRDefault="00AB09E9">
      <w:pPr>
        <w:pStyle w:val="HypothesisText"/>
      </w:pPr>
      <w:r>
        <w:rPr>
          <w:smallCaps/>
        </w:rPr>
        <w:t>Gubernatorial Partisanship Hypothesis</w:t>
      </w:r>
      <w:r>
        <w:t>: Republican governors are more likely to oppose the Medicaid expansion funds than Democratic governors.</w:t>
      </w:r>
    </w:p>
    <w:p w14:paraId="6B4ED350" w14:textId="5F54F61F" w:rsidR="00AB09E9" w:rsidRDefault="00AB09E9">
      <w:r>
        <w:lastRenderedPageBreak/>
        <w:tab/>
        <w:t>Second, governors are accountable to a constituency, so they pay attention to voter preferences and opinion. Indeed, if governors cannot appeal to the majority of the voters in their state, then their future political prospects seem bare. Republican governors are more likely than GOP legislators to support redistributive policy spending because it benefits that statewide constituency from which they must seek support (</w:t>
      </w:r>
      <w:proofErr w:type="spellStart"/>
      <w:r>
        <w:t>Barrilleaux</w:t>
      </w:r>
      <w:proofErr w:type="spellEnd"/>
      <w:r>
        <w:t xml:space="preserve"> and </w:t>
      </w:r>
      <w:proofErr w:type="spellStart"/>
      <w:r>
        <w:t>Berkman</w:t>
      </w:r>
      <w:proofErr w:type="spellEnd"/>
      <w:r>
        <w:t xml:space="preserve"> 2003; Lewis, et al. 2013).  Therefore, if the people of a </w:t>
      </w:r>
      <w:r w:rsidR="00235054">
        <w:t>state have a generally favorable view of the Affordable Care Act</w:t>
      </w:r>
      <w:r>
        <w:t>, then we expect that governors will be less likely to oppose the expansion</w:t>
      </w:r>
      <w:proofErr w:type="gramStart"/>
      <w:r>
        <w:t>..</w:t>
      </w:r>
      <w:proofErr w:type="gramEnd"/>
    </w:p>
    <w:p w14:paraId="4A0D8A7D" w14:textId="03101A6B" w:rsidR="00AB09E9" w:rsidRDefault="00AB09E9">
      <w:pPr>
        <w:pStyle w:val="HypothesisText"/>
      </w:pPr>
      <w:r>
        <w:rPr>
          <w:smallCaps/>
        </w:rPr>
        <w:t>Public Opinion Hypothesis</w:t>
      </w:r>
      <w:r w:rsidR="00235054">
        <w:t>: G</w:t>
      </w:r>
      <w:r>
        <w:t>overnors are less likely to oppose the Medicaid expansion funds</w:t>
      </w:r>
      <w:r w:rsidR="00CE2C07">
        <w:t xml:space="preserve"> as the proportion of the state with a favorable view of the Affordable Care Act increases</w:t>
      </w:r>
      <w:r>
        <w:t>.</w:t>
      </w:r>
    </w:p>
    <w:p w14:paraId="0486C2F1" w14:textId="77777777" w:rsidR="00AB09E9" w:rsidRDefault="00AB09E9">
      <w:r>
        <w:tab/>
        <w:t>Third, any decision to accept Medicaid funds must pass through the legislature. Governors should be more likely to oppose the funds when they can expect their decision to oppose expansion to be supported by the state legislature. In particular, governors can expect fellow-opposition if their legislature is controlled by Republicans. This leads to the final hypothesis concerning politics.</w:t>
      </w:r>
    </w:p>
    <w:p w14:paraId="40F14FBF" w14:textId="77777777" w:rsidR="00AB09E9" w:rsidRDefault="00AB09E9">
      <w:pPr>
        <w:pStyle w:val="HypothesisText"/>
      </w:pPr>
      <w:r>
        <w:rPr>
          <w:smallCaps/>
        </w:rPr>
        <w:t>Legislative Partisanship Hypothesis</w:t>
      </w:r>
      <w:r>
        <w:t xml:space="preserve">: Governors are more likely to oppose the federal Medicaid expansion if </w:t>
      </w:r>
      <w:proofErr w:type="gramStart"/>
      <w:r>
        <w:t>the state legislature is controlled by Republicans</w:t>
      </w:r>
      <w:proofErr w:type="gramEnd"/>
      <w:r>
        <w:t>.</w:t>
      </w:r>
    </w:p>
    <w:p w14:paraId="048D3512" w14:textId="77777777" w:rsidR="00AB09E9" w:rsidRDefault="00AB09E9" w:rsidP="00E84356">
      <w:pPr>
        <w:pStyle w:val="Heading2"/>
      </w:pPr>
      <w:r>
        <w:t>Citizen Needs</w:t>
      </w:r>
    </w:p>
    <w:p w14:paraId="3839AF7C" w14:textId="77777777" w:rsidR="00AB09E9" w:rsidRDefault="00AB09E9">
      <w:r>
        <w:tab/>
        <w:t xml:space="preserve">Regardless of party or public opinion, we expect governors to be responsive to the needs of the public. The proposed expansion is the most generous Medicaid reimbursement in the program's history, and most observers expected states committed to reducing </w:t>
      </w:r>
      <w:proofErr w:type="spellStart"/>
      <w:r>
        <w:t>uninsurance</w:t>
      </w:r>
      <w:proofErr w:type="spellEnd"/>
      <w:r>
        <w:t xml:space="preserve"> would adopt that portion of the PPACA willingly. Given the effectiveness of past Medicaid expansions on insurance coverage (see, e.g., </w:t>
      </w:r>
      <w:proofErr w:type="spellStart"/>
      <w:r>
        <w:t>Kail</w:t>
      </w:r>
      <w:proofErr w:type="spellEnd"/>
      <w:r>
        <w:t xml:space="preserve">, </w:t>
      </w:r>
      <w:proofErr w:type="spellStart"/>
      <w:r>
        <w:t>Quadagno</w:t>
      </w:r>
      <w:proofErr w:type="spellEnd"/>
      <w:r>
        <w:t xml:space="preserve"> and Dixon 2009), the decision to refuse a </w:t>
      </w:r>
      <w:r>
        <w:lastRenderedPageBreak/>
        <w:t xml:space="preserve">federal subsidy that would provide insurance to large uninsured populations is an extreme political choice. However, states vary in their need for a Medicaid expansion. While some states would benefit a great deal from the expansion, other states would benefit less.  The states that would benefit most in terms of expanding coverage are those with the most limited Medicaid programs, several with governors who oppose the expansion.  </w:t>
      </w:r>
    </w:p>
    <w:p w14:paraId="180DE784" w14:textId="26C96522" w:rsidR="00AB09E9" w:rsidRDefault="00AB09E9">
      <w:r>
        <w:tab/>
        <w:t xml:space="preserve">In 2011, about 48.6 million non-institutionalized adults between the ages of 18-64 were uninsured, about 15.7 percent of the non-institutionalized adult population (Todd and Summers 2012).  The bloc of persons who are most likely to take advantage of the Medicaid expansions are those who will gain services as a result of the expansion, people whose incomes equal 138 percent of federal poverty level or less.  Demand for expanded insurance should increase where there is more unrealized demand, </w:t>
      </w:r>
      <w:r w:rsidR="00C96AFE">
        <w:t>for people who live</w:t>
      </w:r>
      <w:r>
        <w:t xml:space="preserve"> in states </w:t>
      </w:r>
      <w:r w:rsidR="00C96AFE">
        <w:t>that</w:t>
      </w:r>
      <w:r>
        <w:t xml:space="preserve"> provide coverage at levels below the 138% mark.  Two specific groups stand to benefit from expansion: the uninsured and healthcare providers.</w:t>
      </w:r>
    </w:p>
    <w:p w14:paraId="687760A8" w14:textId="77777777" w:rsidR="00AB09E9" w:rsidRDefault="00AB09E9">
      <w:r>
        <w:tab/>
        <w:t>The size of the uninsured population among the states may affect states’ choices to expand Medicaid.  Medicaid expansions were the sole effective tool used by states to increase health insurance coverage in the aftermath of the Clinton health reforms (</w:t>
      </w:r>
      <w:proofErr w:type="spellStart"/>
      <w:r>
        <w:t>Barrilleaux</w:t>
      </w:r>
      <w:proofErr w:type="spellEnd"/>
      <w:r>
        <w:t xml:space="preserve"> and Brace 2007; </w:t>
      </w:r>
      <w:proofErr w:type="spellStart"/>
      <w:r>
        <w:t>Bernick</w:t>
      </w:r>
      <w:proofErr w:type="spellEnd"/>
      <w:r>
        <w:t xml:space="preserve"> and Myers 2008; </w:t>
      </w:r>
      <w:proofErr w:type="spellStart"/>
      <w:r>
        <w:t>Kail</w:t>
      </w:r>
      <w:proofErr w:type="spellEnd"/>
      <w:r>
        <w:t xml:space="preserve">, </w:t>
      </w:r>
      <w:proofErr w:type="spellStart"/>
      <w:r>
        <w:t>Quadagno</w:t>
      </w:r>
      <w:proofErr w:type="spellEnd"/>
      <w:r>
        <w:t xml:space="preserve"> and Dixon 2009), but only a handful of states with the most generous prior Medicaid policies used that approach to reducing </w:t>
      </w:r>
      <w:proofErr w:type="spellStart"/>
      <w:r>
        <w:t>uninsurance</w:t>
      </w:r>
      <w:proofErr w:type="spellEnd"/>
      <w:r>
        <w:t xml:space="preserve">.  Thus Medicaid expansion is a policy tool that's proved to work well in reducing the numbers of uninsured in the states.  </w:t>
      </w:r>
    </w:p>
    <w:p w14:paraId="46C40597" w14:textId="5EFC05C4" w:rsidR="00AB09E9" w:rsidRDefault="00AB09E9">
      <w:r>
        <w:tab/>
        <w:t xml:space="preserve">Healthcare providers also stand to gain from the expansion, especially in states with large numbers of uninsured. Expanding health coverage reduces the uncompensated care burden for providers, so that healthcare suppliers, hospitals, clinics, participating physicians, managed care </w:t>
      </w:r>
      <w:r>
        <w:lastRenderedPageBreak/>
        <w:t xml:space="preserve">organizations, pharmacies, and other providers also stand to benefit from broader Medicaid coverage, which makes it more likely that they will get paid for the services they provide. Thus providers, especially not-for-profit and public hospitals, support Medicaid expansions.  </w:t>
      </w:r>
      <w:r w:rsidR="00C96AFE">
        <w:t xml:space="preserve">The not-for-profit hospitals are especially </w:t>
      </w:r>
      <w:proofErr w:type="spellStart"/>
      <w:proofErr w:type="gramStart"/>
      <w:r w:rsidR="00C96AFE">
        <w:t>keene</w:t>
      </w:r>
      <w:proofErr w:type="spellEnd"/>
      <w:proofErr w:type="gramEnd"/>
      <w:r w:rsidR="00C96AFE">
        <w:t xml:space="preserve"> to see Medicaid expansions, because those expansions lead to expansions in state disproportionate share payments (DSH), which are payments made in addition to regular hospitalization for hospitals that treat large uncompensated care populations.  With Medicaid expansion, DSH payments will disappear, increasing the financial difficulties of the hospitals with large uncompensated care burdens.</w:t>
      </w:r>
    </w:p>
    <w:p w14:paraId="691755A8" w14:textId="77777777" w:rsidR="00AB09E9" w:rsidRDefault="00AB09E9">
      <w:r>
        <w:tab/>
        <w:t>Thus, the benefit that each state received from the expansion seems to increase with the size of the uninsured population. This leads to the hypothesis relating to needs.</w:t>
      </w:r>
    </w:p>
    <w:p w14:paraId="3F3E0C23" w14:textId="77777777" w:rsidR="00AB09E9" w:rsidRDefault="00AB09E9">
      <w:pPr>
        <w:pStyle w:val="HypothesisText"/>
      </w:pPr>
      <w:r>
        <w:rPr>
          <w:smallCaps/>
        </w:rPr>
        <w:t>Needs Hypothesis</w:t>
      </w:r>
      <w:r>
        <w:t>: Governors are less likely to oppose the federal Medicaid expansion funds as the percent of uninsured in their state increases.</w:t>
      </w:r>
    </w:p>
    <w:p w14:paraId="4A646917" w14:textId="77777777" w:rsidR="00AB09E9" w:rsidRDefault="00AB09E9">
      <w:pPr>
        <w:pStyle w:val="HypothesisText"/>
        <w:ind w:left="0"/>
      </w:pPr>
      <w:r>
        <w:tab/>
        <w:t xml:space="preserve">To review, we expect governors' decisions to be affected by some mixture of political and citizen needs considerations, and we test four hypotheses that fall within those heading.  In the section below we discuss measurement and estimation.  </w:t>
      </w:r>
    </w:p>
    <w:p w14:paraId="0920710C" w14:textId="77777777" w:rsidR="00AB09E9" w:rsidRPr="00E84356" w:rsidRDefault="00AB09E9" w:rsidP="00E84356">
      <w:pPr>
        <w:pStyle w:val="Heading1"/>
      </w:pPr>
      <w:bookmarkStart w:id="4" w:name="h.n5b9q5mrb5c6"/>
      <w:bookmarkEnd w:id="4"/>
      <w:r w:rsidRPr="00E84356">
        <w:t>Empirical Analysis</w:t>
      </w:r>
    </w:p>
    <w:p w14:paraId="05A0835B" w14:textId="27C589BA" w:rsidR="00192EEB" w:rsidRDefault="00AB09E9" w:rsidP="00B15E03">
      <w:r>
        <w:tab/>
        <w:t>Our outcome of interest is public opposition to the Medicare expansion, so our outcome variable equals one if the governor opposes Medicaid expansion and zero otherwise.</w:t>
      </w:r>
      <w:r w:rsidR="00CE2C07">
        <w:rPr>
          <w:rStyle w:val="FootnoteReference"/>
        </w:rPr>
        <w:footnoteReference w:id="5"/>
      </w:r>
      <w:r>
        <w:t xml:space="preserve"> We model </w:t>
      </w:r>
      <w:r>
        <w:lastRenderedPageBreak/>
        <w:t>the outcome using logistic regression as a simple linear function of the</w:t>
      </w:r>
      <w:r w:rsidR="00B74868">
        <w:t xml:space="preserve"> (sta</w:t>
      </w:r>
      <w:r w:rsidR="005246D7">
        <w:t>ndardized)</w:t>
      </w:r>
      <w:r>
        <w:t xml:space="preserve"> explanatory variables along with several </w:t>
      </w:r>
      <w:r w:rsidR="005246D7">
        <w:t xml:space="preserve">(standardized) </w:t>
      </w:r>
      <w:r>
        <w:t>control variables.</w:t>
      </w:r>
      <w:r w:rsidR="008A00A9">
        <w:rPr>
          <w:rStyle w:val="FootnoteReference"/>
        </w:rPr>
        <w:footnoteReference w:id="6"/>
      </w:r>
      <w:r>
        <w:t xml:space="preserve"> Our explanatory variables of interest are an indictor for whether </w:t>
      </w:r>
      <w:r w:rsidR="00CE2C07">
        <w:t>the governor is a Republican, an estimate of the percentage of a state’s citizens with favorable v</w:t>
      </w:r>
      <w:r w:rsidR="002F4C72">
        <w:t>iew of the Affordable Care Act</w:t>
      </w:r>
      <w:r>
        <w:t>, an indicator for whether the legislature is controlled by Republicans, and the percentage of the state's population that is uninsured.</w:t>
      </w:r>
      <w:r w:rsidR="00AD7486">
        <w:rPr>
          <w:rStyle w:val="FootnoteReference"/>
        </w:rPr>
        <w:footnoteReference w:id="7"/>
      </w:r>
      <w:r w:rsidR="00DB6F15">
        <w:t xml:space="preserve"> We use four</w:t>
      </w:r>
      <w:r>
        <w:t xml:space="preserve"> other ex</w:t>
      </w:r>
      <w:r w:rsidR="00DB6F15">
        <w:t>planatory variables as controls. First, we include a measure of fiscal health, using the states’ year-end reserves as a percentage of total spending and intended to capture states’ ability to pay [Charles: Perhaps we should add a cite here?].</w:t>
      </w:r>
      <w:r w:rsidR="00DB6F15">
        <w:rPr>
          <w:rStyle w:val="FootnoteReference"/>
        </w:rPr>
        <w:footnoteReference w:id="8"/>
      </w:r>
      <w:r w:rsidR="00DB6F15">
        <w:t xml:space="preserve">  </w:t>
      </w:r>
      <w:r w:rsidR="005017C9">
        <w:t xml:space="preserve">We also include </w:t>
      </w:r>
      <w:r w:rsidR="00DB6F15">
        <w:t>the states’ current Medicaid multiplier</w:t>
      </w:r>
      <w:r w:rsidR="005017C9">
        <w:t xml:space="preserve"> to</w:t>
      </w:r>
      <w:r w:rsidR="00DB6F15">
        <w:t xml:space="preserve"> captures the “deal” that states’ are getting on the new Medicaid money </w:t>
      </w:r>
      <w:r w:rsidR="005017C9">
        <w:t xml:space="preserve">relative </w:t>
      </w:r>
      <w:r w:rsidR="00DB6F15">
        <w:t>to their current rate</w:t>
      </w:r>
      <w:r w:rsidR="005017C9">
        <w:t xml:space="preserve">. For example, it could be that the national government’s offer to pay 90% of the new Medicaid expenses in not attractive to Mississippi, for whom the national government already pays 74% of Medicaid expenses. Lastly, African-Americans and those living in cities are more likely to enroll in Medicaid, so we include controls </w:t>
      </w:r>
      <w:r w:rsidR="005017C9">
        <w:lastRenderedPageBreak/>
        <w:t>for the percent of the state that is non-white and the percent of the state living in metropolitan areas.</w:t>
      </w:r>
      <w:r>
        <w:t xml:space="preserve"> We scale each explanatory variable to have mean zero and standard deviation 0.5, with the exception of binary explanatory variables, which we simply center by subtracting the mean. This allows us to place a common prior distribution on all coefficients (</w:t>
      </w:r>
      <w:proofErr w:type="spellStart"/>
      <w:r>
        <w:t>Gelman</w:t>
      </w:r>
      <w:proofErr w:type="spellEnd"/>
      <w:r>
        <w:t xml:space="preserve"> et al. 2008) and more directly compare the magnitude of the coefficients (</w:t>
      </w:r>
      <w:proofErr w:type="spellStart"/>
      <w:r>
        <w:t>Gelman</w:t>
      </w:r>
      <w:proofErr w:type="spellEnd"/>
      <w:r>
        <w:t xml:space="preserve"> 2008). </w:t>
      </w:r>
    </w:p>
    <w:p w14:paraId="6E827BFE" w14:textId="645C7611" w:rsidR="00386372" w:rsidRPr="00192EEB" w:rsidRDefault="00386372" w:rsidP="00386372">
      <w:pPr>
        <w:jc w:val="center"/>
      </w:pPr>
      <w:r>
        <w:t xml:space="preserve">[Insert </w:t>
      </w:r>
      <w:r w:rsidR="00557DBC">
        <w:fldChar w:fldCharType="begin"/>
      </w:r>
      <w:r w:rsidR="00557DBC">
        <w:instrText xml:space="preserve"> REF _Ref263016655 \h </w:instrText>
      </w:r>
      <w:r w:rsidR="00557DBC">
        <w:fldChar w:fldCharType="separate"/>
      </w:r>
      <w:r w:rsidR="00557DBC">
        <w:t xml:space="preserve">Table </w:t>
      </w:r>
      <w:r w:rsidR="00557DBC">
        <w:rPr>
          <w:noProof/>
        </w:rPr>
        <w:t>1</w:t>
      </w:r>
      <w:r w:rsidR="00557DBC">
        <w:fldChar w:fldCharType="end"/>
      </w:r>
      <w:r>
        <w:t>about here.]</w:t>
      </w:r>
    </w:p>
    <w:p w14:paraId="228D1363" w14:textId="66B8D0B5" w:rsidR="00AB09E9" w:rsidRDefault="00AB09E9">
      <w:r>
        <w:tab/>
        <w:t xml:space="preserve">The usual likelihood estimation fails in two important ways with our data. First, and most importantly, the data are quasi-separated (Zorn 2005). Data reported in Table </w:t>
      </w:r>
      <w:r w:rsidR="00557DBC">
        <w:t>1</w:t>
      </w:r>
      <w:r>
        <w:t xml:space="preserve"> show that being a Democratic governor predicts non-opposition perfectly. In this situation, maximum likelihood does not provide reasonable estimates.</w:t>
      </w:r>
      <w:r w:rsidR="00192EEB">
        <w:rPr>
          <w:rStyle w:val="FootnoteReference"/>
        </w:rPr>
        <w:footnoteReference w:id="9"/>
      </w:r>
      <w:r>
        <w:t xml:space="preserve"> As a solution, we follow </w:t>
      </w:r>
      <w:proofErr w:type="spellStart"/>
      <w:r>
        <w:t>Gelman</w:t>
      </w:r>
      <w:proofErr w:type="spellEnd"/>
      <w:r>
        <w:t xml:space="preserve"> et al.'s (2008) suggestion to build in a small amount of prior information </w:t>
      </w:r>
      <w:r w:rsidR="008D1C49">
        <w:t xml:space="preserve">into the estimation through a </w:t>
      </w:r>
      <w:r w:rsidR="00691461">
        <w:t xml:space="preserve">(scaled) </w:t>
      </w:r>
      <w:r>
        <w:t>Cauchy prior distribution. The prior for the model coefficients takes the form of a Cauchy distribution centered at zero with scale 2.5 (with a scale of 10 for the intercept).</w:t>
      </w:r>
      <w:r>
        <w:rPr>
          <w:rStyle w:val="FootnoteReference"/>
        </w:rPr>
        <w:footnoteReference w:id="10"/>
      </w:r>
      <w:r>
        <w:t xml:space="preserve"> The Cauchy distribution has very heavy tails, which does not rule out very large coefficients, but places </w:t>
      </w:r>
      <w:r>
        <w:lastRenderedPageBreak/>
        <w:t>higher prior weight on coefficients that are between -5 and 5. Because all variables are rescaled to have mean zero and standard deviation one-half, a logistic regression coefficient of five means that a two standard deviation increase in continuous measures or change from zero to one in a dichotomous measures increases the probability of an event from 0.01 to 0.99.  Our prior simply suggests that effects larger than this are unlikely, but not impossible.</w:t>
      </w:r>
      <w:r>
        <w:rPr>
          <w:rStyle w:val="FootnoteReference"/>
        </w:rPr>
        <w:footnoteReference w:id="11"/>
      </w:r>
    </w:p>
    <w:p w14:paraId="192D8593" w14:textId="6222C58D" w:rsidR="00AB09E9" w:rsidRPr="00AB09E9" w:rsidRDefault="00AB09E9">
      <w:r>
        <w:tab/>
        <w:t>Secondly, the sample of 50 states is too small to rely on asymptotic variance estimators. While maximum likelihood estimators are normally distributed about the true mean with the smallest possible variance for large sample sizes, these properties might not hold for small samples (Train 2009, Casella and Berger 2002).</w:t>
      </w:r>
      <w:r w:rsidR="00192EEB">
        <w:rPr>
          <w:rStyle w:val="FootnoteReference"/>
        </w:rPr>
        <w:footnoteReference w:id="12"/>
      </w:r>
      <w:r>
        <w:t xml:space="preserve"> Thus, instead of relying on the analytical (asymptotic) standard errors and assuming normality to conduct hypothesis tests and calculate confidence intervals, we use MCMC to directly sample from the posterior distributions of the model coefficients and transform these simulations to obtain substantively meaningful quantities of interest (King, </w:t>
      </w:r>
      <w:proofErr w:type="spellStart"/>
      <w:r>
        <w:t>Tomz</w:t>
      </w:r>
      <w:proofErr w:type="spellEnd"/>
      <w:r>
        <w:t>, Wittenberg 2000). We use the median of the posterior simulations as our point estimates and the 5th and 95th percentiles to construct a 90% (equal-tailed) credible interval.</w:t>
      </w:r>
      <w:bookmarkStart w:id="5" w:name="h.px0epljy58pw"/>
      <w:bookmarkEnd w:id="5"/>
      <w:r>
        <w:t xml:space="preserve"> To assess the evidence for our hypotheses, we simply calculate the proportion of the </w:t>
      </w:r>
      <w:r>
        <w:lastRenderedPageBreak/>
        <w:t>simulations that are inconsistent with the research hypothesis</w:t>
      </w:r>
      <w:r w:rsidR="00B3328F">
        <w:t xml:space="preserve">, which we denote as </w:t>
      </w:r>
      <w:proofErr w:type="gramStart"/>
      <m:oMath>
        <m:r>
          <w:rPr>
            <w:rFonts w:ascii="Cambria Math" w:hAnsi="Cambria Math"/>
          </w:rPr>
          <m:t>Pr(</m:t>
        </m:r>
        <w:proofErr w:type="gramEnd"/>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00BF3383" w:rsidRPr="00CE7BF0">
        <w:t>)</w:t>
      </w:r>
      <w:r>
        <w:t xml:space="preserve">. </w:t>
      </w:r>
      <w:r w:rsidR="00325215">
        <w:t xml:space="preserve">The quantity </w:t>
      </w:r>
      <m:oMath>
        <m:r>
          <w:rPr>
            <w:rFonts w:ascii="Cambria Math" w:hAnsi="Cambria Math"/>
          </w:rPr>
          <m:t>1-Pr(</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000943A5" w:rsidRPr="00CE7BF0">
        <w:t>)</w:t>
      </w:r>
      <w:r w:rsidR="000943A5">
        <w:t xml:space="preserve"> can be interpreted</w:t>
      </w:r>
      <w:r w:rsidR="00B428FF">
        <w:t xml:space="preserve"> as </w:t>
      </w:r>
      <w:r w:rsidR="000943A5">
        <w:t>the probabil</w:t>
      </w:r>
      <w:r w:rsidR="00B428FF">
        <w:t xml:space="preserve">ity of the null hypothesis given the data and is </w:t>
      </w:r>
      <w:r w:rsidR="009B135D">
        <w:t xml:space="preserve">approximately </w:t>
      </w:r>
      <w:r>
        <w:t xml:space="preserve">comparable to a classical </w:t>
      </w:r>
      <w:r>
        <w:rPr>
          <w:i/>
        </w:rPr>
        <w:t>p</w:t>
      </w:r>
      <w:r w:rsidR="0006714E">
        <w:t>-value for the</w:t>
      </w:r>
      <w:r w:rsidR="00DC4EBC">
        <w:t xml:space="preserve"> directional</w:t>
      </w:r>
      <w:r w:rsidR="0006714E">
        <w:t xml:space="preserve"> hypotheses we examine.</w:t>
      </w:r>
      <w:r w:rsidR="00DC4EBC">
        <w:rPr>
          <w:rStyle w:val="FootnoteReference"/>
        </w:rPr>
        <w:footnoteReference w:id="13"/>
      </w:r>
      <w:r w:rsidR="0006714E">
        <w:t xml:space="preserve"> Thus,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 0.95</m:t>
        </m:r>
      </m:oMath>
      <w:r w:rsidR="00CE41FF">
        <w:t xml:space="preserve"> is </w:t>
      </w:r>
      <w:r w:rsidR="00DC4EBC">
        <w:t xml:space="preserve">evidence </w:t>
      </w:r>
      <w:r w:rsidR="00CE41FF">
        <w:t xml:space="preserve">comparable to </w:t>
      </w:r>
      <w:r w:rsidR="00CE41FF" w:rsidRPr="00CE41FF">
        <w:rPr>
          <w:i/>
        </w:rPr>
        <w:t>p = 0.05</w:t>
      </w:r>
      <w:r w:rsidR="00CE41FF">
        <w:t>.</w:t>
      </w:r>
      <w:r w:rsidR="002568B2">
        <w:t xml:space="preserve"> Because we have a small sample of 50 states, we interpret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&gt; 0.95</m:t>
        </m:r>
      </m:oMath>
      <w:r w:rsidR="002568B2">
        <w:t xml:space="preserve"> as strong evidence, </w:t>
      </w:r>
      <m:oMath>
        <m:r>
          <w:rPr>
            <w:rFonts w:ascii="Cambria Math" w:hAnsi="Cambria Math"/>
          </w:rPr>
          <m:t>0.90&lt; 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&lt; 0.95</m:t>
        </m:r>
      </m:oMath>
      <w:r w:rsidR="002568B2">
        <w:t xml:space="preserve">, as moderate evidence, and </w:t>
      </w:r>
      <m:oMath>
        <m:r>
          <w:rPr>
            <w:rFonts w:ascii="Cambria Math" w:hAnsi="Cambria Math"/>
          </w:rPr>
          <m:t>0.85&lt; 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&lt;0.90</m:t>
        </m:r>
      </m:oMath>
      <w:r w:rsidR="002568B2">
        <w:t xml:space="preserve"> as weak evidence and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&lt; 0.85</m:t>
        </m:r>
      </m:oMath>
      <w:r w:rsidR="002568B2">
        <w:t xml:space="preserve"> as ambiguous evidence.</w:t>
      </w:r>
    </w:p>
    <w:p w14:paraId="026A0C42" w14:textId="77777777" w:rsidR="00AB09E9" w:rsidRDefault="00AB09E9" w:rsidP="00E84356">
      <w:pPr>
        <w:pStyle w:val="Heading1"/>
      </w:pPr>
      <w:r>
        <w:t>Estimates</w:t>
      </w:r>
    </w:p>
    <w:p w14:paraId="1B7BF831" w14:textId="2629783D" w:rsidR="00CB0E66" w:rsidRDefault="00AB09E9">
      <w:r>
        <w:tab/>
        <w:t>Figure 2 s</w:t>
      </w:r>
      <w:r w:rsidR="00B3328F">
        <w:t xml:space="preserve">hows the coefficient estimates and </w:t>
      </w:r>
      <w:r w:rsidR="00B74868">
        <w:t>Table 2 summarizes the evidence for each hypothesis</w:t>
      </w:r>
      <w:r>
        <w:t>. Notice first that the data strongly support the Gubernatorial Partisanship Hypothesis (</w:t>
      </w:r>
      <w:proofErr w:type="gramStart"/>
      <m:oMath>
        <m:r>
          <w:rPr>
            <w:rFonts w:ascii="Cambria Math" w:hAnsi="Cambria Math"/>
          </w:rPr>
          <m:t>Pr(</m:t>
        </m:r>
        <w:proofErr w:type="gramEnd"/>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00BF3383" w:rsidRPr="00CE7BF0">
        <w:t>)</w:t>
      </w:r>
      <w:r w:rsidR="00AC2514">
        <w:t xml:space="preserve"> </w:t>
      </w:r>
      <w:r w:rsidR="008D5866">
        <w:t>&gt;</w:t>
      </w:r>
      <w:r w:rsidR="00BF3383">
        <w:t xml:space="preserve"> 0.99</w:t>
      </w:r>
      <w:r w:rsidR="002B4C4E">
        <w:t xml:space="preserve">), which suggests </w:t>
      </w:r>
      <w:r>
        <w:t>that</w:t>
      </w:r>
      <w:r w:rsidR="002B4C4E">
        <w:t xml:space="preserve"> Republican governors are </w:t>
      </w:r>
      <w:r>
        <w:t xml:space="preserve">more likely to oppose the expansion than their Democratic counterparts. </w:t>
      </w:r>
      <w:r w:rsidR="00A629AB">
        <w:t>In particular, in otherwise “Republican</w:t>
      </w:r>
      <w:r w:rsidR="00450846">
        <w:t xml:space="preserve">” states (GOP-controlled legislatures, </w:t>
      </w:r>
      <w:r w:rsidR="00B07E5A">
        <w:t xml:space="preserve">38% </w:t>
      </w:r>
      <w:r w:rsidR="00312584">
        <w:t>view A</w:t>
      </w:r>
      <w:r w:rsidR="008A0B72">
        <w:t>CA</w:t>
      </w:r>
      <w:r w:rsidR="00312584">
        <w:t xml:space="preserve"> favorably</w:t>
      </w:r>
      <w:r w:rsidR="008A0B72">
        <w:t xml:space="preserve">, and all other variables set at their sample medians), </w:t>
      </w:r>
      <w:r w:rsidR="00C0222B">
        <w:t>having a Republican governor (as opposed to a Democratic governor) increases the chance of gube</w:t>
      </w:r>
      <w:r w:rsidR="003218C1">
        <w:t>rnatorial opposition by about 49 [23, 74</w:t>
      </w:r>
      <w:r w:rsidR="00E54BE3">
        <w:t>] percentage points.</w:t>
      </w:r>
      <w:r w:rsidR="00312584">
        <w:rPr>
          <w:rStyle w:val="FootnoteReference"/>
        </w:rPr>
        <w:footnoteReference w:id="14"/>
      </w:r>
      <w:r w:rsidR="00E54BE3">
        <w:t xml:space="preserve"> </w:t>
      </w:r>
      <w:r w:rsidR="007866BF">
        <w:t>I</w:t>
      </w:r>
      <w:r w:rsidR="00771FCF">
        <w:t>n otherwise “Democratic” states (legislatures not controlled by GOP</w:t>
      </w:r>
      <w:r w:rsidR="006E644D">
        <w:t>, about 51</w:t>
      </w:r>
      <w:r w:rsidR="00210EDC">
        <w:t>% view ACA favorably, and all other variables set at their sample medians)</w:t>
      </w:r>
      <w:r w:rsidR="00D86466">
        <w:t xml:space="preserve">, having a Republican governor </w:t>
      </w:r>
      <w:r w:rsidR="00D86466">
        <w:lastRenderedPageBreak/>
        <w:t>increases the chance of gub</w:t>
      </w:r>
      <w:r w:rsidR="00B53406">
        <w:t>ernatorial opposition by about 9 [0.01, 0.38</w:t>
      </w:r>
      <w:r w:rsidR="00D86466">
        <w:t>] per</w:t>
      </w:r>
      <w:r w:rsidR="003E7235">
        <w:t>centage points.</w:t>
      </w:r>
      <w:r w:rsidR="003E7235">
        <w:rPr>
          <w:rStyle w:val="FootnoteReference"/>
        </w:rPr>
        <w:footnoteReference w:id="15"/>
      </w:r>
    </w:p>
    <w:p w14:paraId="2B106090" w14:textId="269F0035" w:rsidR="00557DBC" w:rsidRDefault="00557DBC" w:rsidP="00557DBC">
      <w:pPr>
        <w:jc w:val="center"/>
      </w:pPr>
      <w:r>
        <w:t xml:space="preserve">[Insert </w:t>
      </w:r>
      <w:r>
        <w:fldChar w:fldCharType="begin"/>
      </w:r>
      <w:r>
        <w:instrText xml:space="preserve"> REF _Ref263016796 \h </w:instrText>
      </w:r>
      <w:r>
        <w:fldChar w:fldCharType="separate"/>
      </w:r>
      <w:r>
        <w:t xml:space="preserve">Figure </w:t>
      </w:r>
      <w:r>
        <w:rPr>
          <w:noProof/>
        </w:rPr>
        <w:t>2</w:t>
      </w:r>
      <w:r>
        <w:fldChar w:fldCharType="end"/>
      </w:r>
      <w:r>
        <w:t xml:space="preserve"> about here.]</w:t>
      </w:r>
    </w:p>
    <w:p w14:paraId="6CE63587" w14:textId="468658FB" w:rsidR="00F4232B" w:rsidRPr="00557DBC" w:rsidRDefault="00386372" w:rsidP="00386372">
      <w:pPr>
        <w:pStyle w:val="Caption"/>
        <w:jc w:val="center"/>
        <w:rPr>
          <w:b w:val="0"/>
          <w:sz w:val="28"/>
        </w:rPr>
      </w:pPr>
      <w:r w:rsidRPr="00557DBC">
        <w:rPr>
          <w:b w:val="0"/>
          <w:sz w:val="28"/>
        </w:rPr>
        <w:t>[</w:t>
      </w:r>
      <w:r w:rsidRPr="00557DBC">
        <w:rPr>
          <w:b w:val="0"/>
        </w:rPr>
        <w:t>Insert</w:t>
      </w:r>
      <w:r w:rsidR="00557DBC" w:rsidRPr="00557DBC">
        <w:rPr>
          <w:b w:val="0"/>
        </w:rPr>
        <w:t xml:space="preserve"> </w:t>
      </w:r>
      <w:r w:rsidR="00557DBC" w:rsidRPr="00557DBC">
        <w:rPr>
          <w:b w:val="0"/>
        </w:rPr>
        <w:fldChar w:fldCharType="begin"/>
      </w:r>
      <w:r w:rsidR="00557DBC" w:rsidRPr="00557DBC">
        <w:rPr>
          <w:b w:val="0"/>
        </w:rPr>
        <w:instrText xml:space="preserve"> REF _Ref263016726 \h </w:instrText>
      </w:r>
      <w:r w:rsidR="00557DBC" w:rsidRPr="00557DBC">
        <w:rPr>
          <w:b w:val="0"/>
        </w:rPr>
      </w:r>
      <w:r w:rsidR="00557DBC" w:rsidRPr="00557DBC">
        <w:rPr>
          <w:b w:val="0"/>
        </w:rPr>
        <w:fldChar w:fldCharType="separate"/>
      </w:r>
      <w:r w:rsidR="00557DBC" w:rsidRPr="00557DBC">
        <w:rPr>
          <w:b w:val="0"/>
        </w:rPr>
        <w:t xml:space="preserve">Table </w:t>
      </w:r>
      <w:r w:rsidR="00557DBC" w:rsidRPr="00557DBC">
        <w:rPr>
          <w:b w:val="0"/>
          <w:noProof/>
        </w:rPr>
        <w:t>2</w:t>
      </w:r>
      <w:r w:rsidR="00557DBC" w:rsidRPr="00557DBC">
        <w:rPr>
          <w:b w:val="0"/>
        </w:rPr>
        <w:fldChar w:fldCharType="end"/>
      </w:r>
      <w:r w:rsidR="00557DBC" w:rsidRPr="00557DBC">
        <w:rPr>
          <w:b w:val="0"/>
        </w:rPr>
        <w:t xml:space="preserve"> </w:t>
      </w:r>
      <w:r w:rsidRPr="00557DBC">
        <w:rPr>
          <w:b w:val="0"/>
        </w:rPr>
        <w:t>about here.]</w:t>
      </w:r>
    </w:p>
    <w:p w14:paraId="2A03FC81" w14:textId="15BD5760" w:rsidR="00AB09E9" w:rsidRPr="00733218" w:rsidRDefault="00B53406" w:rsidP="00733218">
      <w:r w:rsidRPr="00733218">
        <w:rPr>
          <w:sz w:val="18"/>
        </w:rPr>
        <w:tab/>
      </w:r>
      <w:r w:rsidRPr="00386372">
        <w:t>We have little support</w:t>
      </w:r>
      <w:r w:rsidR="00AB09E9" w:rsidRPr="00386372">
        <w:t xml:space="preserve"> for our Public Opinion Hypothesis (</w:t>
      </w:r>
      <m:oMath>
        <m:r>
          <w:rPr>
            <w:rFonts w:ascii="Cambria Math" w:hAnsi="Cambria Math"/>
          </w:rPr>
          <m:t>Pr</m:t>
        </m:r>
        <m:d>
          <m:dPr>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d>
        <w:proofErr w:type="gramStart"/>
        <m:r>
          <m:rPr>
            <m:sty m:val="p"/>
          </m:rPr>
          <w:rPr>
            <w:rFonts w:ascii="Cambria Math" w:hAnsi="Cambria Math"/>
          </w:rPr>
          <m:t xml:space="preserve">data </m:t>
        </m:r>
        <m:r>
          <w:rPr>
            <w:rFonts w:ascii="Cambria Math" w:hAnsi="Cambria Math"/>
          </w:rPr>
          <m:t>)</m:t>
        </m:r>
        <w:proofErr w:type="gramEnd"/>
        <m:r>
          <w:rPr>
            <w:rFonts w:ascii="Cambria Math" w:hAnsi="Cambria Math"/>
          </w:rPr>
          <m:t>= 0.57</m:t>
        </m:r>
      </m:oMath>
      <w:r w:rsidR="00AB09E9" w:rsidRPr="00386372">
        <w:t>)</w:t>
      </w:r>
      <w:r w:rsidR="00EB2F1F" w:rsidRPr="00386372">
        <w:t>. However, it is important to avoid drawing the conclusion that governors are unresponsive</w:t>
      </w:r>
      <w:r w:rsidR="00E24800" w:rsidRPr="00386372">
        <w:t xml:space="preserve"> to public opinion. Because we consider this evidence ambiguous at best. First,</w:t>
      </w:r>
      <w:r w:rsidR="00EB2F1F" w:rsidRPr="00386372">
        <w:t xml:space="preserve"> </w:t>
      </w:r>
      <w:r w:rsidR="00E24800" w:rsidRPr="00386372">
        <w:t>i</w:t>
      </w:r>
      <w:r w:rsidR="0082436D" w:rsidRPr="00386372">
        <w:t>n otherwise</w:t>
      </w:r>
      <w:r w:rsidR="0082436D" w:rsidRPr="00733218">
        <w:t xml:space="preserve"> Republican states, increasing the favorability of the ACA from 38% to 51</w:t>
      </w:r>
      <w:r w:rsidR="00040360" w:rsidRPr="00733218">
        <w:t xml:space="preserve">% leads to a </w:t>
      </w:r>
      <w:proofErr w:type="gramStart"/>
      <w:r w:rsidR="00040360" w:rsidRPr="00733218">
        <w:t xml:space="preserve">4 [-28, </w:t>
      </w:r>
      <w:r w:rsidR="00540D0D" w:rsidRPr="00733218">
        <w:t>35</w:t>
      </w:r>
      <w:r w:rsidR="00965EE8" w:rsidRPr="00733218">
        <w:t>] percentage</w:t>
      </w:r>
      <w:proofErr w:type="gramEnd"/>
      <w:r w:rsidR="00965EE8" w:rsidRPr="00733218">
        <w:t xml:space="preserve"> point </w:t>
      </w:r>
      <w:r w:rsidR="00965EE8" w:rsidRPr="00733218">
        <w:rPr>
          <w:i/>
        </w:rPr>
        <w:t>decrease</w:t>
      </w:r>
      <w:r w:rsidR="00965EE8" w:rsidRPr="00733218">
        <w:t xml:space="preserve"> in the chance of gubernatorial opposition. </w:t>
      </w:r>
      <w:r w:rsidR="00540D0D" w:rsidRPr="00733218">
        <w:t>Thus, the effect is in the hypothesized direction and effects as large as 35 percentage points are plausible based on the data (Rainey</w:t>
      </w:r>
      <w:r w:rsidR="00025EBF" w:rsidRPr="00733218">
        <w:t>, forthcoming</w:t>
      </w:r>
      <w:r w:rsidR="00540D0D" w:rsidRPr="00733218">
        <w:t>)</w:t>
      </w:r>
      <w:r w:rsidR="003E7235" w:rsidRPr="00733218">
        <w:t xml:space="preserve">. </w:t>
      </w:r>
      <w:r w:rsidR="006C7D58" w:rsidRPr="00733218">
        <w:t xml:space="preserve">Second, </w:t>
      </w:r>
      <w:proofErr w:type="gramStart"/>
      <w:r w:rsidR="006C7D58" w:rsidRPr="00733218">
        <w:t xml:space="preserve">the </w:t>
      </w:r>
      <w:proofErr w:type="spellStart"/>
      <w:r w:rsidR="006C7D58" w:rsidRPr="00733218">
        <w:t>the</w:t>
      </w:r>
      <w:proofErr w:type="spellEnd"/>
      <w:proofErr w:type="gramEnd"/>
      <w:r w:rsidR="006C7D58" w:rsidRPr="00733218">
        <w:t xml:space="preserve"> estimate is not robust to alternative measures. We discuss this in more detail below, but </w:t>
      </w:r>
      <w:r w:rsidR="00311496" w:rsidRPr="00733218">
        <w:t xml:space="preserve">an Obama victory in the state </w:t>
      </w:r>
      <w:r w:rsidR="00BB2F35" w:rsidRPr="00733218">
        <w:t xml:space="preserve">in 2012, for example, seems to make governors much </w:t>
      </w:r>
      <w:proofErr w:type="gramStart"/>
      <w:r w:rsidR="00BB2F35" w:rsidRPr="00733218">
        <w:t>less  to</w:t>
      </w:r>
      <w:proofErr w:type="gramEnd"/>
      <w:r w:rsidR="00BB2F35" w:rsidRPr="00733218">
        <w:t xml:space="preserve"> oppose the expansion. </w:t>
      </w:r>
    </w:p>
    <w:p w14:paraId="75FAA1F9" w14:textId="43D05129" w:rsidR="00AB09E9" w:rsidRDefault="002C4D97">
      <w:r>
        <w:tab/>
        <w:t xml:space="preserve">We also </w:t>
      </w:r>
      <w:r w:rsidR="0065423A">
        <w:t xml:space="preserve">have </w:t>
      </w:r>
      <w:r w:rsidR="00216277">
        <w:t>strong</w:t>
      </w:r>
      <w:r>
        <w:t xml:space="preserve"> </w:t>
      </w:r>
      <w:r w:rsidR="00AB09E9">
        <w:t>evidence for our Legislative Partisanship Hypothesis (</w:t>
      </w:r>
      <w:proofErr w:type="gramStart"/>
      <m:oMath>
        <m:r>
          <w:rPr>
            <w:rFonts w:ascii="Cambria Math" w:hAnsi="Cambria Math"/>
          </w:rPr>
          <m:t>Pr(</m:t>
        </m:r>
        <w:proofErr w:type="gramEnd"/>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001B37D7" w:rsidRPr="00CE7BF0">
        <w:t>)</w:t>
      </w:r>
      <w:r w:rsidR="00216277">
        <w:t xml:space="preserve"> = 0.97</w:t>
      </w:r>
      <w:r w:rsidR="00AB09E9">
        <w:t>), which suggests that governors of states with a Republican-control</w:t>
      </w:r>
      <w:r w:rsidR="002B4C4E">
        <w:t xml:space="preserve">led state legislature are </w:t>
      </w:r>
      <w:r w:rsidR="00AB09E9">
        <w:t>more likely to oppose the expansion. According to our statistic</w:t>
      </w:r>
      <w:r w:rsidR="00D97BFB">
        <w:t xml:space="preserve">al model, having a Republican legislature in an otherwise Republican states increase the chance of opposition by about </w:t>
      </w:r>
      <w:r w:rsidR="00F51624">
        <w:t>36</w:t>
      </w:r>
      <w:r w:rsidR="00216277">
        <w:t xml:space="preserve"> [-0.05, 0.64</w:t>
      </w:r>
      <w:r w:rsidR="00153AFC">
        <w:t xml:space="preserve">] </w:t>
      </w:r>
      <w:r w:rsidR="009F5DBC">
        <w:t>percentage point</w:t>
      </w:r>
      <w:r w:rsidR="00B95419">
        <w:t>s</w:t>
      </w:r>
      <w:r w:rsidR="00AB09E9">
        <w:t>.</w:t>
      </w:r>
      <w:r w:rsidR="00192EEB">
        <w:rPr>
          <w:rStyle w:val="FootnoteReference"/>
        </w:rPr>
        <w:footnoteReference w:id="16"/>
      </w:r>
      <w:r w:rsidR="00AB09E9">
        <w:t xml:space="preserve"> </w:t>
      </w:r>
      <w:r w:rsidR="00F51624">
        <w:t xml:space="preserve">The model suggests that </w:t>
      </w:r>
      <w:r w:rsidR="00B95419">
        <w:t xml:space="preserve">he composition </w:t>
      </w:r>
      <w:r w:rsidR="006D6D3C">
        <w:t xml:space="preserve">of the legislatures has </w:t>
      </w:r>
      <w:r w:rsidR="006D6D3C">
        <w:lastRenderedPageBreak/>
        <w:t xml:space="preserve">essentially no effect in otherwise Democratic states because Democratic governors are highly unlikely to oppose the expansion. </w:t>
      </w:r>
    </w:p>
    <w:p w14:paraId="2B24C7BE" w14:textId="449CF792" w:rsidR="00AB09E9" w:rsidRDefault="00AB09E9">
      <w:r>
        <w:tab/>
        <w:t>We have no evi</w:t>
      </w:r>
      <w:r w:rsidR="00BA3A79">
        <w:t>dence for our Needs Hypothesis (</w:t>
      </w:r>
      <w:proofErr w:type="gramStart"/>
      <m:oMath>
        <m:r>
          <w:rPr>
            <w:rFonts w:ascii="Cambria Math" w:hAnsi="Cambria Math"/>
          </w:rPr>
          <m:t>Pr(</m:t>
        </m:r>
        <w:proofErr w:type="gramEnd"/>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Pr="00CE7BF0">
        <w:t>)</w:t>
      </w:r>
      <w:r w:rsidR="00CE7BF0">
        <w:t xml:space="preserve"> = </w:t>
      </w:r>
      <w:r w:rsidR="00F573C1">
        <w:t>0.</w:t>
      </w:r>
      <w:r w:rsidR="00C51308">
        <w:t>25</w:t>
      </w:r>
      <w:r w:rsidR="00BA3A79">
        <w:t>)</w:t>
      </w:r>
      <w:r w:rsidR="00C51308">
        <w:rPr>
          <w:i/>
          <w:iCs/>
        </w:rPr>
        <w:t xml:space="preserve"> </w:t>
      </w:r>
      <w:r w:rsidR="00C51308">
        <w:rPr>
          <w:iCs/>
        </w:rPr>
        <w:t xml:space="preserve">and the effect actually goes in the </w:t>
      </w:r>
      <w:r w:rsidR="00A056B0">
        <w:rPr>
          <w:i/>
          <w:iCs/>
        </w:rPr>
        <w:t>wrong direction</w:t>
      </w:r>
      <w:r w:rsidR="00A056B0">
        <w:rPr>
          <w:iCs/>
        </w:rPr>
        <w:t xml:space="preserve"> so</w:t>
      </w:r>
      <w:r>
        <w:t xml:space="preserve"> that the probability</w:t>
      </w:r>
      <w:r w:rsidR="00A056B0">
        <w:t xml:space="preserve"> of opposing expansion </w:t>
      </w:r>
      <w:r w:rsidR="00A056B0">
        <w:rPr>
          <w:i/>
        </w:rPr>
        <w:t>increases</w:t>
      </w:r>
      <w:r w:rsidR="00A056B0">
        <w:t xml:space="preserve"> with need. Again though</w:t>
      </w:r>
      <w:r>
        <w:t>, it is important to avoid drawing the conclusion that a variable has “no effect” based only on a lack of statistical significance (Rainey, forthcoming). Instead, we should consider all effects contained in the 90% confidence interval plausible. In Democratic states (states in with a Democratic governor and legislature that Obama won in 2012), the model suggests that increasing the percentage uninsured from a low value (the 25</w:t>
      </w:r>
      <w:r>
        <w:rPr>
          <w:vertAlign w:val="superscript"/>
        </w:rPr>
        <w:t>th</w:t>
      </w:r>
      <w:r>
        <w:t xml:space="preserve"> percentile, or 10.7% uninsured) to a high value (the 75</w:t>
      </w:r>
      <w:r>
        <w:rPr>
          <w:vertAlign w:val="superscript"/>
        </w:rPr>
        <w:t>th</w:t>
      </w:r>
      <w:r>
        <w:t xml:space="preserve"> percentile, or 17% uninsured) has almost no effect, since the probability that these governors oppose the expansion is nearly zero, regardless of the magnitude of the need. The confidence interval </w:t>
      </w:r>
      <w:r w:rsidR="006A1688">
        <w:t xml:space="preserve">suggests that the effect of increasing the percent uninsured from </w:t>
      </w:r>
      <w:r w:rsidR="0021128A">
        <w:t>10% (25</w:t>
      </w:r>
      <w:r w:rsidR="0021128A" w:rsidRPr="0021128A">
        <w:rPr>
          <w:vertAlign w:val="superscript"/>
        </w:rPr>
        <w:t>th</w:t>
      </w:r>
      <w:r w:rsidR="0021128A">
        <w:t xml:space="preserve"> percentile; North Dakota, Pennsylvania,</w:t>
      </w:r>
      <w:r w:rsidR="00C51308">
        <w:t xml:space="preserve"> and </w:t>
      </w:r>
      <w:r w:rsidR="008A444B">
        <w:t>Maryland) to 17% (75</w:t>
      </w:r>
      <w:r w:rsidR="008A444B" w:rsidRPr="008A444B">
        <w:rPr>
          <w:vertAlign w:val="superscript"/>
        </w:rPr>
        <w:t>th</w:t>
      </w:r>
      <w:r w:rsidR="008A444B">
        <w:t xml:space="preserve"> percentile; Arkansas, Arizona, Louisiana, </w:t>
      </w:r>
      <w:r w:rsidR="00861760">
        <w:t>Mississippi)</w:t>
      </w:r>
      <w:r>
        <w:t xml:space="preserve"> is probab</w:t>
      </w:r>
      <w:r w:rsidR="006A1688">
        <w:t xml:space="preserve">ly smaller than a </w:t>
      </w:r>
      <w:proofErr w:type="gramStart"/>
      <w:r w:rsidR="006A1688">
        <w:t>one percentage</w:t>
      </w:r>
      <w:proofErr w:type="gramEnd"/>
      <w:r w:rsidR="006A1688">
        <w:t xml:space="preserve"> point</w:t>
      </w:r>
      <w:r w:rsidR="00861760">
        <w:t xml:space="preserve"> has almost no effect. This is simply because</w:t>
      </w:r>
      <w:r>
        <w:t xml:space="preserve"> the probability that these governors oppose the expansion is nearly zero, regardless of the magnitude of the need</w:t>
      </w:r>
      <w:r w:rsidR="00B94F35">
        <w:t>.</w:t>
      </w:r>
    </w:p>
    <w:p w14:paraId="584F87E2" w14:textId="3D9FB2E1" w:rsidR="00AB09E9" w:rsidRDefault="00AB09E9">
      <w:r>
        <w:tab/>
        <w:t>The story is much different in Republican states, however</w:t>
      </w:r>
      <w:r w:rsidR="00F171F7">
        <w:t xml:space="preserve"> (states with ACA favorability of 38%</w:t>
      </w:r>
      <w:r>
        <w:t xml:space="preserve">, </w:t>
      </w:r>
      <w:r w:rsidR="00E85013">
        <w:t xml:space="preserve">and </w:t>
      </w:r>
      <w:r>
        <w:t>with Republican governors and legislatures). Regardless of the level of need, governors in Republican states are quite likely to oppose expansio</w:t>
      </w:r>
      <w:r w:rsidR="00E85013">
        <w:t>n. When the percent uninsured is only 10%</w:t>
      </w:r>
      <w:r>
        <w:t>, the model suggests that</w:t>
      </w:r>
      <w:r w:rsidR="00B94F35">
        <w:t xml:space="preserve"> these governors have about a 47 [</w:t>
      </w:r>
      <w:r w:rsidR="00D859E5">
        <w:t>19, 76</w:t>
      </w:r>
      <w:r>
        <w:t>] percent chance of opposing the expansion.</w:t>
      </w:r>
      <w:r w:rsidR="0064265F">
        <w:t xml:space="preserve"> Increasing </w:t>
      </w:r>
      <w:r w:rsidR="00E00557">
        <w:t>the percent uninsured</w:t>
      </w:r>
      <w:r w:rsidR="00D859E5">
        <w:t xml:space="preserve"> to 17%</w:t>
      </w:r>
      <w:r w:rsidR="00E00557">
        <w:t xml:space="preserve"> </w:t>
      </w:r>
      <w:r w:rsidR="00D859E5" w:rsidRPr="00D3655C">
        <w:rPr>
          <w:i/>
        </w:rPr>
        <w:t>increases</w:t>
      </w:r>
      <w:r w:rsidR="00D859E5">
        <w:t xml:space="preserve"> the chance of </w:t>
      </w:r>
      <w:r w:rsidR="00D859E5">
        <w:lastRenderedPageBreak/>
        <w:t xml:space="preserve">opposition to </w:t>
      </w:r>
      <w:r w:rsidR="00D3655C">
        <w:t xml:space="preserve">about 60 [31, 84] percentage points. Thus, although </w:t>
      </w:r>
      <w:r w:rsidR="00832D94">
        <w:t>we cannot be confiden</w:t>
      </w:r>
      <w:r w:rsidR="008B576F">
        <w:t>t</w:t>
      </w:r>
      <w:r w:rsidR="00832D94">
        <w:t xml:space="preserve"> about the sign of the difference, the model estimates that an increase in the level of </w:t>
      </w:r>
      <w:proofErr w:type="spellStart"/>
      <w:r w:rsidR="00832D94">
        <w:t>uninsurance</w:t>
      </w:r>
      <w:proofErr w:type="spellEnd"/>
      <w:r w:rsidR="00832D94">
        <w:t xml:space="preserve"> from 10% to </w:t>
      </w:r>
      <w:r w:rsidR="00D31689">
        <w:t xml:space="preserve">17% leads to an </w:t>
      </w:r>
      <w:proofErr w:type="gramStart"/>
      <w:r w:rsidR="00D31689">
        <w:t>11 [-15, 42] percentage</w:t>
      </w:r>
      <w:proofErr w:type="gramEnd"/>
      <w:r w:rsidR="00D31689">
        <w:t xml:space="preserve"> point </w:t>
      </w:r>
      <w:r w:rsidR="00D31689" w:rsidRPr="002748F2">
        <w:rPr>
          <w:i/>
        </w:rPr>
        <w:t>increase</w:t>
      </w:r>
      <w:r w:rsidR="002748F2">
        <w:rPr>
          <w:i/>
        </w:rPr>
        <w:t xml:space="preserve"> </w:t>
      </w:r>
      <w:r w:rsidR="002748F2">
        <w:t>in the likelihood of opposition. Notice that the model suggests that a 15 percentage point decrease</w:t>
      </w:r>
      <w:r w:rsidR="008F5BD1">
        <w:t xml:space="preserve"> is plausible, so that we cannot rule out a small to moderate effect of need, but these effect pale in comparison to the estimates from the political variable, especially the </w:t>
      </w:r>
      <w:r w:rsidR="001D2347">
        <w:t>partisan control of the governorship and legislature. But these hypotheses</w:t>
      </w:r>
      <w:r w:rsidR="00BC62FD">
        <w:t xml:space="preserve">—that the political variables have a larger effect than the need variables—are directly testable in the context of the model. </w:t>
      </w:r>
    </w:p>
    <w:p w14:paraId="7E1CBE84" w14:textId="329E3236" w:rsidR="00AB09E9" w:rsidRDefault="00AB09E9">
      <w:r>
        <w:tab/>
        <w:t xml:space="preserve">Since the change in probability of opposition depends on the values of other explanatory variables, the fairest test is to compare the </w:t>
      </w:r>
      <w:proofErr w:type="spellStart"/>
      <w:r>
        <w:t>logit</w:t>
      </w:r>
      <w:proofErr w:type="spellEnd"/>
      <w:r>
        <w:t xml:space="preserve"> coefficients directly.</w:t>
      </w:r>
      <w:r w:rsidR="00192EEB">
        <w:rPr>
          <w:rStyle w:val="FootnoteReference"/>
        </w:rPr>
        <w:footnoteReference w:id="17"/>
      </w:r>
      <w:r w:rsidR="00A26246">
        <w:t xml:space="preserve"> Table 3 shows the evidence </w:t>
      </w:r>
      <w:r>
        <w:t>from each of these tests. While the evidence for opini</w:t>
      </w:r>
      <w:r w:rsidR="00B726A1">
        <w:t>on</w:t>
      </w:r>
      <w:r w:rsidR="00A26246">
        <w:t xml:space="preserve"> is somewh</w:t>
      </w:r>
      <w:r w:rsidR="00597CB4">
        <w:t>at weak</w:t>
      </w:r>
      <w:r>
        <w:t xml:space="preserve">, we have strong evidence that gubernatorial partisanship </w:t>
      </w:r>
      <w:r w:rsidR="00597CB4">
        <w:t xml:space="preserve">and legislative control </w:t>
      </w:r>
      <w:r>
        <w:t>ha</w:t>
      </w:r>
      <w:r w:rsidR="0054317E">
        <w:t>ve</w:t>
      </w:r>
      <w:r>
        <w:t xml:space="preserve"> a larger effect on the decision to oppose the expansion of Medicaid than the level of need in the state. </w:t>
      </w:r>
      <w:r w:rsidR="00597CB4">
        <w:t xml:space="preserve">It is worth noting, though, that the evidence </w:t>
      </w:r>
      <w:r w:rsidR="00D86EFC">
        <w:t xml:space="preserve">that public opinion has a larger effect than need depends on the measure. We discuss this in more detail below. </w:t>
      </w:r>
    </w:p>
    <w:p w14:paraId="3CD7BB5C" w14:textId="08B22A52" w:rsidR="00557DBC" w:rsidRDefault="00557DBC" w:rsidP="00557DBC">
      <w:pPr>
        <w:jc w:val="center"/>
      </w:pPr>
      <w:r>
        <w:t xml:space="preserve">[Insert </w:t>
      </w:r>
      <w:r>
        <w:fldChar w:fldCharType="begin"/>
      </w:r>
      <w:r>
        <w:instrText xml:space="preserve"> REF _Ref263016851 \h </w:instrText>
      </w:r>
      <w:r>
        <w:fldChar w:fldCharType="separate"/>
      </w:r>
      <w:r>
        <w:t xml:space="preserve">Table </w:t>
      </w:r>
      <w:r>
        <w:rPr>
          <w:noProof/>
        </w:rPr>
        <w:t>3</w:t>
      </w:r>
      <w:r>
        <w:fldChar w:fldCharType="end"/>
      </w:r>
      <w:r>
        <w:t xml:space="preserve"> about here.]</w:t>
      </w:r>
    </w:p>
    <w:p w14:paraId="52EA219F" w14:textId="31662A27" w:rsidR="00AB09E9" w:rsidRDefault="00AB09E9">
      <w:r>
        <w:tab/>
      </w:r>
      <w:r w:rsidR="007C1F47">
        <w:t xml:space="preserve">Just </w:t>
      </w:r>
      <w:r w:rsidR="000E449E">
        <w:t>to get a sense of how much more politics matters than need, consider the relative effects of the governor’s partisanship and the level of need. S</w:t>
      </w:r>
      <w:r>
        <w:t>hifting from a Democrat</w:t>
      </w:r>
      <w:r w:rsidR="00A277C5">
        <w:t>ic</w:t>
      </w:r>
      <w:r>
        <w:t xml:space="preserve"> to a Republican governor in an otherwise Republi</w:t>
      </w:r>
      <w:r w:rsidR="00B21AD2">
        <w:t>can state (38% favorable to the ACA and a</w:t>
      </w:r>
      <w:r>
        <w:t xml:space="preserve"> GOP-controlled legislature) increases the chance of gube</w:t>
      </w:r>
      <w:r w:rsidR="00D64CE3">
        <w:t>rna</w:t>
      </w:r>
      <w:r w:rsidR="006960F5">
        <w:t xml:space="preserve">torial opposition by about 49 [23, 74] </w:t>
      </w:r>
      <w:r>
        <w:t xml:space="preserve">percentage points. Shifting </w:t>
      </w:r>
      <w:proofErr w:type="gramStart"/>
      <w:r>
        <w:t>a</w:t>
      </w:r>
      <w:r w:rsidR="00783A1B">
        <w:t xml:space="preserve"> from</w:t>
      </w:r>
      <w:proofErr w:type="gramEnd"/>
      <w:r>
        <w:t xml:space="preserve"> low-need to a high</w:t>
      </w:r>
      <w:r w:rsidR="0081058E">
        <w:t>-need Republican state (38% favorable to ACA and</w:t>
      </w:r>
      <w:r>
        <w:t xml:space="preserve"> a </w:t>
      </w:r>
      <w:r w:rsidR="00557DBC">
        <w:fldChar w:fldCharType="begin"/>
      </w:r>
      <w:r w:rsidR="00557DBC">
        <w:instrText xml:space="preserve"> REF _Ref263017000 \h </w:instrText>
      </w:r>
      <w:r w:rsidR="00557DBC">
        <w:fldChar w:fldCharType="separate"/>
      </w:r>
      <w:r w:rsidR="00557DBC">
        <w:t xml:space="preserve">Table </w:t>
      </w:r>
      <w:r w:rsidR="00557DBC">
        <w:rPr>
          <w:noProof/>
        </w:rPr>
        <w:t>4</w:t>
      </w:r>
      <w:r w:rsidR="00557DBC">
        <w:fldChar w:fldCharType="end"/>
      </w:r>
      <w:r>
        <w:t>Republican g</w:t>
      </w:r>
      <w:r w:rsidR="000F6319">
        <w:t xml:space="preserve">overnor and legislature) </w:t>
      </w:r>
      <w:r w:rsidR="000F6319">
        <w:rPr>
          <w:i/>
        </w:rPr>
        <w:t>increases</w:t>
      </w:r>
      <w:r w:rsidR="000F6319">
        <w:t xml:space="preserve"> the chance of opposition by about 11 [-15, 42] </w:t>
      </w:r>
      <w:r w:rsidR="000F6319">
        <w:lastRenderedPageBreak/>
        <w:t>percentage points</w:t>
      </w:r>
      <w:r w:rsidR="00783A1B">
        <w:t xml:space="preserve">.  </w:t>
      </w:r>
      <w:r w:rsidR="000547AD">
        <w:t xml:space="preserve">This suggests that moving to a Republican governor has a </w:t>
      </w:r>
      <w:proofErr w:type="gramStart"/>
      <w:r w:rsidR="000F6319">
        <w:t xml:space="preserve">61 [25, </w:t>
      </w:r>
      <w:r w:rsidR="000402C0">
        <w:t xml:space="preserve">96] </w:t>
      </w:r>
      <w:r w:rsidR="003520C5">
        <w:t>percentage</w:t>
      </w:r>
      <w:proofErr w:type="gramEnd"/>
      <w:r w:rsidR="003520C5">
        <w:t xml:space="preserve"> point larger effect than increasing the percent without insurance from 10</w:t>
      </w:r>
      <w:r w:rsidR="007C2656">
        <w:t xml:space="preserve">% to 17%. </w:t>
      </w:r>
    </w:p>
    <w:p w14:paraId="1380EE4F" w14:textId="2C057204" w:rsidR="00F56536" w:rsidRDefault="00F56536" w:rsidP="00F56536">
      <w:pPr>
        <w:pStyle w:val="Heading2"/>
      </w:pPr>
      <w:r>
        <w:t>Robustness Check #1: Alternative Measures of the Key Concepts</w:t>
      </w:r>
    </w:p>
    <w:p w14:paraId="06924D16" w14:textId="1E4B0236" w:rsidR="001E4189" w:rsidRPr="001E4189" w:rsidRDefault="001E4189" w:rsidP="00557DBC">
      <w:pPr>
        <w:pStyle w:val="BodyText"/>
      </w:pPr>
      <w:r>
        <w:tab/>
        <w:t>To evaluate the robustness of our conclusion that politics matters and need matters less if at all, we evaluate the robustness of the conclusions drawn from the model to plausible alternative measures. In place of the state-level estimates of ACA favorability, we consider Obama’s share of the two-party vote in 2012, whether Obama won the state in 2012, a generic measure of state ideology (</w:t>
      </w:r>
      <w:proofErr w:type="spellStart"/>
      <w:r w:rsidRPr="00063092">
        <w:rPr>
          <w:iCs/>
          <w:color w:val="222222"/>
        </w:rPr>
        <w:t>Tausanovitch</w:t>
      </w:r>
      <w:proofErr w:type="spellEnd"/>
      <w:r>
        <w:rPr>
          <w:iCs/>
          <w:color w:val="222222"/>
        </w:rPr>
        <w:t xml:space="preserve"> and</w:t>
      </w:r>
      <w:r w:rsidRPr="00063092">
        <w:rPr>
          <w:iCs/>
          <w:color w:val="222222"/>
        </w:rPr>
        <w:t xml:space="preserve"> </w:t>
      </w:r>
      <w:proofErr w:type="spellStart"/>
      <w:r w:rsidRPr="00063092">
        <w:rPr>
          <w:iCs/>
          <w:color w:val="222222"/>
        </w:rPr>
        <w:t>Warshaw</w:t>
      </w:r>
      <w:proofErr w:type="spellEnd"/>
      <w:r>
        <w:rPr>
          <w:iCs/>
          <w:color w:val="222222"/>
        </w:rPr>
        <w:t xml:space="preserve"> 2013</w:t>
      </w:r>
      <w:r w:rsidR="005F4E30">
        <w:t xml:space="preserve">), </w:t>
      </w:r>
      <w:r>
        <w:t>the percent of the state that support the Medicaid expansion</w:t>
      </w:r>
      <w:r w:rsidR="005F4E30">
        <w:t>, and the percent that support the Tea Party</w:t>
      </w:r>
      <w:r>
        <w:t xml:space="preserve">. We also consider alternative strategies for modeling the composition of the legislature by including an </w:t>
      </w:r>
      <w:r w:rsidR="00D27963">
        <w:t>indicator</w:t>
      </w:r>
      <w:r>
        <w:t xml:space="preserve"> for GOP-controlled House, an indicator for GOP-controlled Senate, or both indicators. As an alternative measure of need, we consider states’ shares of DSH payments per capita</w:t>
      </w:r>
      <w:r w:rsidR="005F4E30">
        <w:t>, the percent below 138% poverty, the rate of low birth weights, the heart disease death rate, and life expecta</w:t>
      </w:r>
      <w:r w:rsidR="00D27963">
        <w:t>ncy</w:t>
      </w:r>
      <w:r w:rsidR="00557DBC">
        <w:t xml:space="preserve">. </w:t>
      </w:r>
      <w:r w:rsidR="00557DBC">
        <w:fldChar w:fldCharType="begin"/>
      </w:r>
      <w:r w:rsidR="00557DBC">
        <w:instrText xml:space="preserve"> REF _Ref263017000 \h </w:instrText>
      </w:r>
      <w:r w:rsidR="00557DBC">
        <w:fldChar w:fldCharType="separate"/>
      </w:r>
      <w:r w:rsidR="00557DBC">
        <w:t xml:space="preserve">Table </w:t>
      </w:r>
      <w:r w:rsidR="00557DBC">
        <w:rPr>
          <w:noProof/>
        </w:rPr>
        <w:t>4</w:t>
      </w:r>
      <w:r w:rsidR="00557DBC">
        <w:fldChar w:fldCharType="end"/>
      </w:r>
      <w:r w:rsidR="00557DBC">
        <w:t xml:space="preserve"> summarizes the results.</w:t>
      </w:r>
    </w:p>
    <w:p w14:paraId="5BF947B7" w14:textId="04767852" w:rsidR="005F4E30" w:rsidRDefault="005F4E30" w:rsidP="005F4E30">
      <w:r>
        <w:tab/>
      </w:r>
      <w:r w:rsidRPr="005F4E30">
        <w:t>Notice that although the amount of evidence for the hypotheses might increase or decrease at the margin, the results are quite simil</w:t>
      </w:r>
      <w:r>
        <w:t>ar to those from the main model, and in some cases, are much stronger. The alternative measures of public opinion all have the correct sign, except for the percent supporting the Medicaid expansion. While the evidence for the hypothesis ranges from moderate to ambiguous, notice that the results are generally consistent with the smaller effect of public opinion that we find the in main text. Further, notice that the most obvious cue that governors face, whether Obama won their state in 2012, has a large effect, while much more subtle cues (such as the percent supporting the Medicaid expansion) have much smaller effects.</w:t>
      </w:r>
    </w:p>
    <w:p w14:paraId="64394770" w14:textId="69DBE654" w:rsidR="005F4E30" w:rsidRDefault="005F4E30" w:rsidP="005F4E30">
      <w:r>
        <w:tab/>
        <w:t xml:space="preserve">Regardless of how we model with composition of the legislature, the model suggests that the legislature matters. However, it seems that the composition of the lower house has the largest </w:t>
      </w:r>
    </w:p>
    <w:p w14:paraId="6740F46F" w14:textId="30EEC024" w:rsidR="005F4E30" w:rsidRDefault="005F4E30" w:rsidP="005F4E30">
      <w:r>
        <w:lastRenderedPageBreak/>
        <w:tab/>
      </w:r>
      <w:r w:rsidR="00305EC4">
        <w:t xml:space="preserve">Perhaps the most interesting result from these additional analyses come from the alternative measures of need. All but one of the alternative measures </w:t>
      </w:r>
      <w:proofErr w:type="gramStart"/>
      <w:r w:rsidR="00305EC4">
        <w:t>suggest</w:t>
      </w:r>
      <w:proofErr w:type="gramEnd"/>
      <w:r w:rsidR="00305EC4">
        <w:t xml:space="preserve"> evidence against the hypothesis that governors of states with greater levels are </w:t>
      </w:r>
      <w:r w:rsidR="00305EC4" w:rsidRPr="00305EC4">
        <w:rPr>
          <w:i/>
        </w:rPr>
        <w:t>more</w:t>
      </w:r>
      <w:r w:rsidR="00305EC4">
        <w:t xml:space="preserve"> likely to oppose the expansion. Indeed, the coefficient for low birth weight rate is among the largest for the variables we consider and is in the wrong direction. These alternative measures suggest more strongly than the level of </w:t>
      </w:r>
      <w:proofErr w:type="spellStart"/>
      <w:r w:rsidR="00305EC4">
        <w:t>uninsurance</w:t>
      </w:r>
      <w:proofErr w:type="spellEnd"/>
      <w:r w:rsidR="00305EC4">
        <w:t xml:space="preserve"> that the level of need in a state has little to no effect on governors’ decisions to support or oppose expansion.</w:t>
      </w:r>
    </w:p>
    <w:p w14:paraId="36DBFFBD" w14:textId="4202DC26" w:rsidR="00305EC4" w:rsidRDefault="00305EC4" w:rsidP="005F4E30">
      <w:r>
        <w:tab/>
        <w:t xml:space="preserve">But in addition to the absolute impact of need, we care about the effect of need compared to the effect of politics. </w:t>
      </w:r>
      <w:r w:rsidR="005F6E65">
        <w:fldChar w:fldCharType="begin"/>
      </w:r>
      <w:r w:rsidR="005F6E65">
        <w:instrText xml:space="preserve"> REF _Ref263017000 \h </w:instrText>
      </w:r>
      <w:r w:rsidR="005F6E65">
        <w:fldChar w:fldCharType="separate"/>
      </w:r>
      <w:r w:rsidR="005F6E65">
        <w:t xml:space="preserve">Table </w:t>
      </w:r>
      <w:r w:rsidR="005F6E65">
        <w:rPr>
          <w:noProof/>
        </w:rPr>
        <w:t>5</w:t>
      </w:r>
      <w:r w:rsidR="005F6E65">
        <w:fldChar w:fldCharType="end"/>
      </w:r>
      <w:r w:rsidR="005F6E65">
        <w:t xml:space="preserve"> </w:t>
      </w:r>
      <w:r w:rsidR="005017C9">
        <w:t>provides a</w:t>
      </w:r>
      <w:r w:rsidR="004E3C97">
        <w:t xml:space="preserve"> </w:t>
      </w:r>
      <w:r w:rsidR="005017C9">
        <w:t xml:space="preserve">summary of the </w:t>
      </w:r>
      <w:r w:rsidR="004E3C97">
        <w:t>evidence for the hypothesis that politics matters more th</w:t>
      </w:r>
      <w:r w:rsidR="00C61D77">
        <w:t xml:space="preserve">an need for the three political </w:t>
      </w:r>
      <w:r w:rsidR="004E3C97">
        <w:t xml:space="preserve">variables and </w:t>
      </w:r>
      <w:r w:rsidR="00C61D77">
        <w:t>five alternative measures of need. Notice that, with the possible exception of life expectancy, the evidence is generally s</w:t>
      </w:r>
      <w:r w:rsidR="00BB0027">
        <w:t>tronger for the alternative measures.</w:t>
      </w:r>
    </w:p>
    <w:p w14:paraId="3BC6CCF6" w14:textId="0B2919D3" w:rsidR="00F56536" w:rsidRDefault="00F56536" w:rsidP="00F56536">
      <w:pPr>
        <w:pStyle w:val="Heading2"/>
      </w:pPr>
      <w:r>
        <w:t>Robustness Check #2: Random Forests and Variable Importance</w:t>
      </w:r>
    </w:p>
    <w:p w14:paraId="0D4D90AE" w14:textId="4CD5B1D6" w:rsidR="005017C9" w:rsidRDefault="00C66BE3" w:rsidP="00F56536">
      <w:pPr>
        <w:pStyle w:val="BodyText"/>
      </w:pPr>
      <w:r>
        <w:tab/>
      </w:r>
      <w:r w:rsidR="009E1523">
        <w:t xml:space="preserve">As an alternative to the parametric (and linear) approach above, we </w:t>
      </w:r>
      <w:r w:rsidR="005017C9">
        <w:t xml:space="preserve">evaluate the robustness of our claim that politics is more important than need using </w:t>
      </w:r>
      <w:r w:rsidR="00E565CD">
        <w:t>random forests</w:t>
      </w:r>
      <w:r w:rsidR="00AF4A92">
        <w:t xml:space="preserve"> (</w:t>
      </w:r>
      <w:proofErr w:type="spellStart"/>
      <w:r w:rsidR="00AF4A92">
        <w:t>Breiman</w:t>
      </w:r>
      <w:proofErr w:type="spellEnd"/>
      <w:r w:rsidR="00AF4A92">
        <w:t xml:space="preserve"> 2001, Hill and Jones forthcoming)</w:t>
      </w:r>
      <w:r w:rsidR="00E565CD">
        <w:t xml:space="preserve">, </w:t>
      </w:r>
      <w:r w:rsidR="00A65879">
        <w:t>which are a large collection of decision trees used to predict gubernatorial opposition to the Medicaid expansion. This approach allows</w:t>
      </w:r>
      <w:r w:rsidR="00E565CD">
        <w:t xml:space="preserve"> a variety of interactions and non-</w:t>
      </w:r>
      <w:proofErr w:type="spellStart"/>
      <w:r w:rsidR="00E565CD">
        <w:t>linearitie</w:t>
      </w:r>
      <w:r w:rsidR="000064A6">
        <w:t>s</w:t>
      </w:r>
      <w:proofErr w:type="spellEnd"/>
      <w:r w:rsidR="000064A6">
        <w:t xml:space="preserve"> to enter the model</w:t>
      </w:r>
      <w:r w:rsidR="00AF4A92">
        <w:t xml:space="preserve"> (</w:t>
      </w:r>
      <w:proofErr w:type="spellStart"/>
      <w:r w:rsidR="00AF4A92">
        <w:t>Biau</w:t>
      </w:r>
      <w:proofErr w:type="spellEnd"/>
      <w:r w:rsidR="00AF4A92">
        <w:t xml:space="preserve">, </w:t>
      </w:r>
      <w:proofErr w:type="spellStart"/>
      <w:r w:rsidR="00AF4A92">
        <w:t>Devroye</w:t>
      </w:r>
      <w:proofErr w:type="spellEnd"/>
      <w:r w:rsidR="00AF4A92">
        <w:t>, and Lugosi 2008)</w:t>
      </w:r>
      <w:r w:rsidR="00A65879">
        <w:t xml:space="preserve"> and provides a robust tool for assessing variable importance</w:t>
      </w:r>
      <w:r w:rsidR="00AF4A92">
        <w:t xml:space="preserve"> (</w:t>
      </w:r>
      <w:proofErr w:type="spellStart"/>
      <w:r w:rsidR="00AF4A92">
        <w:t>Strobl</w:t>
      </w:r>
      <w:proofErr w:type="spellEnd"/>
      <w:r w:rsidR="00AF4A92">
        <w:t xml:space="preserve"> et al. 2007)</w:t>
      </w:r>
      <w:r w:rsidR="000064A6">
        <w:t>.</w:t>
      </w:r>
      <w:r w:rsidR="00A65879">
        <w:t xml:space="preserve"> </w:t>
      </w:r>
      <w:r w:rsidR="00264CFE">
        <w:t xml:space="preserve">Thus, this approach serves as a useful </w:t>
      </w:r>
      <w:r w:rsidR="005017C9">
        <w:t xml:space="preserve">robustness </w:t>
      </w:r>
      <w:r w:rsidR="00264CFE">
        <w:t xml:space="preserve">check on our claim that politics is more important than need in influencing governors’ decision to support or oppose the Medicaid expansion. </w:t>
      </w:r>
    </w:p>
    <w:p w14:paraId="4231CA42" w14:textId="6094BB90" w:rsidR="00F56536" w:rsidRDefault="005017C9" w:rsidP="00F56536">
      <w:pPr>
        <w:pStyle w:val="BodyText"/>
      </w:pPr>
      <w:r>
        <w:tab/>
      </w:r>
      <w:r w:rsidR="000D64E1">
        <w:t>I</w:t>
      </w:r>
      <w:r w:rsidR="00A24421">
        <w:t>ntuitively, random forests are a collection of decision trees that classify (with error) governors’ decisions to support or oppose the expansion</w:t>
      </w:r>
      <w:r w:rsidR="0014675F">
        <w:t xml:space="preserve">. </w:t>
      </w:r>
      <w:r w:rsidR="00A65879">
        <w:t xml:space="preserve">Each tree in the forest is built as </w:t>
      </w:r>
      <w:r w:rsidR="00A65879">
        <w:lastRenderedPageBreak/>
        <w:t>follows</w:t>
      </w:r>
      <w:r w:rsidR="000064A6">
        <w:t>:</w:t>
      </w:r>
    </w:p>
    <w:p w14:paraId="066DA2D0" w14:textId="19639B59" w:rsidR="00E34134" w:rsidRDefault="00E34134" w:rsidP="000064A6">
      <w:pPr>
        <w:pStyle w:val="BodyText"/>
        <w:numPr>
          <w:ilvl w:val="0"/>
          <w:numId w:val="20"/>
        </w:numPr>
      </w:pPr>
      <w:r>
        <w:t xml:space="preserve">Select 32 </w:t>
      </w:r>
      <w:r w:rsidR="00D952EB">
        <w:t xml:space="preserve">cases </w:t>
      </w:r>
      <w:r w:rsidR="00A65879">
        <w:t xml:space="preserve">(63%) </w:t>
      </w:r>
      <w:r>
        <w:t>w</w:t>
      </w:r>
      <w:r w:rsidR="00A65879">
        <w:t>ithout replacement to train the</w:t>
      </w:r>
      <w:r>
        <w:t xml:space="preserve"> model</w:t>
      </w:r>
      <w:r w:rsidR="00A65879">
        <w:t>.</w:t>
      </w:r>
      <w:r w:rsidR="00D952EB">
        <w:t xml:space="preserve"> Set the remaining 18 test cases aside.</w:t>
      </w:r>
      <w:r w:rsidR="00A65879">
        <w:t xml:space="preserve"> Use </w:t>
      </w:r>
      <w:r w:rsidR="00D952EB">
        <w:t>training case</w:t>
      </w:r>
      <w:r w:rsidR="00A65879">
        <w:t xml:space="preserve">s to build a decision tree to classify governors as opposing the expansion or not. </w:t>
      </w:r>
    </w:p>
    <w:p w14:paraId="43104EFA" w14:textId="643C76CE" w:rsidR="00E45C86" w:rsidRDefault="00E45C86" w:rsidP="00E45C86">
      <w:pPr>
        <w:pStyle w:val="BodyText"/>
        <w:numPr>
          <w:ilvl w:val="0"/>
          <w:numId w:val="20"/>
        </w:numPr>
      </w:pPr>
      <w:r>
        <w:t xml:space="preserve">Select </w:t>
      </w:r>
      <w:r w:rsidRPr="00E45C86">
        <w:t>three</w:t>
      </w:r>
      <w:r>
        <w:t xml:space="preserve"> predictors </w:t>
      </w:r>
      <w:r w:rsidRPr="00E45C86">
        <w:t>at</w:t>
      </w:r>
      <w:r>
        <w:t xml:space="preserve"> random from a larger set of predictors. We consider eight variables measuring the political context and six variables measuring the level of need. The political predictors are the </w:t>
      </w:r>
      <w:r w:rsidR="0014675F">
        <w:t>governor’s</w:t>
      </w:r>
      <w:r>
        <w:t xml:space="preserve"> partisanship, the percent favorable to the ACA, Obama’s vote share in 2012, </w:t>
      </w:r>
      <w:r w:rsidR="00ED70B1">
        <w:t xml:space="preserve">the general ideology of the state, </w:t>
      </w:r>
      <w:r>
        <w:t xml:space="preserve">the percent supporting the Medicaid expansion, the percent supporting the Tea Party, whether the state house is controlled by Republicans, and whether the state senate is controlled by Republicans. The need predictors are the percent without insurance, the percent below 138% of poverty, DSH payments per capita, the low </w:t>
      </w:r>
      <w:proofErr w:type="spellStart"/>
      <w:r>
        <w:t>birthweight</w:t>
      </w:r>
      <w:proofErr w:type="spellEnd"/>
      <w:r>
        <w:t xml:space="preserve"> rate, the heart disease death rate, and life expectancy. From these </w:t>
      </w:r>
      <w:proofErr w:type="gramStart"/>
      <w:r>
        <w:t>three,</w:t>
      </w:r>
      <w:proofErr w:type="gramEnd"/>
      <w:r>
        <w:t xml:space="preserve"> choose the variable and, if continuous, the split that best classifies the observations in the training data. Continue drawing three predictors at random and optimally partitioning the data using these predictors until the splits are not longer statistically significant.</w:t>
      </w:r>
    </w:p>
    <w:p w14:paraId="03F304B1" w14:textId="554DCEE0" w:rsidR="00D952EB" w:rsidRDefault="00D952EB" w:rsidP="000064A6">
      <w:pPr>
        <w:pStyle w:val="BodyText"/>
        <w:numPr>
          <w:ilvl w:val="0"/>
          <w:numId w:val="20"/>
        </w:numPr>
      </w:pPr>
      <w:r>
        <w:t xml:space="preserve">Use this tree to predict the 18 test cases. </w:t>
      </w:r>
      <w:r w:rsidR="009D5678">
        <w:t>Compute the proportion of cases correctly predicted as a measure of model accuracy.</w:t>
      </w:r>
    </w:p>
    <w:p w14:paraId="7E51E4CD" w14:textId="31C8A444" w:rsidR="00B17C4E" w:rsidRDefault="00B17C4E" w:rsidP="000064A6">
      <w:pPr>
        <w:pStyle w:val="BodyText"/>
        <w:numPr>
          <w:ilvl w:val="0"/>
          <w:numId w:val="20"/>
        </w:numPr>
      </w:pPr>
      <w:r>
        <w:t>Now randomly permute each variable (one-by-one) and re-compute the proportion of cases correctly predicted. If the variable is an “important” predictor of opposition, then the accuracy of the tree should decrease substantially. However, if the variable is “unimportant,” then the accuracy should decrease only slightly or not at all.</w:t>
      </w:r>
    </w:p>
    <w:p w14:paraId="5BF807BD" w14:textId="1AB13606" w:rsidR="009D5678" w:rsidRDefault="00C66BE3" w:rsidP="009D5678">
      <w:pPr>
        <w:pStyle w:val="BodyText"/>
      </w:pPr>
      <w:r>
        <w:lastRenderedPageBreak/>
        <w:tab/>
      </w:r>
      <w:r w:rsidR="009D5678">
        <w:t xml:space="preserve">To grow a forest, as opposed to a single tree, we simply repeat this procedure 1,000 times (i.e., </w:t>
      </w:r>
      <w:r w:rsidR="00B17C4E">
        <w:t xml:space="preserve">grow 1,000 trees). This collection of trees serves as a forest and we assess </w:t>
      </w:r>
      <w:r>
        <w:t xml:space="preserve">each </w:t>
      </w:r>
      <w:r w:rsidR="00B17C4E">
        <w:t>variable</w:t>
      </w:r>
      <w:r>
        <w:t>’s</w:t>
      </w:r>
      <w:r w:rsidR="00B17C4E">
        <w:t xml:space="preserve"> importance by averaging the difference in accuracy before and after permuting each variable across the entire forest. This difference serves as our point estimate of variable importance. Larger values (positive and away from zero) indicate that a variable is more important and smaller values (closer to zero or neg</w:t>
      </w:r>
      <w:r w:rsidR="00AF4A92">
        <w:t>ative) indicate that a variable</w:t>
      </w:r>
      <w:r w:rsidR="00B17C4E">
        <w:t xml:space="preserve"> is less important. To assess the uncertainty around these point estimates of variable importance, we follow Hill and Jones (forthcoming) and </w:t>
      </w:r>
      <w:r w:rsidR="00AF4A92">
        <w:t xml:space="preserve">grow 100 forests on bootstrap re-samples of the data </w:t>
      </w:r>
      <w:r w:rsidR="00264CFE">
        <w:t xml:space="preserve">(that is, </w:t>
      </w:r>
      <w:r w:rsidR="0015632D">
        <w:t>we grow 100 forests by resampling</w:t>
      </w:r>
      <w:r w:rsidR="00264CFE">
        <w:t xml:space="preserve"> 50 states with replacement and grow</w:t>
      </w:r>
      <w:r w:rsidR="0015632D">
        <w:t>ing</w:t>
      </w:r>
      <w:r w:rsidR="00264CFE">
        <w:t xml:space="preserve"> a</w:t>
      </w:r>
      <w:r w:rsidR="0015632D">
        <w:t xml:space="preserve"> forest of 1,000 </w:t>
      </w:r>
      <w:r w:rsidR="00AF4A92">
        <w:t>trees 100 times). We use the collection of variable importance measures from these forests</w:t>
      </w:r>
      <w:r w:rsidR="00264CFE">
        <w:t xml:space="preserve"> to obtain a 90% confidence interval around the estimates of variable importance. The estimates and 90% confidence intervals for each variable are shown </w:t>
      </w:r>
      <w:r w:rsidR="00AF4A92">
        <w:t>in</w:t>
      </w:r>
      <w:r w:rsidR="005F6E65">
        <w:t xml:space="preserve"> </w:t>
      </w:r>
      <w:r w:rsidR="005F6E65">
        <w:fldChar w:fldCharType="begin"/>
      </w:r>
      <w:r w:rsidR="005F6E65">
        <w:instrText xml:space="preserve"> REF _Ref263017304 \h </w:instrText>
      </w:r>
      <w:r w:rsidR="005F6E65">
        <w:fldChar w:fldCharType="separate"/>
      </w:r>
      <w:r w:rsidR="005F6E65">
        <w:t xml:space="preserve">Figure </w:t>
      </w:r>
      <w:r w:rsidR="005F6E65">
        <w:rPr>
          <w:noProof/>
        </w:rPr>
        <w:t>3</w:t>
      </w:r>
      <w:r w:rsidR="005F6E65">
        <w:fldChar w:fldCharType="end"/>
      </w:r>
      <w:bookmarkStart w:id="6" w:name="_GoBack"/>
      <w:bookmarkEnd w:id="6"/>
      <w:r w:rsidR="00264CFE">
        <w:t>.</w:t>
      </w:r>
    </w:p>
    <w:p w14:paraId="2582A050" w14:textId="154387CE" w:rsidR="0015632D" w:rsidRPr="00EC72FB" w:rsidRDefault="00EC72FB" w:rsidP="0085416F">
      <w:r>
        <w:tab/>
      </w:r>
      <w:r w:rsidR="00AF102B" w:rsidRPr="00733218">
        <w:t xml:space="preserve">The results offer stark support for our claim that politics matters more than need. Even </w:t>
      </w:r>
      <w:r w:rsidR="00AF102B" w:rsidRPr="00EC72FB">
        <w:t xml:space="preserve">without a close examination of the results, almost all of the political variables are important predictors and almost all of the need variables are </w:t>
      </w:r>
      <w:r w:rsidR="00AF102B" w:rsidRPr="00EC72FB">
        <w:rPr>
          <w:i/>
        </w:rPr>
        <w:t>un</w:t>
      </w:r>
      <w:r w:rsidR="00AF102B" w:rsidRPr="00EC72FB">
        <w:t xml:space="preserve">important. </w:t>
      </w:r>
      <w:r w:rsidR="0015632D" w:rsidRPr="00EC72FB">
        <w:t>These results suggest that if one</w:t>
      </w:r>
      <w:r w:rsidRPr="00EC72FB">
        <w:t xml:space="preserve"> </w:t>
      </w:r>
      <w:r w:rsidR="0015632D" w:rsidRPr="00EC72FB">
        <w:t>wanted to predict which governors oppose the expansion, on</w:t>
      </w:r>
      <w:r w:rsidR="0052430D" w:rsidRPr="00EC72FB">
        <w:t>e</w:t>
      </w:r>
      <w:r w:rsidR="0015632D" w:rsidRPr="00EC72FB">
        <w:t xml:space="preserve"> probably wanted to </w:t>
      </w:r>
      <w:r w:rsidR="00E55F60" w:rsidRPr="00EC72FB">
        <w:t>k</w:t>
      </w:r>
      <w:r w:rsidR="0015632D" w:rsidRPr="00EC72FB">
        <w:t>no</w:t>
      </w:r>
      <w:r w:rsidR="00E55F60" w:rsidRPr="00EC72FB">
        <w:t>w</w:t>
      </w:r>
      <w:r w:rsidR="0015632D" w:rsidRPr="00EC72FB">
        <w:t xml:space="preserve"> whether the lower hous</w:t>
      </w:r>
      <w:r w:rsidR="00E55F60" w:rsidRPr="00EC72FB">
        <w:t>e is controlled by Republicans</w:t>
      </w:r>
      <w:r w:rsidR="0015632D" w:rsidRPr="00EC72FB">
        <w:t>, Obama’s margin of victory in 2012</w:t>
      </w:r>
      <w:r w:rsidR="00ED70B1" w:rsidRPr="00EC72FB">
        <w:t>,</w:t>
      </w:r>
      <w:r w:rsidR="00E55F60" w:rsidRPr="00EC72FB">
        <w:t xml:space="preserve"> the governor’s partisanship</w:t>
      </w:r>
      <w:r w:rsidR="00ED70B1" w:rsidRPr="00EC72FB">
        <w:t>, and perhaps the ideology of the state</w:t>
      </w:r>
      <w:r w:rsidR="0015632D" w:rsidRPr="00EC72FB">
        <w:t>. All of these variables focus on the immediate political context.</w:t>
      </w:r>
    </w:p>
    <w:p w14:paraId="5FB38967" w14:textId="77777777" w:rsidR="00E55F60" w:rsidRDefault="0015632D" w:rsidP="00AF102B">
      <w:r>
        <w:tab/>
      </w:r>
      <w:r w:rsidR="00AF102B">
        <w:t>However, a close examination only strengthens the evidence</w:t>
      </w:r>
      <w:r>
        <w:t xml:space="preserve"> for the claim that politics is more important than need</w:t>
      </w:r>
      <w:r w:rsidR="00AF102B">
        <w:t xml:space="preserve">. The least important political variable is the percent of a state supporting the Medicaid expansion. This measure is based on a July 2012 Kaiser Family Foundation survey immediately following the Supreme Court decision. Since the political </w:t>
      </w:r>
      <w:r w:rsidR="00AF102B">
        <w:lastRenderedPageBreak/>
        <w:t xml:space="preserve">implications of the expansion were not yet well known, this measure might not be the best indicator of the electoral cost that Republican governors might pay for “supporting </w:t>
      </w:r>
      <w:proofErr w:type="spellStart"/>
      <w:r w:rsidR="00AF102B">
        <w:t>Obamacare</w:t>
      </w:r>
      <w:proofErr w:type="spellEnd"/>
      <w:r w:rsidR="00AF102B">
        <w:t xml:space="preserve">.” </w:t>
      </w:r>
    </w:p>
    <w:p w14:paraId="37308721" w14:textId="363A4003" w:rsidR="00E55F60" w:rsidRDefault="00E55F60" w:rsidP="00AF102B">
      <w:r>
        <w:tab/>
      </w:r>
      <w:r w:rsidR="0015632D">
        <w:t xml:space="preserve">The most important need variable, the low birth weight rate, seems somewhat important, but works in the wrong direction—governors </w:t>
      </w:r>
      <w:r w:rsidR="0052430D">
        <w:t>in states with more</w:t>
      </w:r>
      <w:r w:rsidR="0015632D">
        <w:t xml:space="preserve"> more low birth </w:t>
      </w:r>
      <w:r w:rsidR="0052430D">
        <w:t>weight infants</w:t>
      </w:r>
      <w:r w:rsidR="0015632D">
        <w:t xml:space="preserve"> are more likely to </w:t>
      </w:r>
      <w:r w:rsidR="0015632D" w:rsidRPr="0015632D">
        <w:rPr>
          <w:i/>
        </w:rPr>
        <w:t>oppose</w:t>
      </w:r>
      <w:r w:rsidR="0015632D">
        <w:t xml:space="preserve"> the expansion. </w:t>
      </w:r>
      <w:r>
        <w:t xml:space="preserve">Although the model suggests it is less important, the random forests suggest that life expectancy might have some predictive power, but again, it has an effect in the wrong direction. </w:t>
      </w:r>
    </w:p>
    <w:p w14:paraId="311741BD" w14:textId="47C735DB" w:rsidR="00264CFE" w:rsidRPr="00AF102B" w:rsidRDefault="00E55F60" w:rsidP="00AF102B">
      <w:r>
        <w:tab/>
      </w:r>
      <w:r w:rsidR="0015632D">
        <w:t>The only real surprise from this analysis is the relative unimportance of the favorability of the Affordable</w:t>
      </w:r>
      <w:r w:rsidR="00AF4A92">
        <w:t xml:space="preserve"> Care Act. </w:t>
      </w:r>
      <w:r w:rsidR="0052430D">
        <w:t xml:space="preserve"> </w:t>
      </w:r>
      <w:r w:rsidR="00AF4A92">
        <w:t>However, it</w:t>
      </w:r>
      <w:r w:rsidR="0015632D">
        <w:t xml:space="preserve"> has the smallest effect of the political variables in the main model,</w:t>
      </w:r>
      <w:r w:rsidR="00AF4A92">
        <w:t xml:space="preserve"> and the random forests suggest</w:t>
      </w:r>
      <w:r w:rsidR="0015632D">
        <w:t xml:space="preserve"> it plays a relatively unimportant role as well.</w:t>
      </w:r>
      <w:r>
        <w:t xml:space="preserve"> In short, the random </w:t>
      </w:r>
      <w:proofErr w:type="gramStart"/>
      <w:r>
        <w:t>forest offer</w:t>
      </w:r>
      <w:proofErr w:type="gramEnd"/>
      <w:r>
        <w:t xml:space="preserve"> solid evidence in favor of our claim that politics matters more than need</w:t>
      </w:r>
      <w:r w:rsidR="004C6F39">
        <w:t xml:space="preserve">. </w:t>
      </w:r>
    </w:p>
    <w:p w14:paraId="7B18B636" w14:textId="77777777" w:rsidR="00AB09E9" w:rsidRDefault="00AB09E9" w:rsidP="00E84356">
      <w:pPr>
        <w:pStyle w:val="Heading1"/>
      </w:pPr>
      <w:r>
        <w:t>Conclusion</w:t>
      </w:r>
    </w:p>
    <w:p w14:paraId="4069FA42" w14:textId="77777777" w:rsidR="0052430D" w:rsidRDefault="00AB09E9">
      <w:r>
        <w:tab/>
      </w:r>
      <w:r w:rsidR="00447FDB">
        <w:t>The politics versus economics</w:t>
      </w:r>
      <w:r w:rsidR="005F5F74">
        <w:t xml:space="preserve"> debate </w:t>
      </w:r>
      <w:r w:rsidR="00447FDB">
        <w:t xml:space="preserve">in state politics </w:t>
      </w:r>
      <w:r w:rsidR="005F5F74">
        <w:t xml:space="preserve">was </w:t>
      </w:r>
      <w:r w:rsidR="001F05FA">
        <w:t xml:space="preserve">put to rest </w:t>
      </w:r>
      <w:r w:rsidR="005F5F74">
        <w:t>with strong evidence th</w:t>
      </w:r>
      <w:r w:rsidR="003C040B">
        <w:t>at</w:t>
      </w:r>
      <w:r w:rsidR="005F5F74">
        <w:t xml:space="preserve"> public opinion </w:t>
      </w:r>
      <w:r w:rsidR="003C040B">
        <w:t>det</w:t>
      </w:r>
      <w:r w:rsidR="001F05FA">
        <w:t>ermined public policies in a number of areas (</w:t>
      </w:r>
      <w:r w:rsidR="00447FDB">
        <w:t xml:space="preserve">see, e.g., </w:t>
      </w:r>
      <w:r w:rsidR="0052430D">
        <w:t>Wright, Erikson and McIver 1987</w:t>
      </w:r>
      <w:r w:rsidR="001F05FA">
        <w:t xml:space="preserve">).  This research reports that, at least in the case of Medicaid expansion under the PPACA, economics and need have no effect on policy, which is driven wholly by partisan politics and to a lesser extent ideology in states in which governors reject the expansion.  </w:t>
      </w:r>
      <w:r w:rsidR="00447FDB">
        <w:t xml:space="preserve">The measures of  </w:t>
      </w:r>
      <w:r w:rsidR="00127ADD">
        <w:t>“economics”—urbanization, DSH payments to hospitals, the percent of people uninsured—and others that are characterized as “need” have no statistically meaningful effect.  Thus there is nothing but politics in the model, which is unique in our experience with state policy research.</w:t>
      </w:r>
    </w:p>
    <w:p w14:paraId="7E133391" w14:textId="37577459" w:rsidR="00AB09E9" w:rsidRDefault="00AB09E9">
      <w:r>
        <w:tab/>
        <w:t xml:space="preserve">The Supreme Court shifted the terms of the PPACA debate in June 2012 when they affirmed the constitutionality of the individual mandate but gave state governments the choice to accept or </w:t>
      </w:r>
      <w:r>
        <w:lastRenderedPageBreak/>
        <w:t xml:space="preserve">not accept Medicaid expansions to cover 138% of the federal poverty population.  Evaluations of the 1990s-era state health reforms revealed Medicaid expansion to be the single most effective way to expand insurance coverage, so state decisions to refuse those benefits may prove to have substantial effects on access to care for the poor or working poor.  In addition, citizens of states that do not expand Medicaid under the federal plan are ineligible for the subsidies for low-income persons that are available under PPACA.  </w:t>
      </w:r>
    </w:p>
    <w:p w14:paraId="41AE4EEA" w14:textId="77777777" w:rsidR="00AB09E9" w:rsidRDefault="00AB09E9">
      <w:pPr>
        <w:rPr>
          <w:color w:val="333333"/>
        </w:rPr>
      </w:pPr>
      <w:r>
        <w:tab/>
        <w:t xml:space="preserve">A possible silver lining in the Medicaid expansion dispute is that it provides an opportunity for evaluation of the decision's effects on health access and spending.  State welfare reforms in the 1990s allowed states considerable discretion in program design, which has made possible evaluations of specific program features (see, e.g., </w:t>
      </w:r>
      <w:proofErr w:type="spellStart"/>
      <w:r>
        <w:t>Soss</w:t>
      </w:r>
      <w:proofErr w:type="spellEnd"/>
      <w:r>
        <w:t xml:space="preserve">, et al. 2001).  The Medicaid expansions may result in similar variation in programs under the PPACA and afford similar program analysis possibilities.  </w:t>
      </w:r>
      <w:proofErr w:type="spellStart"/>
      <w:r>
        <w:t>Baiker</w:t>
      </w:r>
      <w:proofErr w:type="spellEnd"/>
      <w:r>
        <w:t>, et al. (2013, 1722) report that the persons who received Medicaid coverage under the 2008 Oregon randomized Medicaid enrollment had “...</w:t>
      </w:r>
      <w:r>
        <w:rPr>
          <w:color w:val="333333"/>
        </w:rPr>
        <w:t>increased access to and utilization of health care, substantial improvements in mental health, and reductions in financial strain</w:t>
      </w:r>
      <w:proofErr w:type="gramStart"/>
      <w:r>
        <w:rPr>
          <w:color w:val="333333"/>
        </w:rPr>
        <w:t>”  but</w:t>
      </w:r>
      <w:proofErr w:type="gramEnd"/>
      <w:r>
        <w:rPr>
          <w:color w:val="333333"/>
        </w:rPr>
        <w:t xml:space="preserve"> the investigators report no marked improvement in health status among enrollees.  The 2013 Medicaid expansion decisions may enable analysts to develop similar models using a nationwide panel in a natural experiment.  </w:t>
      </w:r>
    </w:p>
    <w:p w14:paraId="2E8A7897" w14:textId="51D5F505" w:rsidR="00AB09E9" w:rsidRDefault="00AB09E9" w:rsidP="003A5C39">
      <w:r>
        <w:tab/>
        <w:t xml:space="preserve">State governments rely on federal money for large portions of their budgets (Cho and Wright 2007) and the Medicaid expansion is certainly a large infusion of federal money.  Refusal to expand the program means states are giving up billions of dollars that would flow into their health systems, boost their economies, and reduce </w:t>
      </w:r>
      <w:proofErr w:type="spellStart"/>
      <w:r>
        <w:t>uninsurance</w:t>
      </w:r>
      <w:proofErr w:type="spellEnd"/>
      <w:r>
        <w:t xml:space="preserve">.  On the other hand, states that refuse the money may be staking out a strong states-rights position, one that has received substantial support in the courts over the past thirty-odd years (Hanson 2008, pp. 24-36).  The </w:t>
      </w:r>
      <w:r>
        <w:lastRenderedPageBreak/>
        <w:t>debate within states' about whether to expand Medicaid is ongoing and often reflects tension between politics and need.  It is unclear how citizens will respond to their states' refusing benefits that leave large numbers of citizens without health insurance.  But for now, in the tug-of-war between politics and need, politics se</w:t>
      </w:r>
      <w:r w:rsidR="004C6F39">
        <w:t>ems to be winning</w:t>
      </w:r>
      <w:r>
        <w:t xml:space="preserve">. </w:t>
      </w:r>
    </w:p>
    <w:p w14:paraId="4137B8A8" w14:textId="58181AB9" w:rsidR="003A5C39" w:rsidRDefault="003A5C39" w:rsidP="00D27DD4">
      <w:pPr>
        <w:widowControl/>
        <w:tabs>
          <w:tab w:val="clear" w:pos="360"/>
          <w:tab w:val="clear" w:pos="709"/>
        </w:tabs>
        <w:suppressAutoHyphens w:val="0"/>
        <w:spacing w:line="240" w:lineRule="auto"/>
        <w:jc w:val="center"/>
        <w:rPr>
          <w:b/>
          <w:sz w:val="32"/>
          <w:szCs w:val="32"/>
        </w:rPr>
      </w:pPr>
      <w:r>
        <w:br w:type="page"/>
      </w:r>
      <w:r w:rsidR="00AB09E9" w:rsidRPr="003A5C39">
        <w:rPr>
          <w:b/>
          <w:sz w:val="32"/>
          <w:szCs w:val="32"/>
        </w:rPr>
        <w:lastRenderedPageBreak/>
        <w:t>References</w:t>
      </w:r>
    </w:p>
    <w:p w14:paraId="2FC60E57" w14:textId="77777777" w:rsidR="00D27DD4" w:rsidRPr="00D27DD4" w:rsidRDefault="00D27DD4" w:rsidP="00D27DD4">
      <w:pPr>
        <w:widowControl/>
        <w:tabs>
          <w:tab w:val="clear" w:pos="360"/>
          <w:tab w:val="clear" w:pos="709"/>
        </w:tabs>
        <w:suppressAutoHyphens w:val="0"/>
        <w:spacing w:line="240" w:lineRule="auto"/>
        <w:jc w:val="center"/>
        <w:rPr>
          <w:b/>
          <w:sz w:val="32"/>
          <w:szCs w:val="32"/>
        </w:rPr>
      </w:pPr>
    </w:p>
    <w:p w14:paraId="06FB9969" w14:textId="77777777" w:rsidR="00AB09E9" w:rsidRPr="003A5C39" w:rsidRDefault="00AB09E9" w:rsidP="003A5C39">
      <w:pPr>
        <w:pStyle w:val="References"/>
      </w:pPr>
      <w:r w:rsidRPr="003A5C39">
        <w:t xml:space="preserve">Altman, D. and D. F. Beatrice.  1990.  “Perspectives on the Medicaid Program.”  </w:t>
      </w:r>
      <w:r w:rsidRPr="003A5C39">
        <w:rPr>
          <w:i/>
          <w:iCs/>
        </w:rPr>
        <w:t xml:space="preserve">Health Care Financing Review 1990 Annual Supplement </w:t>
      </w:r>
      <w:r w:rsidRPr="003A5C39">
        <w:t xml:space="preserve">December 1990: 3. </w:t>
      </w:r>
    </w:p>
    <w:p w14:paraId="7D390B10" w14:textId="77777777" w:rsidR="00AB09E9" w:rsidRPr="003A5C39" w:rsidRDefault="00AB09E9" w:rsidP="003A5C39">
      <w:pPr>
        <w:pStyle w:val="References"/>
        <w:rPr>
          <w:color w:val="444444"/>
          <w:shd w:val="clear" w:color="auto" w:fill="FFFFFF"/>
        </w:rPr>
      </w:pPr>
      <w:proofErr w:type="spellStart"/>
      <w:r w:rsidRPr="003A5C39">
        <w:rPr>
          <w:color w:val="444444"/>
          <w:shd w:val="clear" w:color="auto" w:fill="FFFFFF"/>
        </w:rPr>
        <w:t>Baicker</w:t>
      </w:r>
      <w:proofErr w:type="spellEnd"/>
      <w:r w:rsidRPr="003A5C39">
        <w:rPr>
          <w:color w:val="444444"/>
          <w:shd w:val="clear" w:color="auto" w:fill="FFFFFF"/>
        </w:rPr>
        <w:t xml:space="preserve"> Katherine, Sarah </w:t>
      </w:r>
      <w:proofErr w:type="spellStart"/>
      <w:r w:rsidRPr="003A5C39">
        <w:rPr>
          <w:color w:val="444444"/>
          <w:shd w:val="clear" w:color="auto" w:fill="FFFFFF"/>
        </w:rPr>
        <w:t>Taubman</w:t>
      </w:r>
      <w:proofErr w:type="spellEnd"/>
      <w:r w:rsidRPr="003A5C39">
        <w:rPr>
          <w:color w:val="444444"/>
          <w:shd w:val="clear" w:color="auto" w:fill="FFFFFF"/>
        </w:rPr>
        <w:t xml:space="preserve">, Heidi Allen, Mira Bernstein, Jonathan Gruber, Joseph P. Newhouse, Newhouse, Eric Schneider, Bill Wright, Alan </w:t>
      </w:r>
      <w:proofErr w:type="spellStart"/>
      <w:r w:rsidRPr="003A5C39">
        <w:rPr>
          <w:color w:val="444444"/>
          <w:shd w:val="clear" w:color="auto" w:fill="FFFFFF"/>
        </w:rPr>
        <w:t>Zaslavsky</w:t>
      </w:r>
      <w:proofErr w:type="spellEnd"/>
      <w:r w:rsidRPr="003A5C39">
        <w:rPr>
          <w:color w:val="444444"/>
          <w:shd w:val="clear" w:color="auto" w:fill="FFFFFF"/>
        </w:rPr>
        <w:t xml:space="preserve">, Amy Finkelstein, and the Oregon Health Study Group.  2013. </w:t>
      </w:r>
      <w:r w:rsidRPr="003A5C39">
        <w:rPr>
          <w:rStyle w:val="apple-converted-space"/>
          <w:color w:val="444444"/>
          <w:shd w:val="clear" w:color="auto" w:fill="FFFFFF"/>
        </w:rPr>
        <w:t> </w:t>
      </w:r>
      <w:hyperlink r:id="rId12" w:history="1">
        <w:r w:rsidRPr="003A5C39">
          <w:rPr>
            <w:rStyle w:val="Hyperlink"/>
          </w:rPr>
          <w:t>"The Oregon Experiment – Effects of Medicaid on Clinical Outcomes."</w:t>
        </w:r>
      </w:hyperlink>
      <w:r w:rsidRPr="003A5C39">
        <w:t xml:space="preserve"> </w:t>
      </w:r>
      <w:r w:rsidRPr="003A5C39">
        <w:rPr>
          <w:i/>
          <w:iCs/>
          <w:color w:val="444444"/>
          <w:shd w:val="clear" w:color="auto" w:fill="FFFFFF"/>
        </w:rPr>
        <w:t>New England Journal of Medicine</w:t>
      </w:r>
      <w:r w:rsidRPr="003A5C39">
        <w:rPr>
          <w:color w:val="444444"/>
          <w:shd w:val="clear" w:color="auto" w:fill="FFFFFF"/>
        </w:rPr>
        <w:t xml:space="preserve"> 368(18): 1713-1722.</w:t>
      </w:r>
    </w:p>
    <w:p w14:paraId="106A4E51" w14:textId="77777777" w:rsidR="00AB09E9" w:rsidRPr="003A5C39" w:rsidRDefault="00AB09E9" w:rsidP="003A5C39">
      <w:pPr>
        <w:pStyle w:val="References"/>
        <w:rPr>
          <w:color w:val="222222"/>
        </w:rPr>
      </w:pPr>
      <w:proofErr w:type="spellStart"/>
      <w:r w:rsidRPr="003A5C39">
        <w:rPr>
          <w:color w:val="222222"/>
        </w:rPr>
        <w:t>Balz</w:t>
      </w:r>
      <w:proofErr w:type="spellEnd"/>
      <w:r w:rsidRPr="003A5C39">
        <w:rPr>
          <w:color w:val="222222"/>
        </w:rPr>
        <w:t xml:space="preserve">, Dan and William </w:t>
      </w:r>
      <w:proofErr w:type="spellStart"/>
      <w:r w:rsidRPr="003A5C39">
        <w:rPr>
          <w:color w:val="222222"/>
        </w:rPr>
        <w:t>Branigin</w:t>
      </w:r>
      <w:proofErr w:type="spellEnd"/>
      <w:r w:rsidRPr="003A5C39">
        <w:rPr>
          <w:color w:val="222222"/>
        </w:rPr>
        <w:t xml:space="preserve">. 2010.  “After Midterm Wins, GOP Vows to Block Obama's Agenda.”  </w:t>
      </w:r>
      <w:r w:rsidRPr="003A5C39">
        <w:rPr>
          <w:i/>
          <w:iCs/>
          <w:color w:val="222222"/>
        </w:rPr>
        <w:t>Washington Post</w:t>
      </w:r>
      <w:r w:rsidRPr="003A5C39">
        <w:rPr>
          <w:color w:val="222222"/>
        </w:rPr>
        <w:t xml:space="preserve">, November 3.  </w:t>
      </w:r>
      <w:hyperlink r:id="rId13" w:history="1">
        <w:r w:rsidRPr="003A5C39">
          <w:rPr>
            <w:rStyle w:val="Hyperlink"/>
          </w:rPr>
          <w:t>http://www.washingtonpost.com/wp-dyn/content/article/2010/11/02/AR2010110207506.html</w:t>
        </w:r>
      </w:hyperlink>
    </w:p>
    <w:p w14:paraId="594B234F" w14:textId="77777777" w:rsidR="00AB09E9" w:rsidRPr="003A5C39" w:rsidRDefault="00AB09E9" w:rsidP="003A5C39">
      <w:pPr>
        <w:pStyle w:val="References"/>
        <w:rPr>
          <w:color w:val="222222"/>
        </w:rPr>
      </w:pPr>
      <w:proofErr w:type="spellStart"/>
      <w:r w:rsidRPr="003A5C39">
        <w:rPr>
          <w:color w:val="222222"/>
        </w:rPr>
        <w:t>Barrilleaux</w:t>
      </w:r>
      <w:proofErr w:type="spellEnd"/>
      <w:r w:rsidRPr="003A5C39">
        <w:rPr>
          <w:color w:val="222222"/>
        </w:rPr>
        <w:t xml:space="preserve">, Charles and Michael B. </w:t>
      </w:r>
      <w:proofErr w:type="spellStart"/>
      <w:r w:rsidRPr="003A5C39">
        <w:rPr>
          <w:color w:val="222222"/>
        </w:rPr>
        <w:t>Berkman</w:t>
      </w:r>
      <w:proofErr w:type="spellEnd"/>
      <w:r w:rsidRPr="003A5C39">
        <w:rPr>
          <w:color w:val="222222"/>
        </w:rPr>
        <w:t xml:space="preserve">.  2003.  “Do Governors Matter?  Budget Rules and Politics of State Policymaking.”  </w:t>
      </w:r>
      <w:r w:rsidRPr="003A5C39">
        <w:rPr>
          <w:i/>
          <w:iCs/>
          <w:color w:val="222222"/>
        </w:rPr>
        <w:t>Political Research Quarterly</w:t>
      </w:r>
      <w:r w:rsidRPr="003A5C39">
        <w:rPr>
          <w:color w:val="222222"/>
        </w:rPr>
        <w:t xml:space="preserve"> 56(4):  409-17.</w:t>
      </w:r>
    </w:p>
    <w:p w14:paraId="32967C25" w14:textId="77777777" w:rsidR="00AB09E9" w:rsidRPr="003A5C39" w:rsidRDefault="00AB09E9" w:rsidP="003A5C39">
      <w:pPr>
        <w:pStyle w:val="References"/>
        <w:rPr>
          <w:color w:val="222222"/>
        </w:rPr>
      </w:pPr>
      <w:proofErr w:type="spellStart"/>
      <w:r w:rsidRPr="003A5C39">
        <w:rPr>
          <w:color w:val="222222"/>
        </w:rPr>
        <w:t>Barrilleaux</w:t>
      </w:r>
      <w:proofErr w:type="spellEnd"/>
      <w:r w:rsidRPr="003A5C39">
        <w:rPr>
          <w:color w:val="222222"/>
        </w:rPr>
        <w:t xml:space="preserve">, Charles and Paul Brace.  2007.  “Notes from the Laboratories of Democracy:  State Government Enactments of Market- and State-Based Health Insurance Reforms in the 1990s.”  </w:t>
      </w:r>
      <w:r w:rsidRPr="003A5C39">
        <w:rPr>
          <w:i/>
          <w:color w:val="222222"/>
        </w:rPr>
        <w:t>Journal of Health Politics, Policy and Law</w:t>
      </w:r>
      <w:r w:rsidRPr="003A5C39">
        <w:rPr>
          <w:color w:val="222222"/>
        </w:rPr>
        <w:t xml:space="preserve"> 32(4): 655-683.</w:t>
      </w:r>
    </w:p>
    <w:p w14:paraId="5225673D" w14:textId="77777777" w:rsidR="00AB09E9" w:rsidRPr="003A5C39" w:rsidRDefault="00AB09E9" w:rsidP="003A5C39">
      <w:pPr>
        <w:pStyle w:val="References"/>
        <w:rPr>
          <w:color w:val="222222"/>
        </w:rPr>
      </w:pPr>
      <w:r w:rsidRPr="003A5C39">
        <w:rPr>
          <w:color w:val="222222"/>
        </w:rPr>
        <w:t xml:space="preserve">Bell, Mark, and Nicholas Miller. 2013. “Questioning the Effect of Nuclear Weapons on Conflict.” </w:t>
      </w:r>
      <w:proofErr w:type="gramStart"/>
      <w:r w:rsidRPr="003A5C39">
        <w:rPr>
          <w:i/>
          <w:color w:val="222222"/>
        </w:rPr>
        <w:t>Journal of Conflict Resolution</w:t>
      </w:r>
      <w:r w:rsidRPr="003A5C39">
        <w:rPr>
          <w:color w:val="222222"/>
        </w:rPr>
        <w:t>.</w:t>
      </w:r>
      <w:proofErr w:type="gramEnd"/>
      <w:r w:rsidRPr="003A5C39">
        <w:rPr>
          <w:color w:val="222222"/>
        </w:rPr>
        <w:t xml:space="preserve">  Published online August 19.  </w:t>
      </w:r>
      <w:hyperlink r:id="rId14" w:history="1">
        <w:r w:rsidRPr="003A5C39">
          <w:rPr>
            <w:rStyle w:val="Hyperlink"/>
          </w:rPr>
          <w:t>http://jcr.sagepub.com/content/early/2013/12/06/0022002713499718</w:t>
        </w:r>
      </w:hyperlink>
    </w:p>
    <w:p w14:paraId="7FF67A27" w14:textId="77777777" w:rsidR="00AB09E9" w:rsidRDefault="00AB09E9" w:rsidP="003A5C39">
      <w:pPr>
        <w:pStyle w:val="References"/>
        <w:rPr>
          <w:color w:val="222222"/>
        </w:rPr>
      </w:pPr>
      <w:proofErr w:type="spellStart"/>
      <w:r w:rsidRPr="003A5C39">
        <w:rPr>
          <w:color w:val="222222"/>
        </w:rPr>
        <w:t>Bernick</w:t>
      </w:r>
      <w:proofErr w:type="spellEnd"/>
      <w:r w:rsidRPr="003A5C39">
        <w:rPr>
          <w:color w:val="222222"/>
        </w:rPr>
        <w:t xml:space="preserve">, Ethan M. and Nathan Myers. 2008.  “Treatment or Placebo: Are State Programs Decreasing the Proportion of Uninsured?”  </w:t>
      </w:r>
      <w:r w:rsidRPr="6F3F0B5C">
        <w:rPr>
          <w:i/>
          <w:iCs/>
          <w:color w:val="222222"/>
        </w:rPr>
        <w:t>Policy Studies Journal</w:t>
      </w:r>
      <w:r w:rsidRPr="003A5C39">
        <w:rPr>
          <w:color w:val="222222"/>
        </w:rPr>
        <w:t xml:space="preserve"> 36 (3): 367-384.</w:t>
      </w:r>
    </w:p>
    <w:p w14:paraId="3D63C248" w14:textId="34818C66" w:rsidR="6F3F0B5C" w:rsidRDefault="0001697E" w:rsidP="6F3F0B5C">
      <w:pPr>
        <w:pStyle w:val="References"/>
        <w:rPr>
          <w:color w:val="222222"/>
        </w:rPr>
      </w:pPr>
      <w:r>
        <w:rPr>
          <w:color w:val="222222"/>
        </w:rPr>
        <w:t xml:space="preserve">Berry, William D., </w:t>
      </w:r>
      <w:proofErr w:type="spellStart"/>
      <w:r>
        <w:rPr>
          <w:color w:val="222222"/>
        </w:rPr>
        <w:t>Jaqueline</w:t>
      </w:r>
      <w:proofErr w:type="spellEnd"/>
      <w:r w:rsidR="6F3F0B5C" w:rsidRPr="6F3F0B5C">
        <w:rPr>
          <w:color w:val="222222"/>
        </w:rPr>
        <w:t xml:space="preserve"> H. R. </w:t>
      </w:r>
      <w:proofErr w:type="spellStart"/>
      <w:r w:rsidR="6F3F0B5C" w:rsidRPr="6F3F0B5C">
        <w:rPr>
          <w:color w:val="222222"/>
        </w:rPr>
        <w:t>DeMeritt</w:t>
      </w:r>
      <w:proofErr w:type="spellEnd"/>
      <w:r w:rsidR="6F3F0B5C" w:rsidRPr="6F3F0B5C">
        <w:rPr>
          <w:color w:val="222222"/>
        </w:rPr>
        <w:t xml:space="preserve">, and Justin </w:t>
      </w:r>
      <w:proofErr w:type="spellStart"/>
      <w:r w:rsidR="6F3F0B5C" w:rsidRPr="6F3F0B5C">
        <w:rPr>
          <w:color w:val="222222"/>
        </w:rPr>
        <w:t>Esarey</w:t>
      </w:r>
      <w:proofErr w:type="spellEnd"/>
      <w:r w:rsidR="6F3F0B5C" w:rsidRPr="6F3F0B5C">
        <w:rPr>
          <w:color w:val="222222"/>
        </w:rPr>
        <w:t>. 2</w:t>
      </w:r>
      <w:r w:rsidR="00B43628">
        <w:rPr>
          <w:color w:val="222222"/>
        </w:rPr>
        <w:t xml:space="preserve">010. </w:t>
      </w:r>
      <w:r w:rsidR="00E842B6">
        <w:rPr>
          <w:color w:val="222222"/>
        </w:rPr>
        <w:t xml:space="preserve"> “</w:t>
      </w:r>
      <w:r w:rsidR="6F3F0B5C" w:rsidRPr="6F3F0B5C">
        <w:rPr>
          <w:color w:val="222222"/>
        </w:rPr>
        <w:t xml:space="preserve">Testing for Interaction in </w:t>
      </w:r>
      <w:r w:rsidR="00E842B6">
        <w:rPr>
          <w:color w:val="222222"/>
        </w:rPr>
        <w:t>Bin</w:t>
      </w:r>
      <w:r w:rsidR="00A32BF8">
        <w:rPr>
          <w:color w:val="222222"/>
        </w:rPr>
        <w:t xml:space="preserve">ary </w:t>
      </w:r>
      <w:proofErr w:type="spellStart"/>
      <w:r w:rsidR="00A32BF8">
        <w:rPr>
          <w:color w:val="222222"/>
        </w:rPr>
        <w:t>Logit</w:t>
      </w:r>
      <w:proofErr w:type="spellEnd"/>
      <w:r w:rsidR="00A32BF8">
        <w:rPr>
          <w:color w:val="222222"/>
        </w:rPr>
        <w:t xml:space="preserve"> and </w:t>
      </w:r>
      <w:proofErr w:type="spellStart"/>
      <w:r w:rsidR="00A32BF8">
        <w:rPr>
          <w:color w:val="222222"/>
        </w:rPr>
        <w:t>Probit</w:t>
      </w:r>
      <w:proofErr w:type="spellEnd"/>
      <w:r w:rsidR="00A32BF8">
        <w:rPr>
          <w:color w:val="222222"/>
        </w:rPr>
        <w:t xml:space="preserve"> Models.” </w:t>
      </w:r>
      <w:r>
        <w:rPr>
          <w:i/>
          <w:color w:val="222222"/>
        </w:rPr>
        <w:t>American J</w:t>
      </w:r>
      <w:r w:rsidR="00A32BF8">
        <w:rPr>
          <w:i/>
          <w:color w:val="222222"/>
        </w:rPr>
        <w:t>ournal of Political Science</w:t>
      </w:r>
      <w:r w:rsidR="00A32BF8">
        <w:rPr>
          <w:color w:val="222222"/>
        </w:rPr>
        <w:t xml:space="preserve"> 54</w:t>
      </w:r>
      <w:r>
        <w:rPr>
          <w:color w:val="222222"/>
        </w:rPr>
        <w:t xml:space="preserve">(1): 248-266. </w:t>
      </w:r>
    </w:p>
    <w:p w14:paraId="372112AF" w14:textId="547EAFB5" w:rsidR="000A0D45" w:rsidRDefault="0001697E" w:rsidP="0001697E">
      <w:pPr>
        <w:pStyle w:val="References"/>
        <w:rPr>
          <w:color w:val="222222"/>
        </w:rPr>
      </w:pPr>
      <w:r>
        <w:rPr>
          <w:color w:val="222222"/>
        </w:rPr>
        <w:t xml:space="preserve">Berry, William D., </w:t>
      </w:r>
      <w:proofErr w:type="spellStart"/>
      <w:r>
        <w:rPr>
          <w:color w:val="222222"/>
        </w:rPr>
        <w:t>Jaqueline</w:t>
      </w:r>
      <w:proofErr w:type="spellEnd"/>
      <w:r w:rsidRPr="6F3F0B5C">
        <w:rPr>
          <w:color w:val="222222"/>
        </w:rPr>
        <w:t xml:space="preserve"> H. R</w:t>
      </w:r>
      <w:r w:rsidR="00B43628">
        <w:rPr>
          <w:color w:val="222222"/>
        </w:rPr>
        <w:t xml:space="preserve">. </w:t>
      </w:r>
      <w:proofErr w:type="spellStart"/>
      <w:r w:rsidR="00B43628">
        <w:rPr>
          <w:color w:val="222222"/>
        </w:rPr>
        <w:t>DeMeritt</w:t>
      </w:r>
      <w:proofErr w:type="spellEnd"/>
      <w:r w:rsidR="00B43628">
        <w:rPr>
          <w:color w:val="222222"/>
        </w:rPr>
        <w:t xml:space="preserve">, and Justin </w:t>
      </w:r>
      <w:proofErr w:type="spellStart"/>
      <w:r w:rsidR="00B43628">
        <w:rPr>
          <w:color w:val="222222"/>
        </w:rPr>
        <w:t>Esarey</w:t>
      </w:r>
      <w:proofErr w:type="spellEnd"/>
      <w:r w:rsidR="00B43628">
        <w:rPr>
          <w:color w:val="222222"/>
        </w:rPr>
        <w:t>. Forthcoming.</w:t>
      </w:r>
      <w:r>
        <w:rPr>
          <w:color w:val="222222"/>
        </w:rPr>
        <w:t xml:space="preserve"> “</w:t>
      </w:r>
      <w:r w:rsidR="00B43628">
        <w:rPr>
          <w:color w:val="222222"/>
        </w:rPr>
        <w:t xml:space="preserve">Bias and Overconfidence </w:t>
      </w:r>
      <w:r w:rsidR="004326D3">
        <w:rPr>
          <w:color w:val="222222"/>
        </w:rPr>
        <w:t>in Parametric Models of Interactive Processes</w:t>
      </w:r>
      <w:r>
        <w:rPr>
          <w:color w:val="222222"/>
        </w:rPr>
        <w:t xml:space="preserve">.” </w:t>
      </w:r>
      <w:r>
        <w:rPr>
          <w:i/>
          <w:color w:val="222222"/>
        </w:rPr>
        <w:t>American Journal of Political Science</w:t>
      </w:r>
      <w:r>
        <w:rPr>
          <w:color w:val="222222"/>
        </w:rPr>
        <w:t xml:space="preserve"> 54(1): 248-266.</w:t>
      </w:r>
    </w:p>
    <w:p w14:paraId="18AA2A10" w14:textId="150287D5" w:rsidR="00E90846" w:rsidRPr="00E90846" w:rsidRDefault="00E90846" w:rsidP="0001697E">
      <w:pPr>
        <w:pStyle w:val="References"/>
      </w:pPr>
      <w:proofErr w:type="spellStart"/>
      <w:proofErr w:type="gramStart"/>
      <w:r>
        <w:rPr>
          <w:color w:val="222222"/>
        </w:rPr>
        <w:t>Biau</w:t>
      </w:r>
      <w:proofErr w:type="spellEnd"/>
      <w:r>
        <w:rPr>
          <w:color w:val="222222"/>
        </w:rPr>
        <w:t xml:space="preserve">, Gerard, Luc </w:t>
      </w:r>
      <w:proofErr w:type="spellStart"/>
      <w:r>
        <w:rPr>
          <w:color w:val="222222"/>
        </w:rPr>
        <w:t>Devroye</w:t>
      </w:r>
      <w:proofErr w:type="spellEnd"/>
      <w:r>
        <w:rPr>
          <w:color w:val="222222"/>
        </w:rPr>
        <w:t>, and Gabor Lugosi.</w:t>
      </w:r>
      <w:proofErr w:type="gramEnd"/>
      <w:r>
        <w:rPr>
          <w:color w:val="222222"/>
        </w:rPr>
        <w:t xml:space="preserve"> 2008. “Consistency of Random Forests and Other Averaging Classifiers.” </w:t>
      </w:r>
      <w:r>
        <w:rPr>
          <w:i/>
          <w:color w:val="222222"/>
        </w:rPr>
        <w:t>The Journal of Machine Learning Research</w:t>
      </w:r>
      <w:r>
        <w:rPr>
          <w:color w:val="222222"/>
        </w:rPr>
        <w:t xml:space="preserve"> 9:2015-2033.</w:t>
      </w:r>
    </w:p>
    <w:p w14:paraId="2DB9390F" w14:textId="77777777" w:rsidR="00AB09E9" w:rsidRPr="003A5C39" w:rsidRDefault="00AB09E9" w:rsidP="003A5C39">
      <w:pPr>
        <w:pStyle w:val="References"/>
        <w:rPr>
          <w:color w:val="222222"/>
        </w:rPr>
      </w:pPr>
      <w:proofErr w:type="gramStart"/>
      <w:r w:rsidRPr="003A5C39">
        <w:rPr>
          <w:color w:val="222222"/>
        </w:rPr>
        <w:t>Brace, Paul R. 1993.</w:t>
      </w:r>
      <w:proofErr w:type="gramEnd"/>
      <w:r w:rsidRPr="003A5C39">
        <w:rPr>
          <w:color w:val="222222"/>
        </w:rPr>
        <w:t xml:space="preserve">  </w:t>
      </w:r>
      <w:r w:rsidRPr="003A5C39">
        <w:rPr>
          <w:i/>
          <w:iCs/>
          <w:color w:val="222222"/>
        </w:rPr>
        <w:t>State Government and Economic Performance</w:t>
      </w:r>
      <w:r w:rsidRPr="003A5C39">
        <w:rPr>
          <w:color w:val="222222"/>
        </w:rPr>
        <w:t>.  Baltimore, MD:  Johns Hopkins.</w:t>
      </w:r>
    </w:p>
    <w:p w14:paraId="35CEB6E9" w14:textId="77777777" w:rsidR="00AB09E9" w:rsidRDefault="00AB09E9" w:rsidP="003A5C39">
      <w:pPr>
        <w:pStyle w:val="References"/>
        <w:rPr>
          <w:color w:val="222222"/>
        </w:rPr>
      </w:pPr>
      <w:r w:rsidRPr="003A5C39">
        <w:rPr>
          <w:color w:val="222222"/>
        </w:rPr>
        <w:t xml:space="preserve">Brady, David W., Morris P. Fiorina, and </w:t>
      </w:r>
      <w:proofErr w:type="spellStart"/>
      <w:r w:rsidRPr="003A5C39">
        <w:rPr>
          <w:color w:val="222222"/>
        </w:rPr>
        <w:t>Arjun</w:t>
      </w:r>
      <w:proofErr w:type="spellEnd"/>
      <w:r w:rsidRPr="003A5C39">
        <w:rPr>
          <w:color w:val="222222"/>
        </w:rPr>
        <w:t xml:space="preserve"> S. Wilkins.  2011.  “The 2010 Elections:  Why Did Political Science Forecasts go Awry?”  </w:t>
      </w:r>
      <w:r w:rsidRPr="003A5C39">
        <w:rPr>
          <w:i/>
          <w:iCs/>
          <w:color w:val="222222"/>
        </w:rPr>
        <w:t>PS</w:t>
      </w:r>
      <w:r w:rsidRPr="003A5C39">
        <w:rPr>
          <w:color w:val="222222"/>
        </w:rPr>
        <w:t xml:space="preserve"> 44(2):  247-50.  </w:t>
      </w:r>
    </w:p>
    <w:p w14:paraId="2552CDAB" w14:textId="33DEDE66" w:rsidR="00E90846" w:rsidRPr="00E90846" w:rsidRDefault="00E90846" w:rsidP="003A5C39">
      <w:pPr>
        <w:pStyle w:val="References"/>
        <w:rPr>
          <w:color w:val="222222"/>
        </w:rPr>
      </w:pPr>
      <w:proofErr w:type="spellStart"/>
      <w:r>
        <w:rPr>
          <w:color w:val="222222"/>
        </w:rPr>
        <w:lastRenderedPageBreak/>
        <w:t>Breiman</w:t>
      </w:r>
      <w:proofErr w:type="spellEnd"/>
      <w:r>
        <w:rPr>
          <w:color w:val="222222"/>
        </w:rPr>
        <w:t xml:space="preserve">, Leo. 2001. “Random Forests.” </w:t>
      </w:r>
      <w:r>
        <w:rPr>
          <w:i/>
          <w:color w:val="222222"/>
        </w:rPr>
        <w:t>Machine Learning</w:t>
      </w:r>
      <w:r>
        <w:rPr>
          <w:color w:val="222222"/>
        </w:rPr>
        <w:t xml:space="preserve"> 45(1)</w:t>
      </w:r>
      <w:proofErr w:type="gramStart"/>
      <w:r>
        <w:rPr>
          <w:color w:val="222222"/>
        </w:rPr>
        <w:t>:5</w:t>
      </w:r>
      <w:proofErr w:type="gramEnd"/>
      <w:r>
        <w:rPr>
          <w:color w:val="222222"/>
        </w:rPr>
        <w:t>-32.</w:t>
      </w:r>
    </w:p>
    <w:p w14:paraId="564BE6E7" w14:textId="77777777" w:rsidR="00AB09E9" w:rsidRPr="003A5C39" w:rsidRDefault="00AB09E9" w:rsidP="003A5C39">
      <w:pPr>
        <w:pStyle w:val="References"/>
        <w:rPr>
          <w:color w:val="222222"/>
        </w:rPr>
      </w:pPr>
      <w:r w:rsidRPr="003A5C39">
        <w:rPr>
          <w:color w:val="222222"/>
        </w:rPr>
        <w:t xml:space="preserve">Brown, Lawrence D. and Michael S. Sparer.  2003.  </w:t>
      </w:r>
      <w:bookmarkStart w:id="7" w:name="article-title-11"/>
      <w:bookmarkEnd w:id="7"/>
      <w:r w:rsidRPr="003A5C39">
        <w:rPr>
          <w:color w:val="222222"/>
        </w:rPr>
        <w:t xml:space="preserve">“Poor Program’s Progress: The Unanticipated Politics Of Medicaid Policy.”  </w:t>
      </w:r>
      <w:proofErr w:type="gramStart"/>
      <w:r w:rsidRPr="003A5C39">
        <w:rPr>
          <w:i/>
          <w:iCs/>
          <w:color w:val="222222"/>
        </w:rPr>
        <w:t>Health Affairs</w:t>
      </w:r>
      <w:r w:rsidRPr="003A5C39">
        <w:rPr>
          <w:color w:val="222222"/>
        </w:rPr>
        <w:t xml:space="preserve"> 22, 1:  33-44.</w:t>
      </w:r>
      <w:proofErr w:type="gramEnd"/>
      <w:r w:rsidRPr="003A5C39">
        <w:rPr>
          <w:color w:val="222222"/>
        </w:rPr>
        <w:t xml:space="preserve">  </w:t>
      </w:r>
    </w:p>
    <w:p w14:paraId="38E61917" w14:textId="77777777" w:rsidR="00AB09E9" w:rsidRPr="003A5C39" w:rsidRDefault="00AB09E9" w:rsidP="003A5C39">
      <w:pPr>
        <w:pStyle w:val="References"/>
        <w:rPr>
          <w:color w:val="222222"/>
        </w:rPr>
      </w:pPr>
      <w:r w:rsidRPr="003A5C39">
        <w:rPr>
          <w:color w:val="222222"/>
        </w:rPr>
        <w:t xml:space="preserve">Campbell, James E. 2010.  “"The Midterm Landslide of 2010: A Triple Wave Election," </w:t>
      </w:r>
      <w:r w:rsidRPr="003A5C39">
        <w:rPr>
          <w:i/>
          <w:iCs/>
          <w:color w:val="222222"/>
        </w:rPr>
        <w:t xml:space="preserve">The Forum </w:t>
      </w:r>
      <w:r w:rsidRPr="003A5C39">
        <w:rPr>
          <w:color w:val="222222"/>
        </w:rPr>
        <w:t xml:space="preserve">8(4) Article 3. http://www.bepress.com/forum/vol8/iss4/art3 </w:t>
      </w:r>
    </w:p>
    <w:p w14:paraId="6E5D53C8" w14:textId="77777777" w:rsidR="00AB09E9" w:rsidRPr="003A5C39" w:rsidRDefault="00AB09E9" w:rsidP="003A5C39">
      <w:pPr>
        <w:pStyle w:val="References"/>
        <w:rPr>
          <w:rStyle w:val="Strong"/>
          <w:b w:val="0"/>
          <w:color w:val="000000"/>
        </w:rPr>
      </w:pPr>
      <w:proofErr w:type="spellStart"/>
      <w:r w:rsidRPr="003A5C39">
        <w:rPr>
          <w:color w:val="222222"/>
        </w:rPr>
        <w:t>Carsey</w:t>
      </w:r>
      <w:proofErr w:type="spellEnd"/>
      <w:r w:rsidRPr="003A5C39">
        <w:rPr>
          <w:color w:val="222222"/>
        </w:rPr>
        <w:t xml:space="preserve">, Thomas M. and Jeffrey J. Harden. 2013. </w:t>
      </w:r>
      <w:r w:rsidRPr="003A5C39">
        <w:rPr>
          <w:rStyle w:val="Strong"/>
          <w:b w:val="0"/>
          <w:i/>
          <w:iCs/>
          <w:color w:val="333333"/>
        </w:rPr>
        <w:t>Monte Carlo Simulation and Resampling Methods for Social Science</w:t>
      </w:r>
      <w:r w:rsidRPr="003A5C39">
        <w:rPr>
          <w:rStyle w:val="Strong"/>
          <w:b w:val="0"/>
          <w:color w:val="222222"/>
        </w:rPr>
        <w:t xml:space="preserve">. </w:t>
      </w:r>
      <w:r w:rsidRPr="003A5C39">
        <w:rPr>
          <w:rStyle w:val="Emphasis"/>
          <w:i w:val="0"/>
          <w:iCs w:val="0"/>
          <w:color w:val="000000"/>
        </w:rPr>
        <w:t>SAGE Publications, Inc</w:t>
      </w:r>
      <w:r w:rsidRPr="003A5C39">
        <w:rPr>
          <w:rStyle w:val="Strong"/>
          <w:b w:val="0"/>
          <w:color w:val="000000"/>
        </w:rPr>
        <w:t>.</w:t>
      </w:r>
    </w:p>
    <w:p w14:paraId="0D6403FD" w14:textId="77777777" w:rsidR="00AB09E9" w:rsidRPr="003A5C39" w:rsidRDefault="00AB09E9" w:rsidP="003A5C39">
      <w:pPr>
        <w:pStyle w:val="References"/>
        <w:rPr>
          <w:color w:val="222222"/>
        </w:rPr>
      </w:pPr>
      <w:r w:rsidRPr="003A5C39">
        <w:rPr>
          <w:color w:val="222222"/>
        </w:rPr>
        <w:t xml:space="preserve">Casella, George, and Roger L. Berger. 2002. </w:t>
      </w:r>
      <w:r w:rsidRPr="003A5C39">
        <w:rPr>
          <w:i/>
          <w:color w:val="222222"/>
        </w:rPr>
        <w:t>Statistical Inference, Second Edition</w:t>
      </w:r>
      <w:r w:rsidRPr="003A5C39">
        <w:rPr>
          <w:color w:val="222222"/>
        </w:rPr>
        <w:t>. Belmont, CA: Duxbury Press.</w:t>
      </w:r>
    </w:p>
    <w:p w14:paraId="50F9BCC7" w14:textId="77777777" w:rsidR="00AB09E9" w:rsidRPr="003A5C39" w:rsidRDefault="00AB09E9" w:rsidP="003A5C39">
      <w:pPr>
        <w:pStyle w:val="References"/>
      </w:pPr>
      <w:r w:rsidRPr="003A5C39">
        <w:t>Cho, Chung-</w:t>
      </w:r>
      <w:proofErr w:type="spellStart"/>
      <w:r w:rsidRPr="003A5C39">
        <w:t>Lae</w:t>
      </w:r>
      <w:proofErr w:type="spellEnd"/>
      <w:r w:rsidRPr="003A5C39">
        <w:t xml:space="preserve"> and </w:t>
      </w:r>
      <w:proofErr w:type="spellStart"/>
      <w:r w:rsidRPr="003A5C39">
        <w:t>Deil</w:t>
      </w:r>
      <w:proofErr w:type="spellEnd"/>
      <w:r w:rsidRPr="003A5C39">
        <w:t xml:space="preserve"> S. Wright.  2007.  “Perceptions of Federal Aid Impacts on State Agencies:  Patterns, Trends and Variations across the 20</w:t>
      </w:r>
      <w:r w:rsidRPr="003A5C39">
        <w:rPr>
          <w:vertAlign w:val="superscript"/>
        </w:rPr>
        <w:t>th</w:t>
      </w:r>
      <w:r w:rsidRPr="003A5C39">
        <w:t xml:space="preserve"> Century.”  </w:t>
      </w:r>
      <w:proofErr w:type="spellStart"/>
      <w:r w:rsidRPr="003A5C39">
        <w:rPr>
          <w:i/>
          <w:iCs/>
        </w:rPr>
        <w:t>Publius</w:t>
      </w:r>
      <w:proofErr w:type="spellEnd"/>
      <w:r w:rsidRPr="003A5C39">
        <w:t xml:space="preserve"> 37 (1): 103-30.</w:t>
      </w:r>
    </w:p>
    <w:p w14:paraId="17CBFD28" w14:textId="77777777" w:rsidR="00AB09E9" w:rsidRPr="003A5C39" w:rsidRDefault="00AB09E9" w:rsidP="003A5C39">
      <w:pPr>
        <w:pStyle w:val="References"/>
      </w:pPr>
      <w:proofErr w:type="gramStart"/>
      <w:r w:rsidRPr="003A5C39">
        <w:t>Coburn, Tom and Bobby Jindal.</w:t>
      </w:r>
      <w:proofErr w:type="gramEnd"/>
      <w:r w:rsidRPr="003A5C39">
        <w:t xml:space="preserve"> 2013. “Fix Medicaid, Don't Expand It.” </w:t>
      </w:r>
      <w:proofErr w:type="gramStart"/>
      <w:r w:rsidRPr="003A5C39">
        <w:rPr>
          <w:i/>
          <w:iCs/>
        </w:rPr>
        <w:t>Real Clear Policy</w:t>
      </w:r>
      <w:r w:rsidRPr="003A5C39">
        <w:t xml:space="preserve"> June.</w:t>
      </w:r>
      <w:proofErr w:type="gramEnd"/>
      <w:r w:rsidRPr="003A5C39">
        <w:t xml:space="preserve"> </w:t>
      </w:r>
      <w:hyperlink r:id="rId15" w:history="1">
        <w:r w:rsidRPr="003A5C39">
          <w:rPr>
            <w:rStyle w:val="Hyperlink"/>
          </w:rPr>
          <w:t>http://www.realclearpolicy.com/articles/2013/06/21/fix_medicaid_dont_expand_it_541.html</w:t>
        </w:r>
      </w:hyperlink>
    </w:p>
    <w:p w14:paraId="07BB995D" w14:textId="77777777" w:rsidR="00AB09E9" w:rsidRPr="003A5C39" w:rsidRDefault="00AB09E9" w:rsidP="003A5C39">
      <w:pPr>
        <w:pStyle w:val="References"/>
      </w:pPr>
      <w:proofErr w:type="gramStart"/>
      <w:r w:rsidRPr="003A5C39">
        <w:t>Donovan, T., C.Z. Mooney, and D.A. Smith.</w:t>
      </w:r>
      <w:proofErr w:type="gramEnd"/>
      <w:r w:rsidRPr="003A5C39">
        <w:t xml:space="preserve"> 2009.  </w:t>
      </w:r>
      <w:r w:rsidRPr="003A5C39">
        <w:rPr>
          <w:i/>
          <w:iCs/>
        </w:rPr>
        <w:t>State and Local Politics</w:t>
      </w:r>
      <w:r w:rsidRPr="003A5C39">
        <w:t>.  Belmont, CA:  Wadsworth Belmont.  Pp. 336.</w:t>
      </w:r>
    </w:p>
    <w:p w14:paraId="42F7303E" w14:textId="77777777" w:rsidR="00AB09E9" w:rsidRPr="003A5C39" w:rsidRDefault="00AB09E9" w:rsidP="003A5C39">
      <w:pPr>
        <w:pStyle w:val="References"/>
        <w:rPr>
          <w:color w:val="222222"/>
        </w:rPr>
      </w:pPr>
      <w:proofErr w:type="spellStart"/>
      <w:r w:rsidRPr="003A5C39">
        <w:rPr>
          <w:color w:val="222222"/>
        </w:rPr>
        <w:t>Efron</w:t>
      </w:r>
      <w:proofErr w:type="spellEnd"/>
      <w:r w:rsidRPr="003A5C39">
        <w:rPr>
          <w:color w:val="222222"/>
        </w:rPr>
        <w:t xml:space="preserve">, Bradley. 1979. “Bootstrap Methods: Another Look at the Jackknife.” </w:t>
      </w:r>
      <w:r w:rsidRPr="003A5C39">
        <w:rPr>
          <w:i/>
          <w:color w:val="222222"/>
        </w:rPr>
        <w:t>The Annals of Statistics</w:t>
      </w:r>
      <w:r w:rsidRPr="003A5C39">
        <w:rPr>
          <w:color w:val="222222"/>
        </w:rPr>
        <w:t>: 1-26.</w:t>
      </w:r>
    </w:p>
    <w:p w14:paraId="2002A1DA" w14:textId="77777777" w:rsidR="00AB09E9" w:rsidRPr="003A5C39" w:rsidRDefault="00AB09E9" w:rsidP="003A5C39">
      <w:pPr>
        <w:pStyle w:val="References"/>
        <w:rPr>
          <w:color w:val="222222"/>
        </w:rPr>
      </w:pPr>
      <w:proofErr w:type="gramStart"/>
      <w:r w:rsidRPr="003A5C39">
        <w:rPr>
          <w:color w:val="222222"/>
        </w:rPr>
        <w:t>Firth, David.</w:t>
      </w:r>
      <w:proofErr w:type="gramEnd"/>
      <w:r w:rsidRPr="003A5C39">
        <w:rPr>
          <w:color w:val="222222"/>
        </w:rPr>
        <w:t xml:space="preserve"> 1993. “Bias Reduction of Maximum Likelihood Estimates.” </w:t>
      </w:r>
      <w:proofErr w:type="spellStart"/>
      <w:r w:rsidRPr="003A5C39">
        <w:rPr>
          <w:i/>
          <w:color w:val="222222"/>
        </w:rPr>
        <w:t>Biometrika</w:t>
      </w:r>
      <w:proofErr w:type="spellEnd"/>
      <w:r w:rsidRPr="003A5C39">
        <w:rPr>
          <w:color w:val="222222"/>
        </w:rPr>
        <w:t xml:space="preserve"> 80(1): 27-38.</w:t>
      </w:r>
    </w:p>
    <w:p w14:paraId="2007EE2E" w14:textId="77777777" w:rsidR="00AB09E9" w:rsidRPr="003A5C39" w:rsidRDefault="00AB09E9" w:rsidP="003A5C39">
      <w:pPr>
        <w:pStyle w:val="References"/>
        <w:rPr>
          <w:color w:val="222222"/>
        </w:rPr>
      </w:pPr>
      <w:proofErr w:type="spellStart"/>
      <w:r w:rsidRPr="003A5C39">
        <w:rPr>
          <w:color w:val="222222"/>
        </w:rPr>
        <w:t>Gelman</w:t>
      </w:r>
      <w:proofErr w:type="spellEnd"/>
      <w:r w:rsidRPr="003A5C39">
        <w:rPr>
          <w:color w:val="222222"/>
        </w:rPr>
        <w:t xml:space="preserve">, Andrew. 2008. “Scaling regression inputs by dividing by two standard deviations.” </w:t>
      </w:r>
      <w:r w:rsidRPr="003A5C39">
        <w:rPr>
          <w:i/>
          <w:color w:val="222222"/>
        </w:rPr>
        <w:t xml:space="preserve">Statistics in Medicine </w:t>
      </w:r>
      <w:r w:rsidRPr="003A5C39">
        <w:rPr>
          <w:color w:val="222222"/>
        </w:rPr>
        <w:t>27(15): 2865-2873.</w:t>
      </w:r>
    </w:p>
    <w:p w14:paraId="6B492736" w14:textId="77777777" w:rsidR="00AB09E9" w:rsidRPr="003A5C39" w:rsidRDefault="00AB09E9" w:rsidP="003A5C39">
      <w:pPr>
        <w:pStyle w:val="References"/>
        <w:rPr>
          <w:color w:val="222222"/>
        </w:rPr>
      </w:pPr>
      <w:proofErr w:type="spellStart"/>
      <w:r w:rsidRPr="003A5C39">
        <w:rPr>
          <w:color w:val="222222"/>
        </w:rPr>
        <w:t>Gelman</w:t>
      </w:r>
      <w:proofErr w:type="spellEnd"/>
      <w:r w:rsidRPr="003A5C39">
        <w:rPr>
          <w:color w:val="222222"/>
        </w:rPr>
        <w:t xml:space="preserve">, Andrew, </w:t>
      </w:r>
      <w:proofErr w:type="spellStart"/>
      <w:r w:rsidRPr="003A5C39">
        <w:rPr>
          <w:color w:val="222222"/>
        </w:rPr>
        <w:t>Aleks</w:t>
      </w:r>
      <w:proofErr w:type="spellEnd"/>
      <w:r w:rsidRPr="003A5C39">
        <w:rPr>
          <w:color w:val="222222"/>
        </w:rPr>
        <w:t xml:space="preserve"> </w:t>
      </w:r>
      <w:proofErr w:type="spellStart"/>
      <w:r w:rsidRPr="003A5C39">
        <w:rPr>
          <w:color w:val="222222"/>
        </w:rPr>
        <w:t>Jakulin</w:t>
      </w:r>
      <w:proofErr w:type="spellEnd"/>
      <w:r w:rsidRPr="003A5C39">
        <w:rPr>
          <w:color w:val="222222"/>
        </w:rPr>
        <w:t xml:space="preserve">, Maria </w:t>
      </w:r>
      <w:proofErr w:type="spellStart"/>
      <w:r w:rsidRPr="003A5C39">
        <w:rPr>
          <w:color w:val="222222"/>
        </w:rPr>
        <w:t>Grazia</w:t>
      </w:r>
      <w:proofErr w:type="spellEnd"/>
      <w:r w:rsidRPr="003A5C39">
        <w:rPr>
          <w:color w:val="222222"/>
        </w:rPr>
        <w:t xml:space="preserve"> </w:t>
      </w:r>
      <w:proofErr w:type="spellStart"/>
      <w:r w:rsidRPr="003A5C39">
        <w:rPr>
          <w:color w:val="222222"/>
        </w:rPr>
        <w:t>Pittau</w:t>
      </w:r>
      <w:proofErr w:type="spellEnd"/>
      <w:r w:rsidRPr="003A5C39">
        <w:rPr>
          <w:color w:val="222222"/>
        </w:rPr>
        <w:t xml:space="preserve">, and Yu-Sung Su. 2008. “A Weakly Informative Default Prior distribution for Logistic and Other Regression Models.” </w:t>
      </w:r>
      <w:r w:rsidRPr="003A5C39">
        <w:rPr>
          <w:i/>
          <w:color w:val="222222"/>
        </w:rPr>
        <w:t>The Annals of Applied Statistics</w:t>
      </w:r>
      <w:r w:rsidRPr="003A5C39">
        <w:rPr>
          <w:color w:val="222222"/>
        </w:rPr>
        <w:t xml:space="preserve"> 2(4): 1360-1383.</w:t>
      </w:r>
    </w:p>
    <w:p w14:paraId="70722DE9" w14:textId="77777777" w:rsidR="00AB09E9" w:rsidRPr="003A5C39" w:rsidRDefault="00AB09E9" w:rsidP="003A5C39">
      <w:pPr>
        <w:pStyle w:val="References"/>
        <w:rPr>
          <w:color w:val="333300"/>
        </w:rPr>
      </w:pPr>
      <w:r w:rsidRPr="003A5C39">
        <w:rPr>
          <w:color w:val="222222"/>
        </w:rPr>
        <w:t xml:space="preserve">Grogan, Colleen and Elizabeth Rigby.  2009.  “Federalism, Partisan Politics, and Shifting Support for State Flexibility: The Case of the U.S. State Children’s Health Insurance Program.”  </w:t>
      </w:r>
      <w:proofErr w:type="spellStart"/>
      <w:r w:rsidRPr="003A5C39">
        <w:rPr>
          <w:i/>
          <w:iCs/>
          <w:color w:val="222222"/>
        </w:rPr>
        <w:t>Publius</w:t>
      </w:r>
      <w:proofErr w:type="spellEnd"/>
      <w:r w:rsidRPr="003A5C39">
        <w:rPr>
          <w:color w:val="222222"/>
        </w:rPr>
        <w:t xml:space="preserve"> </w:t>
      </w:r>
      <w:r w:rsidRPr="003A5C39">
        <w:rPr>
          <w:color w:val="333300"/>
        </w:rPr>
        <w:t>39(1): 47-69.</w:t>
      </w:r>
    </w:p>
    <w:p w14:paraId="6758480A" w14:textId="77777777" w:rsidR="00AB09E9" w:rsidRPr="003A5C39" w:rsidRDefault="00AB09E9" w:rsidP="003A5C39">
      <w:pPr>
        <w:pStyle w:val="References"/>
      </w:pPr>
      <w:proofErr w:type="spellStart"/>
      <w:r w:rsidRPr="003A5C39">
        <w:t>Holahan</w:t>
      </w:r>
      <w:proofErr w:type="spellEnd"/>
      <w:r w:rsidRPr="003A5C39">
        <w:t xml:space="preserve">, J.F. and J.W. Cohen.  1986.  </w:t>
      </w:r>
      <w:r w:rsidRPr="003A5C39">
        <w:rPr>
          <w:i/>
          <w:iCs/>
        </w:rPr>
        <w:t>Medicaid:  The Tradeoff Between Cost Containment and Access to Care</w:t>
      </w:r>
      <w:r w:rsidRPr="003A5C39">
        <w:t>.  Washington:  The Urban Institute.</w:t>
      </w:r>
    </w:p>
    <w:p w14:paraId="40D0A656" w14:textId="77777777" w:rsidR="00AB09E9" w:rsidRDefault="00AB09E9" w:rsidP="003A5C39">
      <w:pPr>
        <w:pStyle w:val="References"/>
      </w:pPr>
      <w:proofErr w:type="gramStart"/>
      <w:r w:rsidRPr="003A5C39">
        <w:t>Hanson, R. L.</w:t>
      </w:r>
      <w:proofErr w:type="gramEnd"/>
      <w:r w:rsidRPr="003A5C39">
        <w:t xml:space="preserve">  2008.  “Intergovernmental Relations.”  </w:t>
      </w:r>
      <w:r w:rsidRPr="003A5C39">
        <w:rPr>
          <w:i/>
          <w:iCs/>
        </w:rPr>
        <w:t>Politics in the American States</w:t>
      </w:r>
      <w:r w:rsidRPr="003A5C39">
        <w:t>, 8</w:t>
      </w:r>
      <w:r w:rsidRPr="003A5C39">
        <w:rPr>
          <w:vertAlign w:val="superscript"/>
        </w:rPr>
        <w:t>th</w:t>
      </w:r>
      <w:r w:rsidRPr="003A5C39">
        <w:t xml:space="preserve"> </w:t>
      </w:r>
      <w:proofErr w:type="gramStart"/>
      <w:r w:rsidRPr="003A5C39">
        <w:t>ed</w:t>
      </w:r>
      <w:proofErr w:type="gramEnd"/>
      <w:r w:rsidRPr="003A5C39">
        <w:t xml:space="preserve">.  V. </w:t>
      </w:r>
      <w:r w:rsidRPr="003A5C39">
        <w:lastRenderedPageBreak/>
        <w:t xml:space="preserve">Gray and R. Hanson, </w:t>
      </w:r>
      <w:proofErr w:type="gramStart"/>
      <w:r w:rsidRPr="003A5C39">
        <w:t>eds</w:t>
      </w:r>
      <w:proofErr w:type="gramEnd"/>
      <w:r w:rsidRPr="003A5C39">
        <w:t>.  Washington, DC:  CQ Press, pp. 30-60.</w:t>
      </w:r>
    </w:p>
    <w:p w14:paraId="0806BEA2" w14:textId="6176766D" w:rsidR="00E90846" w:rsidRPr="00E90846" w:rsidRDefault="00E90846" w:rsidP="003A5C39">
      <w:pPr>
        <w:pStyle w:val="References"/>
      </w:pPr>
      <w:r>
        <w:t xml:space="preserve">Hill, Daniel W., Jr., and Zachary M. Jones. Forthcoming. “An Empirical Evaluation of Explanations for State Repression.” </w:t>
      </w:r>
      <w:proofErr w:type="gramStart"/>
      <w:r>
        <w:rPr>
          <w:i/>
        </w:rPr>
        <w:t>American Political Science Review</w:t>
      </w:r>
      <w:r>
        <w:t>.</w:t>
      </w:r>
      <w:proofErr w:type="gramEnd"/>
    </w:p>
    <w:p w14:paraId="1F8A1101" w14:textId="77777777" w:rsidR="00AB09E9" w:rsidRPr="003A5C39" w:rsidRDefault="00AB09E9" w:rsidP="003A5C39">
      <w:pPr>
        <w:pStyle w:val="References"/>
      </w:pPr>
      <w:proofErr w:type="spellStart"/>
      <w:proofErr w:type="gramStart"/>
      <w:r w:rsidRPr="003A5C39">
        <w:t>Kail</w:t>
      </w:r>
      <w:proofErr w:type="spellEnd"/>
      <w:r w:rsidRPr="003A5C39">
        <w:t xml:space="preserve">, Ben, Jill </w:t>
      </w:r>
      <w:proofErr w:type="spellStart"/>
      <w:r w:rsidRPr="003A5C39">
        <w:t>Quadagno</w:t>
      </w:r>
      <w:proofErr w:type="spellEnd"/>
      <w:r w:rsidRPr="003A5C39">
        <w:t xml:space="preserve"> and Marc Dixon.</w:t>
      </w:r>
      <w:proofErr w:type="gramEnd"/>
      <w:r w:rsidRPr="003A5C39">
        <w:t xml:space="preserve"> “Can States Lead the Way to Universal Coverage? The Effect of Health Care Reform on the Uninsured.” </w:t>
      </w:r>
      <w:proofErr w:type="gramStart"/>
      <w:r w:rsidRPr="003A5C39">
        <w:rPr>
          <w:i/>
          <w:iCs/>
        </w:rPr>
        <w:t>Social Science Quarterly</w:t>
      </w:r>
      <w:r w:rsidRPr="003A5C39">
        <w:t xml:space="preserve"> 90:1-20.</w:t>
      </w:r>
      <w:proofErr w:type="gramEnd"/>
      <w:r w:rsidRPr="003A5C39">
        <w:t xml:space="preserve"> </w:t>
      </w:r>
    </w:p>
    <w:p w14:paraId="0EBB0C16" w14:textId="77777777" w:rsidR="00AB09E9" w:rsidRPr="003A5C39" w:rsidRDefault="00AB09E9" w:rsidP="003A5C39">
      <w:pPr>
        <w:pStyle w:val="References"/>
        <w:rPr>
          <w:color w:val="000000"/>
        </w:rPr>
      </w:pPr>
      <w:proofErr w:type="gramStart"/>
      <w:r w:rsidRPr="003A5C39">
        <w:rPr>
          <w:color w:val="000000"/>
        </w:rPr>
        <w:t>Kaiser Family Foundation.</w:t>
      </w:r>
      <w:proofErr w:type="gramEnd"/>
      <w:r w:rsidRPr="003A5C39">
        <w:rPr>
          <w:color w:val="000000"/>
        </w:rPr>
        <w:t xml:space="preserve"> 2012.  “A Guide to the Supreme Court's Affordable Care Act Decision.”  </w:t>
      </w:r>
      <w:r w:rsidRPr="003A5C39">
        <w:rPr>
          <w:i/>
          <w:iCs/>
          <w:color w:val="000000"/>
        </w:rPr>
        <w:t>Focus on Health Reform</w:t>
      </w:r>
      <w:r w:rsidRPr="003A5C39">
        <w:rPr>
          <w:color w:val="000000"/>
        </w:rPr>
        <w:t xml:space="preserve"> (July 2012).  http://kaiserfamilyfoundation.files.wordpress.com/2013/01/8332.pdf</w:t>
      </w:r>
    </w:p>
    <w:p w14:paraId="38CB6EBA" w14:textId="77777777" w:rsidR="00AB09E9" w:rsidRPr="003A5C39" w:rsidRDefault="00AB09E9" w:rsidP="003A5C39">
      <w:pPr>
        <w:pStyle w:val="References"/>
        <w:rPr>
          <w:color w:val="000000"/>
        </w:rPr>
      </w:pPr>
      <w:r w:rsidRPr="003A5C39">
        <w:rPr>
          <w:color w:val="000000"/>
        </w:rPr>
        <w:t xml:space="preserve">King, Gary, Michael </w:t>
      </w:r>
      <w:proofErr w:type="spellStart"/>
      <w:r w:rsidRPr="003A5C39">
        <w:rPr>
          <w:color w:val="000000"/>
        </w:rPr>
        <w:t>Tomz</w:t>
      </w:r>
      <w:proofErr w:type="spellEnd"/>
      <w:r w:rsidRPr="003A5C39">
        <w:rPr>
          <w:color w:val="000000"/>
        </w:rPr>
        <w:t xml:space="preserve">, and Jason Wittenberg. 2000. “Making the Most of Statistical Analyses: Improving Interpretation and Presentation.” </w:t>
      </w:r>
      <w:proofErr w:type="gramStart"/>
      <w:r w:rsidRPr="003A5C39">
        <w:rPr>
          <w:i/>
          <w:iCs/>
          <w:color w:val="000000"/>
        </w:rPr>
        <w:t>American Journal of Political Science</w:t>
      </w:r>
      <w:r w:rsidRPr="003A5C39">
        <w:rPr>
          <w:color w:val="000000"/>
        </w:rPr>
        <w:t xml:space="preserve"> 44 (2): 341–355.</w:t>
      </w:r>
      <w:proofErr w:type="gramEnd"/>
    </w:p>
    <w:p w14:paraId="6F639B07" w14:textId="77777777" w:rsidR="00AB09E9" w:rsidRPr="003A5C39" w:rsidRDefault="00AB09E9" w:rsidP="003A5C39">
      <w:pPr>
        <w:pStyle w:val="References"/>
      </w:pPr>
      <w:r w:rsidRPr="003A5C39">
        <w:t>Klein, Philip.  2013.  “Medicaid-Expanding GOP Governors Have Egg on their Faces.”  Washington Examiner, May 8, washingtonexaminer.com/philip-klein-medicaid-expanding-governors-have-egg-on-their-faces/article/2529192</w:t>
      </w:r>
    </w:p>
    <w:p w14:paraId="5B3F43FE" w14:textId="77777777" w:rsidR="00AB09E9" w:rsidRPr="003A5C39" w:rsidRDefault="00AB09E9" w:rsidP="003A5C39">
      <w:pPr>
        <w:pStyle w:val="References"/>
      </w:pPr>
      <w:proofErr w:type="spellStart"/>
      <w:r w:rsidRPr="003A5C39">
        <w:t>Kusnetz</w:t>
      </w:r>
      <w:proofErr w:type="spellEnd"/>
      <w:r w:rsidRPr="003A5C39">
        <w:t xml:space="preserve"> N.  2013. "</w:t>
      </w:r>
      <w:hyperlink r:id="rId16" w:anchor="_blank" w:history="1">
        <w:proofErr w:type="spellStart"/>
        <w:r w:rsidRPr="003A5C39">
          <w:rPr>
            <w:rStyle w:val="Hyperlink"/>
          </w:rPr>
          <w:t>Obamacare's</w:t>
        </w:r>
        <w:proofErr w:type="spellEnd"/>
        <w:r w:rsidRPr="003A5C39">
          <w:rPr>
            <w:rStyle w:val="Hyperlink"/>
          </w:rPr>
          <w:t xml:space="preserve"> Hidden Battle: Insurance Agents Push State Regulation of Guides to New Marketplaces</w:t>
        </w:r>
      </w:hyperlink>
      <w:r w:rsidRPr="003A5C39">
        <w:t>." Center for Public Integrity, August 9.</w:t>
      </w:r>
    </w:p>
    <w:p w14:paraId="25204935" w14:textId="77777777" w:rsidR="00AB09E9" w:rsidRPr="003A5C39" w:rsidRDefault="00AB09E9" w:rsidP="003A5C39">
      <w:pPr>
        <w:pStyle w:val="References"/>
        <w:rPr>
          <w:color w:val="222222"/>
        </w:rPr>
      </w:pPr>
      <w:proofErr w:type="spellStart"/>
      <w:r w:rsidRPr="003A5C39">
        <w:rPr>
          <w:color w:val="000000"/>
        </w:rPr>
        <w:t>Lewin</w:t>
      </w:r>
      <w:proofErr w:type="spellEnd"/>
      <w:r w:rsidRPr="003A5C39">
        <w:rPr>
          <w:color w:val="000000"/>
        </w:rPr>
        <w:t xml:space="preserve"> Group.  2013.  </w:t>
      </w:r>
      <w:r w:rsidRPr="003A5C39">
        <w:rPr>
          <w:i/>
          <w:iCs/>
          <w:color w:val="000000"/>
        </w:rPr>
        <w:t xml:space="preserve">Managing the Medicaid Enrollment Bump.  </w:t>
      </w:r>
      <w:r w:rsidRPr="003A5C39">
        <w:rPr>
          <w:color w:val="000000"/>
        </w:rPr>
        <w:t xml:space="preserve"> Washington, DC: </w:t>
      </w:r>
      <w:proofErr w:type="spellStart"/>
      <w:r w:rsidRPr="003A5C39">
        <w:rPr>
          <w:color w:val="000000"/>
        </w:rPr>
        <w:t>Lewin</w:t>
      </w:r>
      <w:proofErr w:type="spellEnd"/>
      <w:r w:rsidRPr="003A5C39">
        <w:rPr>
          <w:color w:val="000000"/>
        </w:rPr>
        <w:t xml:space="preserve">. </w:t>
      </w:r>
      <w:hyperlink r:id="rId17" w:history="1">
        <w:r w:rsidRPr="003A5C39">
          <w:rPr>
            <w:rStyle w:val="Hyperlink"/>
          </w:rPr>
          <w:t>http://www.lewin.com/~/media/Lewin/Site_Sections/Publications/OptumInsight_LewinGroup_Mging_Medicaid_Surge_WP_6-13-11.pdf</w:t>
        </w:r>
      </w:hyperlink>
    </w:p>
    <w:p w14:paraId="62A5393D" w14:textId="77777777" w:rsidR="00AB09E9" w:rsidRPr="003A5C39" w:rsidRDefault="00AB09E9" w:rsidP="003A5C39">
      <w:pPr>
        <w:pStyle w:val="References"/>
      </w:pPr>
      <w:r w:rsidRPr="003A5C39">
        <w:rPr>
          <w:color w:val="222222"/>
        </w:rPr>
        <w:t xml:space="preserve">Lewis, D.C., S.K. Schneider and W. Jacoby.  2013.  “Governors or Legislators: Who Determines the Spending Priorities of State </w:t>
      </w:r>
      <w:r w:rsidRPr="003A5C39">
        <w:t xml:space="preserve">Governments?”  Presented at the </w:t>
      </w:r>
      <w:proofErr w:type="gramStart"/>
      <w:r w:rsidRPr="003A5C39">
        <w:t>13</w:t>
      </w:r>
      <w:r w:rsidRPr="003A5C39">
        <w:rPr>
          <w:vertAlign w:val="superscript"/>
        </w:rPr>
        <w:t xml:space="preserve">th  </w:t>
      </w:r>
      <w:r w:rsidRPr="003A5C39">
        <w:t>State</w:t>
      </w:r>
      <w:proofErr w:type="gramEnd"/>
      <w:r w:rsidRPr="003A5C39">
        <w:t xml:space="preserve"> Politics and Policy Meeting, Iowa City, IA, May.</w:t>
      </w:r>
    </w:p>
    <w:p w14:paraId="7791C1D5" w14:textId="77777777" w:rsidR="00AB09E9" w:rsidRPr="003A5C39" w:rsidRDefault="00AB09E9" w:rsidP="003A5C39">
      <w:pPr>
        <w:pStyle w:val="References"/>
        <w:rPr>
          <w:color w:val="222222"/>
        </w:rPr>
      </w:pPr>
      <w:r w:rsidRPr="003A5C39">
        <w:t xml:space="preserve">Miller, Vic. 2011. “An Overview of Changes in the Federal Medical Assistance Percentages (FMAPs) for Medicaid.” </w:t>
      </w:r>
      <w:proofErr w:type="gramStart"/>
      <w:r w:rsidRPr="003A5C39">
        <w:t>Washington, D.C. Kaiser Family Foundation, Commission on Medicaid and the Uninsured, publication #8210.</w:t>
      </w:r>
      <w:proofErr w:type="gramEnd"/>
      <w:r w:rsidRPr="003A5C39">
        <w:t xml:space="preserve"> </w:t>
      </w:r>
      <w:hyperlink r:id="rId18" w:history="1">
        <w:r w:rsidRPr="003A5C39">
          <w:rPr>
            <w:rStyle w:val="Hyperlink"/>
          </w:rPr>
          <w:t>http://kaiserfamilyfoundation.files.wordpress.com/2013/01/8210.pdf</w:t>
        </w:r>
      </w:hyperlink>
    </w:p>
    <w:p w14:paraId="2DC5FF11" w14:textId="0BB78FE7" w:rsidR="00AB09E9" w:rsidRPr="003A5C39" w:rsidRDefault="00AB09E9" w:rsidP="003A5C39">
      <w:pPr>
        <w:pStyle w:val="References"/>
        <w:rPr>
          <w:color w:val="222222"/>
        </w:rPr>
      </w:pPr>
      <w:r w:rsidRPr="003A5C39">
        <w:rPr>
          <w:color w:val="222222"/>
        </w:rPr>
        <w:t xml:space="preserve">Mooney, Christopher Z., Robert D. Duval, and Robert Duvall. 1993. </w:t>
      </w:r>
      <w:r w:rsidR="002630B9">
        <w:rPr>
          <w:i/>
          <w:color w:val="222222"/>
        </w:rPr>
        <w:t xml:space="preserve">Bootstrapping: A </w:t>
      </w:r>
      <w:r w:rsidRPr="003A5C39">
        <w:rPr>
          <w:i/>
          <w:color w:val="222222"/>
        </w:rPr>
        <w:t>Nonparametric Approach to Statistical Inference</w:t>
      </w:r>
      <w:r w:rsidRPr="003A5C39">
        <w:rPr>
          <w:color w:val="222222"/>
        </w:rPr>
        <w:t>. SAGE Publications, Inc.</w:t>
      </w:r>
    </w:p>
    <w:p w14:paraId="1FD6FE3A" w14:textId="6D3503A2" w:rsidR="00AB09E9" w:rsidRPr="003A5C39" w:rsidRDefault="00AB09E9" w:rsidP="003A5C39">
      <w:pPr>
        <w:pStyle w:val="References"/>
      </w:pPr>
      <w:proofErr w:type="gramStart"/>
      <w:r w:rsidRPr="003A5C39">
        <w:rPr>
          <w:color w:val="222222"/>
        </w:rPr>
        <w:t>National Association of State Budget Officers (NASBO).</w:t>
      </w:r>
      <w:proofErr w:type="gramEnd"/>
      <w:r w:rsidRPr="003A5C39">
        <w:rPr>
          <w:color w:val="222222"/>
        </w:rPr>
        <w:t xml:space="preserve"> 2012.  </w:t>
      </w:r>
      <w:r w:rsidRPr="003A5C39">
        <w:rPr>
          <w:i/>
          <w:iCs/>
          <w:color w:val="222222"/>
        </w:rPr>
        <w:t>State Expenditure Report.</w:t>
      </w:r>
      <w:r w:rsidR="002630B9">
        <w:rPr>
          <w:color w:val="222222"/>
        </w:rPr>
        <w:t xml:space="preserve">  </w:t>
      </w:r>
      <w:r w:rsidRPr="003A5C39">
        <w:rPr>
          <w:color w:val="222222"/>
        </w:rPr>
        <w:t xml:space="preserve">Washington, DC:  NASBO.  Online at </w:t>
      </w:r>
      <w:r w:rsidRPr="003A5C39">
        <w:rPr>
          <w:rStyle w:val="Hyperlink"/>
        </w:rPr>
        <w:t>http://www.nasbo.org/sites/default/files/State</w:t>
      </w:r>
      <w:hyperlink r:id="rId19" w:history="1">
        <w:r w:rsidRPr="003A5C39">
          <w:rPr>
            <w:rStyle w:val="Hyperlink"/>
          </w:rPr>
          <w:tab/>
          <w:t>%20Expenditure%20Report_1.pdf</w:t>
        </w:r>
      </w:hyperlink>
    </w:p>
    <w:p w14:paraId="15E3C2C0" w14:textId="77777777" w:rsidR="00AB09E9" w:rsidRPr="003A5C39" w:rsidRDefault="00AB09E9" w:rsidP="003A5C39">
      <w:pPr>
        <w:pStyle w:val="References"/>
      </w:pPr>
      <w:proofErr w:type="gramStart"/>
      <w:r w:rsidRPr="003A5C39">
        <w:t>Nicholson-</w:t>
      </w:r>
      <w:proofErr w:type="spellStart"/>
      <w:r w:rsidRPr="003A5C39">
        <w:t>Crotty</w:t>
      </w:r>
      <w:proofErr w:type="spellEnd"/>
      <w:r w:rsidRPr="003A5C39">
        <w:t>, Sean.</w:t>
      </w:r>
      <w:proofErr w:type="gramEnd"/>
      <w:r w:rsidRPr="003A5C39">
        <w:t xml:space="preserve">  2012.  “Leaving Money on the Table:  Learning form Recent Refusals of Federal Grants in the American States.”  </w:t>
      </w:r>
      <w:proofErr w:type="spellStart"/>
      <w:proofErr w:type="gramStart"/>
      <w:r w:rsidRPr="003A5C39">
        <w:rPr>
          <w:i/>
          <w:iCs/>
        </w:rPr>
        <w:t>Publius</w:t>
      </w:r>
      <w:proofErr w:type="spellEnd"/>
      <w:r w:rsidRPr="003A5C39">
        <w:t xml:space="preserve"> 42:  449-60.</w:t>
      </w:r>
      <w:proofErr w:type="gramEnd"/>
    </w:p>
    <w:p w14:paraId="5DB304C2" w14:textId="77777777" w:rsidR="00AB09E9" w:rsidRPr="003A5C39" w:rsidRDefault="00AB09E9" w:rsidP="003A5C39">
      <w:pPr>
        <w:pStyle w:val="References"/>
      </w:pPr>
      <w:proofErr w:type="gramStart"/>
      <w:r w:rsidRPr="003A5C39">
        <w:lastRenderedPageBreak/>
        <w:t>Pear, Robert and J. David Goodman.</w:t>
      </w:r>
      <w:proofErr w:type="gramEnd"/>
      <w:r w:rsidRPr="003A5C39">
        <w:t xml:space="preserve">  2009.  “Governors' Fight Over Stimulus May Define G.O.P.”  </w:t>
      </w:r>
      <w:r w:rsidRPr="003A5C39">
        <w:rPr>
          <w:i/>
          <w:iCs/>
        </w:rPr>
        <w:t>New York Times</w:t>
      </w:r>
      <w:r w:rsidRPr="003A5C39">
        <w:t xml:space="preserve">, February 22, 2009, </w:t>
      </w:r>
      <w:hyperlink r:id="rId20" w:history="1">
        <w:r w:rsidRPr="003A5C39">
          <w:rPr>
            <w:rStyle w:val="Hyperlink"/>
          </w:rPr>
          <w:t>www.nytimes.com/2009/02/23/us/politics/23governors.html?pagewanted=all&amp;_r=0</w:t>
        </w:r>
      </w:hyperlink>
      <w:proofErr w:type="gramStart"/>
      <w:r w:rsidRPr="003A5C39">
        <w:t xml:space="preserve"> .</w:t>
      </w:r>
      <w:proofErr w:type="gramEnd"/>
    </w:p>
    <w:p w14:paraId="37CA6B7B" w14:textId="77777777" w:rsidR="00AB09E9" w:rsidRDefault="00AB09E9" w:rsidP="003A5C39">
      <w:pPr>
        <w:pStyle w:val="References"/>
        <w:rPr>
          <w:color w:val="222222"/>
        </w:rPr>
      </w:pPr>
      <w:r w:rsidRPr="003A5C39">
        <w:rPr>
          <w:color w:val="222222"/>
        </w:rPr>
        <w:t xml:space="preserve">Rainey, Carlisle. Forthcoming. “Arguing for a Negligible Effect.”  </w:t>
      </w:r>
      <w:proofErr w:type="gramStart"/>
      <w:r w:rsidRPr="003A5C39">
        <w:rPr>
          <w:i/>
          <w:color w:val="222222"/>
        </w:rPr>
        <w:t>American Journal of Political Science</w:t>
      </w:r>
      <w:r w:rsidRPr="003A5C39">
        <w:rPr>
          <w:color w:val="222222"/>
        </w:rPr>
        <w:t>.</w:t>
      </w:r>
      <w:proofErr w:type="gramEnd"/>
      <w:r w:rsidRPr="003A5C39">
        <w:rPr>
          <w:color w:val="222222"/>
        </w:rPr>
        <w:t xml:space="preserve"> </w:t>
      </w:r>
      <w:proofErr w:type="gramStart"/>
      <w:r w:rsidRPr="003A5C39">
        <w:rPr>
          <w:color w:val="222222"/>
        </w:rPr>
        <w:t xml:space="preserve">Available at </w:t>
      </w:r>
      <w:hyperlink r:id="rId21" w:history="1">
        <w:r w:rsidRPr="003A5C39">
          <w:rPr>
            <w:rStyle w:val="Hyperlink"/>
          </w:rPr>
          <w:t>http://crain.co/nme</w:t>
        </w:r>
      </w:hyperlink>
      <w:r w:rsidRPr="003A5C39">
        <w:rPr>
          <w:color w:val="222222"/>
        </w:rPr>
        <w:t>.</w:t>
      </w:r>
      <w:proofErr w:type="gramEnd"/>
    </w:p>
    <w:p w14:paraId="502FAF29" w14:textId="5052CBF4" w:rsidR="00421784" w:rsidRPr="003A5C39" w:rsidRDefault="00421784" w:rsidP="003A5C39">
      <w:pPr>
        <w:pStyle w:val="References"/>
        <w:rPr>
          <w:color w:val="222222"/>
        </w:rPr>
      </w:pPr>
      <w:r>
        <w:rPr>
          <w:color w:val="222222"/>
        </w:rPr>
        <w:t>Rainey, Carlisle. 2014. “Compression and Conditional Effects</w:t>
      </w:r>
      <w:r w:rsidR="005B71EA">
        <w:rPr>
          <w:color w:val="222222"/>
        </w:rPr>
        <w:t xml:space="preserve">.” Working Paper. </w:t>
      </w:r>
      <w:proofErr w:type="gramStart"/>
      <w:r w:rsidR="005B71EA">
        <w:rPr>
          <w:color w:val="222222"/>
        </w:rPr>
        <w:t xml:space="preserve">Available at </w:t>
      </w:r>
      <w:hyperlink r:id="rId22" w:history="1">
        <w:r w:rsidR="005B71EA" w:rsidRPr="005B71EA">
          <w:rPr>
            <w:rStyle w:val="Hyperlink"/>
          </w:rPr>
          <w:t>http://crain.co/compress</w:t>
        </w:r>
      </w:hyperlink>
      <w:r w:rsidR="005B71EA">
        <w:rPr>
          <w:color w:val="222222"/>
        </w:rPr>
        <w:t>.</w:t>
      </w:r>
      <w:proofErr w:type="gramEnd"/>
    </w:p>
    <w:p w14:paraId="6B8A21D3" w14:textId="77777777" w:rsidR="00AB09E9" w:rsidRPr="003A5C39" w:rsidRDefault="00AB09E9" w:rsidP="003A5C39">
      <w:pPr>
        <w:pStyle w:val="References"/>
      </w:pPr>
      <w:r w:rsidRPr="003A5C39">
        <w:t xml:space="preserve">Rigby, Elizabeth.  </w:t>
      </w:r>
      <w:proofErr w:type="gramStart"/>
      <w:r w:rsidRPr="003A5C39">
        <w:t>2012.  “State Resistance to '</w:t>
      </w:r>
      <w:proofErr w:type="spellStart"/>
      <w:r w:rsidRPr="003A5C39">
        <w:t>Obamacare</w:t>
      </w:r>
      <w:proofErr w:type="spellEnd"/>
      <w:r w:rsidRPr="003A5C39">
        <w:t>'”.</w:t>
      </w:r>
      <w:proofErr w:type="gramEnd"/>
      <w:r w:rsidRPr="003A5C39">
        <w:t xml:space="preserve">  </w:t>
      </w:r>
      <w:r w:rsidRPr="003A5C39">
        <w:rPr>
          <w:i/>
          <w:iCs/>
        </w:rPr>
        <w:t>The Forum</w:t>
      </w:r>
      <w:r w:rsidRPr="003A5C39">
        <w:t xml:space="preserve"> 10: 2, (Online) 1540-8884, DOI: </w:t>
      </w:r>
      <w:hyperlink r:id="rId23" w:history="1">
        <w:r w:rsidRPr="003A5C39">
          <w:rPr>
            <w:rStyle w:val="Hyperlink"/>
          </w:rPr>
          <w:t>10.1515/1540-8884.1501</w:t>
        </w:r>
      </w:hyperlink>
      <w:r w:rsidRPr="003A5C39">
        <w:t>.</w:t>
      </w:r>
    </w:p>
    <w:p w14:paraId="2D409B2F" w14:textId="77777777" w:rsidR="00AB09E9" w:rsidRPr="003A5C39" w:rsidRDefault="00AB09E9" w:rsidP="003A5C39">
      <w:pPr>
        <w:pStyle w:val="References"/>
        <w:rPr>
          <w:color w:val="403838"/>
        </w:rPr>
      </w:pPr>
      <w:r w:rsidRPr="003A5C39">
        <w:t>Rosenbaum, Sara and Timothy M. Westmoreland.  2012.  “</w:t>
      </w:r>
      <w:r w:rsidRPr="003A5C39">
        <w:rPr>
          <w:color w:val="403838"/>
        </w:rPr>
        <w:t xml:space="preserve">The Supreme Court’s Surprising Decision On The Medicaid Expansion: How Will The Federal Government And States Proceed?”  </w:t>
      </w:r>
      <w:r w:rsidRPr="003A5C39">
        <w:rPr>
          <w:i/>
          <w:color w:val="403838"/>
        </w:rPr>
        <w:t>Health Affairs</w:t>
      </w:r>
      <w:r w:rsidRPr="003A5C39">
        <w:rPr>
          <w:color w:val="403838"/>
        </w:rPr>
        <w:t xml:space="preserve"> 31(8): 1663-1672.</w:t>
      </w:r>
    </w:p>
    <w:p w14:paraId="228E138C" w14:textId="77777777" w:rsidR="00AB09E9" w:rsidRPr="003A5C39" w:rsidRDefault="00AB09E9" w:rsidP="003A5C39">
      <w:pPr>
        <w:pStyle w:val="References"/>
      </w:pPr>
      <w:r w:rsidRPr="003A5C39">
        <w:t xml:space="preserve">Singer, </w:t>
      </w:r>
      <w:proofErr w:type="spellStart"/>
      <w:r w:rsidRPr="003A5C39">
        <w:t>Alyne</w:t>
      </w:r>
      <w:proofErr w:type="spellEnd"/>
      <w:r w:rsidRPr="003A5C39">
        <w:t xml:space="preserve">. 2013. “Ten Myths about the </w:t>
      </w:r>
      <w:proofErr w:type="spellStart"/>
      <w:r w:rsidRPr="003A5C39">
        <w:t>Obamacare</w:t>
      </w:r>
      <w:proofErr w:type="spellEnd"/>
      <w:r w:rsidRPr="003A5C39">
        <w:t xml:space="preserve"> Medicaid Expansion.” </w:t>
      </w:r>
      <w:proofErr w:type="gramStart"/>
      <w:r w:rsidRPr="003A5C39">
        <w:t xml:space="preserve">Heritage Foundation Foundry blog, </w:t>
      </w:r>
      <w:hyperlink r:id="rId24" w:history="1">
        <w:r w:rsidRPr="003A5C39">
          <w:rPr>
            <w:rStyle w:val="Hyperlink"/>
          </w:rPr>
          <w:t>http://blog.heritage.org/2013/04/24/10-myths-about-the-obamacare-medicaid-expansion/</w:t>
        </w:r>
      </w:hyperlink>
      <w:r w:rsidRPr="003A5C39">
        <w:t>.</w:t>
      </w:r>
      <w:proofErr w:type="gramEnd"/>
      <w:r w:rsidRPr="003A5C39">
        <w:t xml:space="preserve"> </w:t>
      </w:r>
    </w:p>
    <w:p w14:paraId="3F90A18C" w14:textId="73B67267" w:rsidR="00AB09E9" w:rsidRDefault="00AB09E9" w:rsidP="003A5C39">
      <w:pPr>
        <w:pStyle w:val="References"/>
        <w:rPr>
          <w:color w:val="222222"/>
        </w:rPr>
      </w:pPr>
      <w:proofErr w:type="spellStart"/>
      <w:proofErr w:type="gramStart"/>
      <w:r w:rsidRPr="003A5C39">
        <w:rPr>
          <w:color w:val="222222"/>
        </w:rPr>
        <w:t>Soss</w:t>
      </w:r>
      <w:proofErr w:type="spellEnd"/>
      <w:r w:rsidRPr="003A5C39">
        <w:rPr>
          <w:color w:val="222222"/>
        </w:rPr>
        <w:t xml:space="preserve">, J., S. </w:t>
      </w:r>
      <w:proofErr w:type="spellStart"/>
      <w:r w:rsidRPr="003A5C39">
        <w:rPr>
          <w:color w:val="222222"/>
        </w:rPr>
        <w:t>Schram</w:t>
      </w:r>
      <w:proofErr w:type="spellEnd"/>
      <w:r w:rsidRPr="003A5C39">
        <w:rPr>
          <w:color w:val="222222"/>
        </w:rPr>
        <w:t xml:space="preserve">, T. </w:t>
      </w:r>
      <w:proofErr w:type="spellStart"/>
      <w:r w:rsidRPr="003A5C39">
        <w:rPr>
          <w:color w:val="222222"/>
        </w:rPr>
        <w:t>Vartanian</w:t>
      </w:r>
      <w:proofErr w:type="spellEnd"/>
      <w:r w:rsidRPr="003A5C39">
        <w:rPr>
          <w:color w:val="222222"/>
        </w:rPr>
        <w:t xml:space="preserve"> and E. O'Brien.</w:t>
      </w:r>
      <w:proofErr w:type="gramEnd"/>
      <w:r w:rsidRPr="003A5C39">
        <w:rPr>
          <w:color w:val="222222"/>
        </w:rPr>
        <w:t xml:space="preserve">  2001.  “Setting the Terms of Relief:  Explaining State Policy Choices in the Devolution.”  </w:t>
      </w:r>
      <w:r w:rsidRPr="003A5C39">
        <w:rPr>
          <w:i/>
          <w:color w:val="222222"/>
        </w:rPr>
        <w:t xml:space="preserve">American Journal of Political Science </w:t>
      </w:r>
      <w:r w:rsidRPr="003A5C39">
        <w:rPr>
          <w:color w:val="222222"/>
        </w:rPr>
        <w:t xml:space="preserve">45(2): 378-95. </w:t>
      </w:r>
    </w:p>
    <w:p w14:paraId="1D21BCE4" w14:textId="75903158" w:rsidR="00E90846" w:rsidRPr="00E90846" w:rsidRDefault="00E90846" w:rsidP="003A5C39">
      <w:pPr>
        <w:pStyle w:val="References"/>
        <w:rPr>
          <w:color w:val="222222"/>
        </w:rPr>
      </w:pPr>
      <w:proofErr w:type="spellStart"/>
      <w:r>
        <w:rPr>
          <w:color w:val="222222"/>
        </w:rPr>
        <w:t>Strobl</w:t>
      </w:r>
      <w:proofErr w:type="spellEnd"/>
      <w:r>
        <w:rPr>
          <w:color w:val="222222"/>
        </w:rPr>
        <w:t xml:space="preserve">, </w:t>
      </w:r>
      <w:proofErr w:type="spellStart"/>
      <w:r>
        <w:rPr>
          <w:color w:val="222222"/>
        </w:rPr>
        <w:t>Carolin</w:t>
      </w:r>
      <w:proofErr w:type="spellEnd"/>
      <w:r>
        <w:rPr>
          <w:color w:val="222222"/>
        </w:rPr>
        <w:t xml:space="preserve">, Anne-Laure </w:t>
      </w:r>
      <w:proofErr w:type="spellStart"/>
      <w:r>
        <w:rPr>
          <w:color w:val="222222"/>
        </w:rPr>
        <w:t>Boulesteix</w:t>
      </w:r>
      <w:proofErr w:type="spellEnd"/>
      <w:r>
        <w:rPr>
          <w:color w:val="222222"/>
        </w:rPr>
        <w:t xml:space="preserve">, </w:t>
      </w:r>
      <w:proofErr w:type="spellStart"/>
      <w:r>
        <w:rPr>
          <w:color w:val="222222"/>
        </w:rPr>
        <w:t>Achim</w:t>
      </w:r>
      <w:proofErr w:type="spellEnd"/>
      <w:r>
        <w:rPr>
          <w:color w:val="222222"/>
        </w:rPr>
        <w:t xml:space="preserve"> </w:t>
      </w:r>
      <w:proofErr w:type="spellStart"/>
      <w:r>
        <w:rPr>
          <w:color w:val="222222"/>
        </w:rPr>
        <w:t>Zeileis</w:t>
      </w:r>
      <w:proofErr w:type="spellEnd"/>
      <w:r>
        <w:rPr>
          <w:color w:val="222222"/>
        </w:rPr>
        <w:t xml:space="preserve">, and </w:t>
      </w:r>
      <w:proofErr w:type="spellStart"/>
      <w:r>
        <w:rPr>
          <w:color w:val="222222"/>
        </w:rPr>
        <w:t>Torsten</w:t>
      </w:r>
      <w:proofErr w:type="spellEnd"/>
      <w:r>
        <w:rPr>
          <w:color w:val="222222"/>
        </w:rPr>
        <w:t xml:space="preserve"> </w:t>
      </w:r>
      <w:proofErr w:type="spellStart"/>
      <w:r>
        <w:rPr>
          <w:color w:val="222222"/>
        </w:rPr>
        <w:t>Hothorn</w:t>
      </w:r>
      <w:proofErr w:type="spellEnd"/>
      <w:r>
        <w:rPr>
          <w:color w:val="222222"/>
        </w:rPr>
        <w:t xml:space="preserve">. 2007 “Bias in Random Forest Variable Importance Measures. Illustrations, Sources, and a Solution.” </w:t>
      </w:r>
      <w:r>
        <w:rPr>
          <w:i/>
          <w:color w:val="222222"/>
        </w:rPr>
        <w:t>BMC Bioinformatics</w:t>
      </w:r>
      <w:r>
        <w:rPr>
          <w:color w:val="222222"/>
        </w:rPr>
        <w:t xml:space="preserve"> 8(1)</w:t>
      </w:r>
      <w:proofErr w:type="gramStart"/>
      <w:r>
        <w:rPr>
          <w:color w:val="222222"/>
        </w:rPr>
        <w:t>:25</w:t>
      </w:r>
      <w:proofErr w:type="gramEnd"/>
      <w:r>
        <w:rPr>
          <w:color w:val="222222"/>
        </w:rPr>
        <w:t>.</w:t>
      </w:r>
    </w:p>
    <w:p w14:paraId="2A9260D6" w14:textId="77777777" w:rsidR="00AB09E9" w:rsidRPr="003A5C39" w:rsidRDefault="00AB09E9" w:rsidP="003A5C39">
      <w:pPr>
        <w:pStyle w:val="References"/>
        <w:rPr>
          <w:i/>
          <w:iCs/>
          <w:color w:val="222222"/>
        </w:rPr>
      </w:pPr>
      <w:proofErr w:type="spellStart"/>
      <w:r w:rsidRPr="003A5C39">
        <w:rPr>
          <w:color w:val="222222"/>
        </w:rPr>
        <w:t>Stuber</w:t>
      </w:r>
      <w:proofErr w:type="spellEnd"/>
      <w:r w:rsidRPr="003A5C39">
        <w:rPr>
          <w:color w:val="222222"/>
        </w:rPr>
        <w:t xml:space="preserve">, Jennifer and Elizabeth Bradley. 2005.  “Barriers to Medicaid Enrollment:  Who is at Risk?”  </w:t>
      </w:r>
      <w:proofErr w:type="gramStart"/>
      <w:r w:rsidRPr="003A5C39">
        <w:rPr>
          <w:i/>
          <w:iCs/>
          <w:color w:val="222222"/>
        </w:rPr>
        <w:t xml:space="preserve">American Journal of Public Health </w:t>
      </w:r>
      <w:r w:rsidRPr="003A5C39">
        <w:rPr>
          <w:color w:val="222222"/>
        </w:rPr>
        <w:t>95(2): 292–298</w:t>
      </w:r>
      <w:r w:rsidRPr="003A5C39">
        <w:rPr>
          <w:i/>
          <w:iCs/>
          <w:color w:val="222222"/>
        </w:rPr>
        <w:t>.</w:t>
      </w:r>
      <w:proofErr w:type="gramEnd"/>
    </w:p>
    <w:p w14:paraId="4C99B793" w14:textId="77777777" w:rsidR="00AB09E9" w:rsidRPr="003A5C39" w:rsidRDefault="00AB09E9" w:rsidP="003A5C39">
      <w:pPr>
        <w:pStyle w:val="References"/>
      </w:pPr>
      <w:proofErr w:type="spellStart"/>
      <w:r w:rsidRPr="003A5C39">
        <w:t>Tausanovitch</w:t>
      </w:r>
      <w:proofErr w:type="spellEnd"/>
      <w:r w:rsidRPr="003A5C39">
        <w:t xml:space="preserve">, Chris and Christopher </w:t>
      </w:r>
      <w:proofErr w:type="spellStart"/>
      <w:r w:rsidRPr="003A5C39">
        <w:t>Warshaw</w:t>
      </w:r>
      <w:proofErr w:type="spellEnd"/>
      <w:r w:rsidRPr="003A5C39">
        <w:t xml:space="preserve">.  2013.  “Measuring Constituent Preferences in Congress, State Legislatures, and Cities.”  </w:t>
      </w:r>
      <w:r w:rsidRPr="003A5C39">
        <w:rPr>
          <w:i/>
          <w:iCs/>
        </w:rPr>
        <w:t>Journal of Politics</w:t>
      </w:r>
      <w:r w:rsidRPr="003A5C39">
        <w:t xml:space="preserve"> 75 (2): 330-42.  </w:t>
      </w:r>
    </w:p>
    <w:p w14:paraId="40246755" w14:textId="77777777" w:rsidR="00AB09E9" w:rsidRPr="003A5C39" w:rsidRDefault="00AB09E9" w:rsidP="003A5C39">
      <w:pPr>
        <w:pStyle w:val="References"/>
      </w:pPr>
      <w:r w:rsidRPr="003A5C39">
        <w:t xml:space="preserve">Thompson, Frank. 2012.  </w:t>
      </w:r>
      <w:r w:rsidRPr="003A5C39">
        <w:rPr>
          <w:i/>
        </w:rPr>
        <w:t>Medicaid Politics:  Federalism, Policy Durability and Health Reform</w:t>
      </w:r>
      <w:r w:rsidRPr="003A5C39">
        <w:t>.  Washington:  Georgetown.</w:t>
      </w:r>
    </w:p>
    <w:p w14:paraId="4F9CF50E" w14:textId="77777777" w:rsidR="00AB09E9" w:rsidRDefault="00AB09E9" w:rsidP="003A5C39">
      <w:pPr>
        <w:pStyle w:val="References"/>
        <w:rPr>
          <w:i/>
          <w:iCs/>
          <w:color w:val="222222"/>
        </w:rPr>
      </w:pPr>
      <w:r w:rsidRPr="003A5C39">
        <w:t>Tax Foundation. 2012. “Monday Map:  Federal Aid to State Budgets.” Taxfoundation.org/blog/</w:t>
      </w:r>
      <w:proofErr w:type="spellStart"/>
      <w:r w:rsidRPr="003A5C39">
        <w:t>monday</w:t>
      </w:r>
      <w:proofErr w:type="spellEnd"/>
      <w:r w:rsidRPr="003A5C39">
        <w:t>-map-federal-aid-state-</w:t>
      </w:r>
      <w:proofErr w:type="gramStart"/>
      <w:r w:rsidRPr="003A5C39">
        <w:t>budgets .</w:t>
      </w:r>
      <w:proofErr w:type="gramEnd"/>
      <w:r w:rsidRPr="003A5C39">
        <w:t xml:space="preserve">  </w:t>
      </w:r>
      <w:r w:rsidRPr="003A5C39">
        <w:rPr>
          <w:i/>
          <w:iCs/>
          <w:color w:val="222222"/>
        </w:rPr>
        <w:t xml:space="preserve"> </w:t>
      </w:r>
    </w:p>
    <w:p w14:paraId="7A2791E7" w14:textId="7205FE21" w:rsidR="00063092" w:rsidRPr="003A5C39" w:rsidRDefault="00063092" w:rsidP="002630B9">
      <w:pPr>
        <w:pStyle w:val="References"/>
        <w:rPr>
          <w:i/>
          <w:iCs/>
          <w:color w:val="222222"/>
        </w:rPr>
      </w:pPr>
      <w:proofErr w:type="spellStart"/>
      <w:r w:rsidRPr="00063092">
        <w:rPr>
          <w:iCs/>
          <w:color w:val="222222"/>
        </w:rPr>
        <w:t>Tausanovitch</w:t>
      </w:r>
      <w:proofErr w:type="spellEnd"/>
      <w:r w:rsidRPr="00063092">
        <w:rPr>
          <w:iCs/>
          <w:color w:val="222222"/>
        </w:rPr>
        <w:t xml:space="preserve">, Chris and Christopher </w:t>
      </w:r>
      <w:proofErr w:type="spellStart"/>
      <w:r w:rsidRPr="00063092">
        <w:rPr>
          <w:iCs/>
          <w:color w:val="222222"/>
        </w:rPr>
        <w:t>Warshaw</w:t>
      </w:r>
      <w:proofErr w:type="spellEnd"/>
      <w:r w:rsidRPr="00063092">
        <w:rPr>
          <w:iCs/>
          <w:color w:val="222222"/>
        </w:rPr>
        <w:t xml:space="preserve">. 2013. “Measuring Constituent Preferences in Congress, State Legislatures, and Cities.” </w:t>
      </w:r>
      <w:r w:rsidRPr="00063092">
        <w:rPr>
          <w:i/>
          <w:iCs/>
          <w:color w:val="222222"/>
        </w:rPr>
        <w:t>Journal of Politics</w:t>
      </w:r>
      <w:r w:rsidRPr="00063092">
        <w:rPr>
          <w:iCs/>
          <w:color w:val="222222"/>
        </w:rPr>
        <w:t xml:space="preserve"> 75 (2): 330-42. </w:t>
      </w:r>
    </w:p>
    <w:p w14:paraId="5371F75F" w14:textId="77777777" w:rsidR="00AB09E9" w:rsidRPr="003A5C39" w:rsidRDefault="00AB09E9" w:rsidP="003A5C39">
      <w:pPr>
        <w:pStyle w:val="References"/>
        <w:rPr>
          <w:color w:val="222222"/>
        </w:rPr>
      </w:pPr>
      <w:r w:rsidRPr="003A5C39">
        <w:t xml:space="preserve">Todd, Susan R. and Benjamin D. </w:t>
      </w:r>
      <w:proofErr w:type="spellStart"/>
      <w:r w:rsidRPr="003A5C39">
        <w:t>Sommers</w:t>
      </w:r>
      <w:proofErr w:type="spellEnd"/>
      <w:r w:rsidRPr="003A5C39">
        <w:t xml:space="preserve">.  2012.  “Overview of the Uninsured in the United States: A Summary of the 2012 Current Population Survey Report.”  U.S. Department of </w:t>
      </w:r>
      <w:r w:rsidRPr="003A5C39">
        <w:lastRenderedPageBreak/>
        <w:t xml:space="preserve">Health and Human Services, Assistant Secretary for Planning and Evaluation, September 12.  </w:t>
      </w:r>
      <w:hyperlink r:id="rId25" w:history="1">
        <w:r w:rsidRPr="003A5C39">
          <w:rPr>
            <w:rStyle w:val="Hyperlink"/>
          </w:rPr>
          <w:t>http://aspe.hhs.gov/health/reports/2012/UninsuredInTheUS/ib.shtml</w:t>
        </w:r>
      </w:hyperlink>
    </w:p>
    <w:p w14:paraId="562BD6D2" w14:textId="77777777" w:rsidR="00AB09E9" w:rsidRPr="003A5C39" w:rsidRDefault="00AB09E9" w:rsidP="003A5C39">
      <w:pPr>
        <w:pStyle w:val="References"/>
        <w:rPr>
          <w:color w:val="222222"/>
        </w:rPr>
      </w:pPr>
      <w:proofErr w:type="gramStart"/>
      <w:r w:rsidRPr="003A5C39">
        <w:rPr>
          <w:color w:val="222222"/>
        </w:rPr>
        <w:t>Train, Kenneth.</w:t>
      </w:r>
      <w:proofErr w:type="gramEnd"/>
      <w:r w:rsidRPr="003A5C39">
        <w:rPr>
          <w:color w:val="222222"/>
        </w:rPr>
        <w:t xml:space="preserve"> 2009. </w:t>
      </w:r>
      <w:r w:rsidRPr="003A5C39">
        <w:rPr>
          <w:i/>
          <w:color w:val="222222"/>
        </w:rPr>
        <w:t>Discrete Choice Methods with Simulation, Second Edition</w:t>
      </w:r>
      <w:r w:rsidRPr="003A5C39">
        <w:rPr>
          <w:color w:val="222222"/>
        </w:rPr>
        <w:t xml:space="preserve">. </w:t>
      </w:r>
      <w:proofErr w:type="gramStart"/>
      <w:r w:rsidRPr="003A5C39">
        <w:rPr>
          <w:color w:val="222222"/>
        </w:rPr>
        <w:t>Cambridge University Press.</w:t>
      </w:r>
      <w:proofErr w:type="gramEnd"/>
    </w:p>
    <w:p w14:paraId="6ADD11ED" w14:textId="77777777" w:rsidR="00AB09E9" w:rsidRPr="003A5C39" w:rsidRDefault="00AB09E9" w:rsidP="003A5C39">
      <w:pPr>
        <w:pStyle w:val="References"/>
        <w:rPr>
          <w:color w:val="222222"/>
        </w:rPr>
      </w:pPr>
      <w:proofErr w:type="spellStart"/>
      <w:r w:rsidRPr="003A5C39">
        <w:rPr>
          <w:color w:val="222222"/>
        </w:rPr>
        <w:t>Weissert</w:t>
      </w:r>
      <w:proofErr w:type="spellEnd"/>
      <w:r w:rsidRPr="003A5C39">
        <w:rPr>
          <w:color w:val="222222"/>
        </w:rPr>
        <w:t xml:space="preserve">, Carol.  1992.  "Medicaid in the 1990s: Trends, Innovations and the Future of the 'PAC Man' of State Budgets." </w:t>
      </w:r>
      <w:proofErr w:type="spellStart"/>
      <w:r w:rsidRPr="003A5C39">
        <w:rPr>
          <w:i/>
          <w:iCs/>
          <w:color w:val="222222"/>
        </w:rPr>
        <w:t>Publius</w:t>
      </w:r>
      <w:proofErr w:type="spellEnd"/>
      <w:r w:rsidRPr="003A5C39">
        <w:rPr>
          <w:color w:val="222222"/>
        </w:rPr>
        <w:t xml:space="preserve"> 22 (3)</w:t>
      </w:r>
      <w:proofErr w:type="gramStart"/>
      <w:r w:rsidRPr="003A5C39">
        <w:rPr>
          <w:color w:val="222222"/>
        </w:rPr>
        <w:t>:93</w:t>
      </w:r>
      <w:proofErr w:type="gramEnd"/>
      <w:r w:rsidRPr="003A5C39">
        <w:rPr>
          <w:color w:val="222222"/>
        </w:rPr>
        <w:t>-109.</w:t>
      </w:r>
    </w:p>
    <w:p w14:paraId="3E05908F" w14:textId="77777777" w:rsidR="00AB09E9" w:rsidRPr="003A5C39" w:rsidRDefault="00AB09E9" w:rsidP="003A5C39">
      <w:pPr>
        <w:pStyle w:val="References"/>
        <w:rPr>
          <w:color w:val="222222"/>
        </w:rPr>
      </w:pPr>
      <w:proofErr w:type="spellStart"/>
      <w:r w:rsidRPr="003A5C39">
        <w:rPr>
          <w:color w:val="222222"/>
        </w:rPr>
        <w:t>Weissert</w:t>
      </w:r>
      <w:proofErr w:type="spellEnd"/>
      <w:r w:rsidRPr="003A5C39">
        <w:rPr>
          <w:color w:val="222222"/>
        </w:rPr>
        <w:t xml:space="preserve">, Carol and Daniel </w:t>
      </w:r>
      <w:proofErr w:type="spellStart"/>
      <w:r w:rsidRPr="003A5C39">
        <w:rPr>
          <w:color w:val="222222"/>
        </w:rPr>
        <w:t>Scheller</w:t>
      </w:r>
      <w:proofErr w:type="spellEnd"/>
      <w:r w:rsidRPr="003A5C39">
        <w:rPr>
          <w:color w:val="222222"/>
        </w:rPr>
        <w:t xml:space="preserve">.  2008.  “Learning from the States? Federalism and National Health Policy.” </w:t>
      </w:r>
      <w:r w:rsidRPr="003A5C39">
        <w:rPr>
          <w:i/>
          <w:iCs/>
          <w:color w:val="222222"/>
        </w:rPr>
        <w:t>Public Administration Review,</w:t>
      </w:r>
      <w:r w:rsidRPr="003A5C39">
        <w:rPr>
          <w:color w:val="222222"/>
        </w:rPr>
        <w:t xml:space="preserve"> supplement to Vol. 68: S162-174.</w:t>
      </w:r>
    </w:p>
    <w:p w14:paraId="3CB29ECD" w14:textId="77777777" w:rsidR="00127ADD" w:rsidRPr="00447FDB" w:rsidRDefault="00127ADD" w:rsidP="003A5C39">
      <w:pPr>
        <w:pStyle w:val="References"/>
        <w:rPr>
          <w:color w:val="222222"/>
        </w:rPr>
      </w:pPr>
      <w:proofErr w:type="gramStart"/>
      <w:r>
        <w:rPr>
          <w:color w:val="222222"/>
        </w:rPr>
        <w:t>Wright, Gerald</w:t>
      </w:r>
      <w:r w:rsidR="00447FDB">
        <w:rPr>
          <w:color w:val="222222"/>
        </w:rPr>
        <w:t xml:space="preserve"> C.</w:t>
      </w:r>
      <w:r>
        <w:rPr>
          <w:color w:val="222222"/>
        </w:rPr>
        <w:t xml:space="preserve">, Robert </w:t>
      </w:r>
      <w:r w:rsidR="00447FDB">
        <w:rPr>
          <w:color w:val="222222"/>
        </w:rPr>
        <w:t xml:space="preserve">S. </w:t>
      </w:r>
      <w:r>
        <w:rPr>
          <w:color w:val="222222"/>
        </w:rPr>
        <w:t xml:space="preserve">Erikson and John </w:t>
      </w:r>
      <w:r w:rsidR="00447FDB">
        <w:rPr>
          <w:color w:val="222222"/>
        </w:rPr>
        <w:t xml:space="preserve">P. </w:t>
      </w:r>
      <w:r>
        <w:rPr>
          <w:color w:val="222222"/>
        </w:rPr>
        <w:t>McIver.</w:t>
      </w:r>
      <w:proofErr w:type="gramEnd"/>
      <w:r>
        <w:rPr>
          <w:color w:val="222222"/>
        </w:rPr>
        <w:t xml:space="preserve">  1987.  “</w:t>
      </w:r>
      <w:r w:rsidR="00447FDB">
        <w:rPr>
          <w:color w:val="222222"/>
        </w:rPr>
        <w:t xml:space="preserve">Public Opinion and Policy Liberalism in the United States.”  </w:t>
      </w:r>
      <w:r w:rsidR="00447FDB">
        <w:rPr>
          <w:i/>
          <w:color w:val="222222"/>
        </w:rPr>
        <w:t>American Journal of Political Science</w:t>
      </w:r>
      <w:r w:rsidR="00447FDB">
        <w:rPr>
          <w:color w:val="222222"/>
        </w:rPr>
        <w:t xml:space="preserve"> 31 (3): 980-1001.</w:t>
      </w:r>
    </w:p>
    <w:p w14:paraId="028E376A" w14:textId="02D8D1D6" w:rsidR="005D1F17" w:rsidRDefault="00AB09E9" w:rsidP="00EC72FB">
      <w:pPr>
        <w:pStyle w:val="References"/>
        <w:sectPr w:rsidR="005D1F17">
          <w:headerReference w:type="default" r:id="rId26"/>
          <w:footerReference w:type="default" r:id="rId27"/>
          <w:pgSz w:w="12240" w:h="15840"/>
          <w:pgMar w:top="1440" w:right="1440" w:bottom="1440" w:left="1440" w:header="720" w:footer="706" w:gutter="0"/>
          <w:cols w:space="720"/>
          <w:docGrid w:linePitch="360"/>
        </w:sectPr>
      </w:pPr>
      <w:r w:rsidRPr="003A5C39">
        <w:rPr>
          <w:color w:val="222222"/>
        </w:rPr>
        <w:t xml:space="preserve">Zorn, Christopher. 2005. “A Solution to Separation in Binary Response Models.” </w:t>
      </w:r>
      <w:r w:rsidRPr="003A5C39">
        <w:rPr>
          <w:i/>
          <w:color w:val="222222"/>
        </w:rPr>
        <w:t>Political Analysis</w:t>
      </w:r>
      <w:r w:rsidRPr="003A5C39">
        <w:rPr>
          <w:color w:val="222222"/>
        </w:rPr>
        <w:t xml:space="preserve"> 13(2): 157</w:t>
      </w:r>
      <w:bookmarkStart w:id="8" w:name="article-title-1"/>
      <w:bookmarkEnd w:id="8"/>
      <w:r w:rsidR="00EC72FB">
        <w:rPr>
          <w:color w:val="222222"/>
        </w:rPr>
        <w:t>.</w:t>
      </w:r>
    </w:p>
    <w:p w14:paraId="521CEDA1" w14:textId="7ED3156C" w:rsidR="00386372" w:rsidRDefault="00386372" w:rsidP="00386372">
      <w:pPr>
        <w:pStyle w:val="Caption"/>
        <w:keepNext/>
      </w:pPr>
    </w:p>
    <w:p w14:paraId="027A9822" w14:textId="5F426F55" w:rsidR="00D27DD4" w:rsidRDefault="00D27DD4" w:rsidP="00D27DD4">
      <w:pPr>
        <w:pStyle w:val="Caption"/>
        <w:keepNext/>
      </w:pPr>
      <w:bookmarkStart w:id="9" w:name="_Ref263016589"/>
      <w:bookmarkStart w:id="10" w:name="_Ref263016655"/>
      <w:proofErr w:type="gramStart"/>
      <w:r>
        <w:t xml:space="preserve">Table </w:t>
      </w:r>
      <w:proofErr w:type="gramEnd"/>
      <w:r>
        <w:fldChar w:fldCharType="begin"/>
      </w:r>
      <w:r>
        <w:instrText xml:space="preserve"> SEQ Table \* ARABIC </w:instrText>
      </w:r>
      <w:r>
        <w:fldChar w:fldCharType="separate"/>
      </w:r>
      <w:r w:rsidR="005F6E65">
        <w:rPr>
          <w:noProof/>
        </w:rPr>
        <w:t>1</w:t>
      </w:r>
      <w:r>
        <w:fldChar w:fldCharType="end"/>
      </w:r>
      <w:bookmarkEnd w:id="10"/>
      <w:proofErr w:type="gramStart"/>
      <w:r>
        <w:t>.</w:t>
      </w:r>
      <w:proofErr w:type="gramEnd"/>
      <w:r>
        <w:t xml:space="preserve"> Governors’ Opposition to Expansion by Partisanship</w:t>
      </w:r>
      <w:bookmarkEnd w:id="9"/>
      <w:r w:rsidRPr="00192EEB">
        <w:t xml:space="preserve"> </w:t>
      </w:r>
    </w:p>
    <w:tbl>
      <w:tblPr>
        <w:tblStyle w:val="TableGrid"/>
        <w:tblW w:w="7038" w:type="dxa"/>
        <w:jc w:val="center"/>
        <w:tblLook w:val="04A0" w:firstRow="1" w:lastRow="0" w:firstColumn="1" w:lastColumn="0" w:noHBand="0" w:noVBand="1"/>
      </w:tblPr>
      <w:tblGrid>
        <w:gridCol w:w="2448"/>
        <w:gridCol w:w="2295"/>
        <w:gridCol w:w="2295"/>
      </w:tblGrid>
      <w:tr w:rsidR="00386372" w14:paraId="47BE7583" w14:textId="77777777" w:rsidTr="00386372">
        <w:trPr>
          <w:jc w:val="center"/>
        </w:trPr>
        <w:tc>
          <w:tcPr>
            <w:tcW w:w="2448" w:type="dxa"/>
            <w:vAlign w:val="bottom"/>
          </w:tcPr>
          <w:p w14:paraId="36105828" w14:textId="77777777" w:rsidR="00386372" w:rsidRPr="00733218" w:rsidRDefault="00386372" w:rsidP="00386372">
            <w:pPr>
              <w:snapToGrid w:val="0"/>
              <w:jc w:val="center"/>
            </w:pPr>
          </w:p>
        </w:tc>
        <w:tc>
          <w:tcPr>
            <w:tcW w:w="2295" w:type="dxa"/>
            <w:vAlign w:val="bottom"/>
          </w:tcPr>
          <w:p w14:paraId="2C12D265" w14:textId="77777777" w:rsidR="00386372" w:rsidRPr="00733218" w:rsidRDefault="00386372" w:rsidP="00386372">
            <w:pPr>
              <w:snapToGrid w:val="0"/>
              <w:jc w:val="center"/>
            </w:pPr>
            <w:r w:rsidRPr="00733218">
              <w:t>Supports Expansion</w:t>
            </w:r>
          </w:p>
        </w:tc>
        <w:tc>
          <w:tcPr>
            <w:tcW w:w="2295" w:type="dxa"/>
            <w:vAlign w:val="bottom"/>
          </w:tcPr>
          <w:p w14:paraId="691E3AB1" w14:textId="77777777" w:rsidR="00386372" w:rsidRPr="00733218" w:rsidRDefault="00386372" w:rsidP="00386372">
            <w:pPr>
              <w:snapToGrid w:val="0"/>
              <w:jc w:val="center"/>
            </w:pPr>
            <w:r w:rsidRPr="00733218">
              <w:t>Opposes Expansion</w:t>
            </w:r>
          </w:p>
        </w:tc>
      </w:tr>
      <w:tr w:rsidR="00386372" w14:paraId="33879570" w14:textId="77777777" w:rsidTr="00386372">
        <w:trPr>
          <w:jc w:val="center"/>
        </w:trPr>
        <w:tc>
          <w:tcPr>
            <w:tcW w:w="2448" w:type="dxa"/>
            <w:vAlign w:val="bottom"/>
          </w:tcPr>
          <w:p w14:paraId="70AEFAED" w14:textId="77777777" w:rsidR="00386372" w:rsidRPr="00733218" w:rsidRDefault="00386372" w:rsidP="00386372">
            <w:pPr>
              <w:snapToGrid w:val="0"/>
              <w:jc w:val="center"/>
            </w:pPr>
            <w:r w:rsidRPr="00733218">
              <w:t>Democratic Governor</w:t>
            </w:r>
          </w:p>
        </w:tc>
        <w:tc>
          <w:tcPr>
            <w:tcW w:w="2295" w:type="dxa"/>
            <w:vAlign w:val="bottom"/>
          </w:tcPr>
          <w:p w14:paraId="03DD5C39" w14:textId="77777777" w:rsidR="00386372" w:rsidRPr="00733218" w:rsidRDefault="00386372" w:rsidP="00386372">
            <w:pPr>
              <w:snapToGrid w:val="0"/>
              <w:jc w:val="center"/>
            </w:pPr>
            <w:r w:rsidRPr="00733218">
              <w:t>19</w:t>
            </w:r>
          </w:p>
        </w:tc>
        <w:tc>
          <w:tcPr>
            <w:tcW w:w="2295" w:type="dxa"/>
            <w:vAlign w:val="bottom"/>
          </w:tcPr>
          <w:p w14:paraId="5E27AF93" w14:textId="77777777" w:rsidR="00386372" w:rsidRPr="00733218" w:rsidRDefault="00386372" w:rsidP="00386372">
            <w:pPr>
              <w:snapToGrid w:val="0"/>
              <w:jc w:val="center"/>
            </w:pPr>
            <w:r w:rsidRPr="00733218">
              <w:t>0</w:t>
            </w:r>
          </w:p>
        </w:tc>
      </w:tr>
      <w:tr w:rsidR="00386372" w14:paraId="20C3D7C8" w14:textId="77777777" w:rsidTr="00386372">
        <w:trPr>
          <w:jc w:val="center"/>
        </w:trPr>
        <w:tc>
          <w:tcPr>
            <w:tcW w:w="2448" w:type="dxa"/>
            <w:vAlign w:val="bottom"/>
          </w:tcPr>
          <w:p w14:paraId="737CA6E7" w14:textId="77777777" w:rsidR="00386372" w:rsidRPr="00733218" w:rsidRDefault="00386372" w:rsidP="00386372">
            <w:pPr>
              <w:snapToGrid w:val="0"/>
              <w:jc w:val="center"/>
            </w:pPr>
            <w:r w:rsidRPr="00733218">
              <w:t>Republican Governor</w:t>
            </w:r>
          </w:p>
        </w:tc>
        <w:tc>
          <w:tcPr>
            <w:tcW w:w="2295" w:type="dxa"/>
            <w:vAlign w:val="bottom"/>
          </w:tcPr>
          <w:p w14:paraId="101BD51F" w14:textId="77777777" w:rsidR="00386372" w:rsidRPr="00733218" w:rsidRDefault="00386372" w:rsidP="00386372">
            <w:pPr>
              <w:snapToGrid w:val="0"/>
              <w:jc w:val="center"/>
            </w:pPr>
            <w:r w:rsidRPr="00733218">
              <w:t>15</w:t>
            </w:r>
          </w:p>
        </w:tc>
        <w:tc>
          <w:tcPr>
            <w:tcW w:w="2295" w:type="dxa"/>
            <w:vAlign w:val="bottom"/>
          </w:tcPr>
          <w:p w14:paraId="16CBBAA4" w14:textId="77777777" w:rsidR="00386372" w:rsidRPr="00733218" w:rsidRDefault="00386372" w:rsidP="00386372">
            <w:pPr>
              <w:keepNext/>
              <w:snapToGrid w:val="0"/>
              <w:jc w:val="center"/>
            </w:pPr>
            <w:r w:rsidRPr="00733218">
              <w:t>16</w:t>
            </w:r>
          </w:p>
        </w:tc>
      </w:tr>
    </w:tbl>
    <w:p w14:paraId="6A2209D8" w14:textId="3B1A43AD" w:rsidR="00D27DD4" w:rsidRDefault="00D27DD4" w:rsidP="00D27DD4">
      <w:pPr>
        <w:pStyle w:val="TableFigureNote"/>
      </w:pPr>
      <w:r>
        <w:t xml:space="preserve">Note: </w:t>
      </w:r>
      <w:r w:rsidRPr="00192EEB">
        <w:t>Notice that the data are quasi-separated in that no Democratic governor opposes expansion.</w:t>
      </w:r>
    </w:p>
    <w:p w14:paraId="1CCF17A8" w14:textId="4FCB43E6" w:rsidR="00D27DD4" w:rsidRDefault="00386372">
      <w:pPr>
        <w:widowControl/>
        <w:tabs>
          <w:tab w:val="clear" w:pos="360"/>
          <w:tab w:val="clear" w:pos="709"/>
        </w:tabs>
        <w:suppressAutoHyphens w:val="0"/>
        <w:spacing w:line="240" w:lineRule="auto"/>
      </w:pPr>
      <w:r>
        <w:br w:type="page"/>
      </w:r>
    </w:p>
    <w:p w14:paraId="75F2542D" w14:textId="29A3A6D0" w:rsidR="00D27DD4" w:rsidRDefault="00D27DD4" w:rsidP="00D27DD4">
      <w:pPr>
        <w:pStyle w:val="Caption"/>
        <w:keepNext/>
      </w:pPr>
      <w:bookmarkStart w:id="11" w:name="_Ref263016726"/>
      <w:r>
        <w:lastRenderedPageBreak/>
        <w:t xml:space="preserve">Table </w:t>
      </w:r>
      <w:fldSimple w:instr=" SEQ Table \* ARABIC ">
        <w:r w:rsidR="005F6E65">
          <w:rPr>
            <w:noProof/>
          </w:rPr>
          <w:t>2</w:t>
        </w:r>
      </w:fldSimple>
      <w:bookmarkEnd w:id="11"/>
      <w:r>
        <w:t xml:space="preserve">: Evidence for the Main Hypotheses </w:t>
      </w:r>
    </w:p>
    <w:tbl>
      <w:tblPr>
        <w:tblStyle w:val="TableGrid"/>
        <w:tblW w:w="0" w:type="auto"/>
        <w:jc w:val="center"/>
        <w:tblCellMar>
          <w:top w:w="144" w:type="dxa"/>
          <w:left w:w="115" w:type="dxa"/>
          <w:bottom w:w="144" w:type="dxa"/>
          <w:right w:w="115" w:type="dxa"/>
        </w:tblCellMar>
        <w:tblLook w:val="04A0" w:firstRow="1" w:lastRow="0" w:firstColumn="1" w:lastColumn="0" w:noHBand="0" w:noVBand="1"/>
      </w:tblPr>
      <w:tblGrid>
        <w:gridCol w:w="2635"/>
        <w:gridCol w:w="1973"/>
        <w:gridCol w:w="4968"/>
      </w:tblGrid>
      <w:tr w:rsidR="00386372" w14:paraId="370A4856" w14:textId="77777777" w:rsidTr="00386372">
        <w:trPr>
          <w:jc w:val="center"/>
        </w:trPr>
        <w:tc>
          <w:tcPr>
            <w:tcW w:w="2635" w:type="dxa"/>
            <w:vAlign w:val="center"/>
          </w:tcPr>
          <w:p w14:paraId="5AA92721" w14:textId="77777777" w:rsidR="00386372" w:rsidRPr="003E2D95" w:rsidRDefault="00386372" w:rsidP="00D27DD4">
            <w:pPr>
              <w:keepNext/>
              <w:spacing w:line="240" w:lineRule="auto"/>
              <w:jc w:val="center"/>
              <w:rPr>
                <w:b/>
              </w:rPr>
            </w:pPr>
            <w:r w:rsidRPr="00733218">
              <w:rPr>
                <w:b/>
              </w:rPr>
              <w:t>Hypothesis</w:t>
            </w:r>
          </w:p>
        </w:tc>
        <w:tc>
          <w:tcPr>
            <w:tcW w:w="1973" w:type="dxa"/>
            <w:vAlign w:val="center"/>
          </w:tcPr>
          <w:p w14:paraId="264F0537" w14:textId="77777777" w:rsidR="00386372" w:rsidRPr="003E2D95" w:rsidRDefault="00386372" w:rsidP="00D27DD4">
            <w:pPr>
              <w:keepNext/>
              <w:spacing w:line="240" w:lineRule="auto"/>
              <w:jc w:val="center"/>
              <w:rPr>
                <w:b/>
              </w:rPr>
            </w:pPr>
            <m:oMathPara>
              <m:oMath>
                <m:r>
                  <m:rPr>
                    <m:sty m:val="bi"/>
                  </m:rPr>
                  <w:rPr>
                    <w:rFonts w:ascii="Cambria Math" w:hAnsi="Cambria Math"/>
                  </w:rPr>
                  <m:t>Pr(</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r</m:t>
                    </m:r>
                  </m:sub>
                </m:sSub>
                <m:r>
                  <m:rPr>
                    <m:sty m:val="bi"/>
                  </m:rPr>
                  <w:rPr>
                    <w:rFonts w:ascii="Cambria Math" w:hAnsi="Cambria Math"/>
                  </w:rPr>
                  <m:t>|</m:t>
                </m:r>
                <m:r>
                  <m:rPr>
                    <m:sty m:val="b"/>
                  </m:rPr>
                  <w:rPr>
                    <w:rFonts w:ascii="Cambria Math" w:hAnsi="Cambria Math"/>
                  </w:rPr>
                  <m:t>data</m:t>
                </m:r>
                <m:r>
                  <m:rPr>
                    <m:sty m:val="bi"/>
                  </m:rPr>
                  <w:rPr>
                    <w:rFonts w:ascii="Cambria Math" w:hAnsi="Cambria Math"/>
                  </w:rPr>
                  <m:t>)</m:t>
                </m:r>
              </m:oMath>
            </m:oMathPara>
          </w:p>
        </w:tc>
        <w:tc>
          <w:tcPr>
            <w:tcW w:w="4968" w:type="dxa"/>
            <w:vAlign w:val="center"/>
          </w:tcPr>
          <w:p w14:paraId="4087DBDB" w14:textId="77777777" w:rsidR="00386372" w:rsidRPr="003E2D95" w:rsidRDefault="00386372" w:rsidP="00D27DD4">
            <w:pPr>
              <w:keepNext/>
              <w:spacing w:line="240" w:lineRule="auto"/>
              <w:jc w:val="center"/>
              <w:rPr>
                <w:b/>
              </w:rPr>
            </w:pPr>
            <w:r w:rsidRPr="003E2D95">
              <w:rPr>
                <w:b/>
              </w:rPr>
              <w:t>Evidence</w:t>
            </w:r>
          </w:p>
        </w:tc>
      </w:tr>
      <w:tr w:rsidR="00386372" w14:paraId="0DC9809C" w14:textId="77777777" w:rsidTr="00386372">
        <w:trPr>
          <w:jc w:val="center"/>
        </w:trPr>
        <w:tc>
          <w:tcPr>
            <w:tcW w:w="2635" w:type="dxa"/>
            <w:vAlign w:val="center"/>
          </w:tcPr>
          <w:p w14:paraId="2085D4AD" w14:textId="77777777" w:rsidR="00386372" w:rsidRPr="003E2D95" w:rsidRDefault="00386372" w:rsidP="00D27DD4">
            <w:pPr>
              <w:keepNext/>
              <w:spacing w:line="240" w:lineRule="auto"/>
              <w:jc w:val="center"/>
            </w:pPr>
            <w:r w:rsidRPr="003E2D95">
              <w:t>Gubernatorial Partisanship</w:t>
            </w:r>
          </w:p>
        </w:tc>
        <w:tc>
          <w:tcPr>
            <w:tcW w:w="1973" w:type="dxa"/>
            <w:vAlign w:val="center"/>
          </w:tcPr>
          <w:p w14:paraId="493CA49F" w14:textId="07CC242A" w:rsidR="00386372" w:rsidRPr="003E2D95" w:rsidRDefault="00D27DD4" w:rsidP="00D27DD4">
            <w:pPr>
              <w:keepNext/>
              <w:spacing w:line="240" w:lineRule="auto"/>
              <w:jc w:val="center"/>
            </w:pPr>
            <w:r>
              <w:t xml:space="preserve">&gt; </w:t>
            </w:r>
            <w:r w:rsidR="00386372">
              <w:t>0.99</w:t>
            </w:r>
          </w:p>
        </w:tc>
        <w:tc>
          <w:tcPr>
            <w:tcW w:w="4968" w:type="dxa"/>
            <w:vAlign w:val="center"/>
          </w:tcPr>
          <w:p w14:paraId="3684554F" w14:textId="77777777" w:rsidR="00386372" w:rsidRPr="003E2D95" w:rsidRDefault="00386372" w:rsidP="00D27DD4">
            <w:pPr>
              <w:keepNext/>
              <w:spacing w:line="240" w:lineRule="auto"/>
              <w:jc w:val="center"/>
            </w:pPr>
            <w:r w:rsidRPr="003E2D95">
              <w:t>Strong Evidence in Favor</w:t>
            </w:r>
          </w:p>
        </w:tc>
      </w:tr>
      <w:tr w:rsidR="00386372" w14:paraId="07B484F9" w14:textId="77777777" w:rsidTr="00386372">
        <w:trPr>
          <w:jc w:val="center"/>
        </w:trPr>
        <w:tc>
          <w:tcPr>
            <w:tcW w:w="2635" w:type="dxa"/>
            <w:vAlign w:val="center"/>
          </w:tcPr>
          <w:p w14:paraId="06578A09" w14:textId="77777777" w:rsidR="00386372" w:rsidRPr="003E2D95" w:rsidRDefault="00386372" w:rsidP="00D27DD4">
            <w:pPr>
              <w:keepNext/>
              <w:spacing w:line="240" w:lineRule="auto"/>
              <w:jc w:val="center"/>
            </w:pPr>
            <w:r w:rsidRPr="003E2D95">
              <w:t>Public Opinion</w:t>
            </w:r>
          </w:p>
        </w:tc>
        <w:tc>
          <w:tcPr>
            <w:tcW w:w="1973" w:type="dxa"/>
            <w:vAlign w:val="center"/>
          </w:tcPr>
          <w:p w14:paraId="675738EF" w14:textId="2B7A4B0A" w:rsidR="00386372" w:rsidRPr="003E2D95" w:rsidRDefault="00386372" w:rsidP="00D27DD4">
            <w:pPr>
              <w:keepNext/>
              <w:spacing w:line="240" w:lineRule="auto"/>
              <w:jc w:val="center"/>
            </w:pPr>
            <w:r>
              <w:t>0.</w:t>
            </w:r>
            <w:r w:rsidR="00D27DD4">
              <w:t>57</w:t>
            </w:r>
          </w:p>
        </w:tc>
        <w:tc>
          <w:tcPr>
            <w:tcW w:w="4968" w:type="dxa"/>
            <w:vAlign w:val="center"/>
          </w:tcPr>
          <w:p w14:paraId="18301579" w14:textId="77777777" w:rsidR="00386372" w:rsidRPr="003E2D95" w:rsidRDefault="00386372" w:rsidP="00D27DD4">
            <w:pPr>
              <w:keepNext/>
              <w:spacing w:line="240" w:lineRule="auto"/>
              <w:jc w:val="center"/>
            </w:pPr>
            <w:r w:rsidRPr="003E2D95">
              <w:t>Weak Evidence in Favor</w:t>
            </w:r>
          </w:p>
        </w:tc>
      </w:tr>
      <w:tr w:rsidR="00386372" w14:paraId="7992DDE7" w14:textId="77777777" w:rsidTr="00386372">
        <w:trPr>
          <w:jc w:val="center"/>
        </w:trPr>
        <w:tc>
          <w:tcPr>
            <w:tcW w:w="2635" w:type="dxa"/>
            <w:vAlign w:val="center"/>
          </w:tcPr>
          <w:p w14:paraId="335DF8E8" w14:textId="77777777" w:rsidR="00386372" w:rsidRPr="003E2D95" w:rsidRDefault="00386372" w:rsidP="00D27DD4">
            <w:pPr>
              <w:keepNext/>
              <w:spacing w:line="240" w:lineRule="auto"/>
              <w:jc w:val="center"/>
            </w:pPr>
            <w:r w:rsidRPr="003E2D95">
              <w:t>Legislative Partisanship</w:t>
            </w:r>
          </w:p>
        </w:tc>
        <w:tc>
          <w:tcPr>
            <w:tcW w:w="1973" w:type="dxa"/>
            <w:vAlign w:val="center"/>
          </w:tcPr>
          <w:p w14:paraId="3722BBD1" w14:textId="7125F4AE" w:rsidR="00386372" w:rsidRPr="003E2D95" w:rsidRDefault="00386372" w:rsidP="00D27DD4">
            <w:pPr>
              <w:keepNext/>
              <w:spacing w:line="240" w:lineRule="auto"/>
              <w:jc w:val="center"/>
            </w:pPr>
            <w:r>
              <w:t>0.9</w:t>
            </w:r>
            <w:r w:rsidR="00D27DD4">
              <w:t>7</w:t>
            </w:r>
          </w:p>
        </w:tc>
        <w:tc>
          <w:tcPr>
            <w:tcW w:w="4968" w:type="dxa"/>
            <w:vAlign w:val="center"/>
          </w:tcPr>
          <w:p w14:paraId="4A8C0B1B" w14:textId="77777777" w:rsidR="00386372" w:rsidRPr="003E2D95" w:rsidRDefault="00386372" w:rsidP="00D27DD4">
            <w:pPr>
              <w:keepNext/>
              <w:spacing w:line="240" w:lineRule="auto"/>
              <w:jc w:val="center"/>
            </w:pPr>
            <w:r w:rsidRPr="003E2D95">
              <w:t>Moderate Evidence in Favor</w:t>
            </w:r>
          </w:p>
        </w:tc>
      </w:tr>
      <w:tr w:rsidR="00386372" w14:paraId="1E740D04" w14:textId="77777777" w:rsidTr="00386372">
        <w:trPr>
          <w:jc w:val="center"/>
        </w:trPr>
        <w:tc>
          <w:tcPr>
            <w:tcW w:w="2635" w:type="dxa"/>
            <w:vAlign w:val="center"/>
          </w:tcPr>
          <w:p w14:paraId="1257D19E" w14:textId="77777777" w:rsidR="00386372" w:rsidRPr="003E2D95" w:rsidRDefault="00386372" w:rsidP="00D27DD4">
            <w:pPr>
              <w:keepNext/>
              <w:spacing w:line="240" w:lineRule="auto"/>
              <w:jc w:val="center"/>
            </w:pPr>
            <w:r w:rsidRPr="003E2D95">
              <w:t>Need</w:t>
            </w:r>
          </w:p>
        </w:tc>
        <w:tc>
          <w:tcPr>
            <w:tcW w:w="1973" w:type="dxa"/>
            <w:vAlign w:val="center"/>
          </w:tcPr>
          <w:p w14:paraId="4E11670D" w14:textId="79FE7485" w:rsidR="00386372" w:rsidRPr="003E2D95" w:rsidRDefault="00D27DD4" w:rsidP="00D27DD4">
            <w:pPr>
              <w:keepNext/>
              <w:spacing w:line="240" w:lineRule="auto"/>
              <w:jc w:val="center"/>
            </w:pPr>
            <w:r>
              <w:t>0.25</w:t>
            </w:r>
          </w:p>
        </w:tc>
        <w:tc>
          <w:tcPr>
            <w:tcW w:w="4968" w:type="dxa"/>
            <w:vAlign w:val="center"/>
          </w:tcPr>
          <w:p w14:paraId="0CAB3099" w14:textId="77777777" w:rsidR="00386372" w:rsidRPr="003E2D95" w:rsidRDefault="00386372" w:rsidP="00D27DD4">
            <w:pPr>
              <w:keepNext/>
              <w:spacing w:line="240" w:lineRule="auto"/>
              <w:jc w:val="center"/>
            </w:pPr>
            <w:r w:rsidRPr="003E2D95">
              <w:t>Ambiguous Evidence</w:t>
            </w:r>
          </w:p>
        </w:tc>
      </w:tr>
    </w:tbl>
    <w:p w14:paraId="6D47FF73" w14:textId="701B7B6B" w:rsidR="00386372" w:rsidRDefault="00D27DD4" w:rsidP="00D27DD4">
      <w:pPr>
        <w:pStyle w:val="TableFigureNote"/>
      </w:pPr>
      <w:r>
        <w:t xml:space="preserve">Note: </w:t>
      </w:r>
      <w:r w:rsidRPr="003E2D95">
        <w:t>Notice that we have at least weak evidence for each of the political hypotheses, but the evidence for the Needs Hypothesis remains ambiguous.</w:t>
      </w:r>
      <w:r>
        <w:t xml:space="preserve"> The </w:t>
      </w:r>
      <w:proofErr w:type="gramStart"/>
      <w:r>
        <w:t>probability of the research hypothesis given the data are</w:t>
      </w:r>
      <w:proofErr w:type="gramEnd"/>
      <w:r>
        <w:t xml:space="preserve"> calculated by simply computing the proportion of the MCMC draws that have the correct sign (i.e., consistent with the research hypothesis)</w:t>
      </w:r>
      <w:r w:rsidRPr="003E2D95">
        <w:t>. Because our sample is quite small, we interpret p</w:t>
      </w:r>
      <w:r>
        <w:t>robabilities near 0.9</w:t>
      </w:r>
      <w:r w:rsidRPr="003E2D95">
        <w:t xml:space="preserve"> </w:t>
      </w:r>
      <w:r>
        <w:t xml:space="preserve">(comparable to the </w:t>
      </w:r>
      <w:proofErr w:type="spellStart"/>
      <w:r>
        <w:t>frequentist</w:t>
      </w:r>
      <w:proofErr w:type="spellEnd"/>
      <w:r>
        <w:t xml:space="preserve"> </w:t>
      </w:r>
      <m:oMath>
        <m:r>
          <w:rPr>
            <w:rFonts w:ascii="Cambria Math" w:hAnsi="Cambria Math"/>
          </w:rPr>
          <m:t>α=0.1</m:t>
        </m:r>
      </m:oMath>
      <w:r>
        <w:t xml:space="preserve">) </w:t>
      </w:r>
      <w:r w:rsidRPr="003E2D95">
        <w:t>as offering some evidence for our hypothesis.</w:t>
      </w:r>
      <w:r w:rsidR="00386372">
        <w:br w:type="page"/>
      </w:r>
    </w:p>
    <w:p w14:paraId="37C574F4" w14:textId="401C2DC3" w:rsidR="00D27DD4" w:rsidRDefault="00D27DD4" w:rsidP="00D27DD4">
      <w:pPr>
        <w:pStyle w:val="Caption"/>
        <w:keepNext/>
      </w:pPr>
      <w:bookmarkStart w:id="12" w:name="_Ref263016851"/>
      <w:r>
        <w:lastRenderedPageBreak/>
        <w:t xml:space="preserve">Table </w:t>
      </w:r>
      <w:fldSimple w:instr=" SEQ Table \* ARABIC ">
        <w:r w:rsidR="005F6E65">
          <w:rPr>
            <w:noProof/>
          </w:rPr>
          <w:t>3</w:t>
        </w:r>
      </w:fldSimple>
      <w:bookmarkEnd w:id="12"/>
      <w:r>
        <w:t xml:space="preserve">: </w:t>
      </w:r>
      <w:r w:rsidR="00604BFA">
        <w:t>Evidence that Politics Matters More Than Need</w:t>
      </w: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4975"/>
        <w:gridCol w:w="1620"/>
        <w:gridCol w:w="2995"/>
      </w:tblGrid>
      <w:tr w:rsidR="00386372" w14:paraId="1EFA0EA5" w14:textId="77777777" w:rsidTr="00386372">
        <w:tc>
          <w:tcPr>
            <w:tcW w:w="4975" w:type="dxa"/>
            <w:vAlign w:val="center"/>
          </w:tcPr>
          <w:p w14:paraId="35C7DD84" w14:textId="77777777" w:rsidR="00386372" w:rsidRPr="007939AC" w:rsidRDefault="00386372" w:rsidP="00386372">
            <w:pPr>
              <w:keepNext/>
              <w:jc w:val="center"/>
              <w:rPr>
                <w:rFonts w:ascii="Cambria" w:hAnsi="Cambria"/>
                <w:b/>
              </w:rPr>
            </w:pPr>
            <w:r w:rsidRPr="00733218">
              <w:rPr>
                <w:b/>
              </w:rPr>
              <w:t>Hypothesis</w:t>
            </w:r>
          </w:p>
        </w:tc>
        <w:tc>
          <w:tcPr>
            <w:tcW w:w="1620" w:type="dxa"/>
            <w:vAlign w:val="center"/>
          </w:tcPr>
          <w:p w14:paraId="4F89D549" w14:textId="77777777" w:rsidR="00386372" w:rsidRPr="007939AC" w:rsidRDefault="00386372" w:rsidP="00386372">
            <w:pPr>
              <w:keepNext/>
              <w:jc w:val="center"/>
              <w:rPr>
                <w:rFonts w:ascii="Cambria" w:hAnsi="Cambria"/>
                <w:b/>
              </w:rPr>
            </w:pPr>
            <m:oMathPara>
              <m:oMath>
                <m:r>
                  <m:rPr>
                    <m:sty m:val="bi"/>
                  </m:rPr>
                  <w:rPr>
                    <w:rFonts w:ascii="Cambria Math" w:hAnsi="Cambria Math"/>
                  </w:rPr>
                  <m:t>Pr(</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r</m:t>
                    </m:r>
                  </m:sub>
                </m:sSub>
                <m:r>
                  <m:rPr>
                    <m:sty m:val="bi"/>
                  </m:rPr>
                  <w:rPr>
                    <w:rFonts w:ascii="Cambria Math" w:hAnsi="Cambria Math"/>
                  </w:rPr>
                  <m:t>|</m:t>
                </m:r>
                <m:r>
                  <m:rPr>
                    <m:sty m:val="b"/>
                  </m:rPr>
                  <w:rPr>
                    <w:rFonts w:ascii="Cambria Math" w:hAnsi="Cambria Math"/>
                  </w:rPr>
                  <m:t>data</m:t>
                </m:r>
                <m:r>
                  <m:rPr>
                    <m:sty m:val="bi"/>
                  </m:rPr>
                  <w:rPr>
                    <w:rFonts w:ascii="Cambria Math" w:hAnsi="Cambria Math"/>
                  </w:rPr>
                  <m:t>)</m:t>
                </m:r>
              </m:oMath>
            </m:oMathPara>
          </w:p>
        </w:tc>
        <w:tc>
          <w:tcPr>
            <w:tcW w:w="2995" w:type="dxa"/>
            <w:vAlign w:val="center"/>
          </w:tcPr>
          <w:p w14:paraId="75C84488" w14:textId="77777777" w:rsidR="00386372" w:rsidRPr="007939AC" w:rsidRDefault="00386372" w:rsidP="00386372">
            <w:pPr>
              <w:keepNext/>
              <w:jc w:val="center"/>
              <w:rPr>
                <w:rFonts w:ascii="Cambria" w:hAnsi="Cambria"/>
              </w:rPr>
            </w:pPr>
            <m:oMathPara>
              <m:oMath>
                <m:r>
                  <m:rPr>
                    <m:sty m:val="b"/>
                  </m:rPr>
                  <w:rPr>
                    <w:rFonts w:ascii="Cambria Math" w:hAnsi="Cambria Math"/>
                  </w:rPr>
                  <m:t>Evidence</m:t>
                </m:r>
              </m:oMath>
            </m:oMathPara>
          </w:p>
        </w:tc>
      </w:tr>
      <w:tr w:rsidR="00386372" w14:paraId="48E1D9E3" w14:textId="77777777" w:rsidTr="00386372">
        <w:tc>
          <w:tcPr>
            <w:tcW w:w="4975" w:type="dxa"/>
            <w:vAlign w:val="center"/>
          </w:tcPr>
          <w:p w14:paraId="7A107F85" w14:textId="77777777" w:rsidR="00386372" w:rsidRPr="00CE2C07" w:rsidRDefault="00386372" w:rsidP="00604BFA">
            <w:pPr>
              <w:keepNext/>
              <w:widowControl/>
              <w:tabs>
                <w:tab w:val="clear" w:pos="360"/>
                <w:tab w:val="clear" w:pos="709"/>
              </w:tabs>
              <w:suppressAutoHyphens w:val="0"/>
              <w:spacing w:before="100" w:beforeAutospacing="1" w:after="115" w:line="240" w:lineRule="auto"/>
              <w:jc w:val="center"/>
              <w:rPr>
                <w:rFonts w:ascii="Times" w:hAnsi="Times"/>
              </w:rPr>
            </w:pPr>
            <w:r w:rsidRPr="00CE2C07">
              <w:rPr>
                <w:rFonts w:ascii="Times" w:hAnsi="Times"/>
              </w:rPr>
              <w:t>The effect of gubernatorial partisanship is larger than the effect of need.</w:t>
            </w:r>
          </w:p>
        </w:tc>
        <w:tc>
          <w:tcPr>
            <w:tcW w:w="1620" w:type="dxa"/>
            <w:vAlign w:val="center"/>
          </w:tcPr>
          <w:p w14:paraId="65F8F844" w14:textId="77777777" w:rsidR="00386372" w:rsidRPr="007939AC" w:rsidRDefault="00386372" w:rsidP="00604BFA">
            <w:pPr>
              <w:keepNext/>
              <w:jc w:val="center"/>
              <w:rPr>
                <w:rFonts w:ascii="Cambria" w:hAnsi="Cambria"/>
              </w:rPr>
            </w:pPr>
            <w:r w:rsidRPr="00733218">
              <w:t>&gt; 0.99</w:t>
            </w:r>
          </w:p>
        </w:tc>
        <w:tc>
          <w:tcPr>
            <w:tcW w:w="2995" w:type="dxa"/>
            <w:vAlign w:val="center"/>
          </w:tcPr>
          <w:p w14:paraId="1B5938B9" w14:textId="77777777" w:rsidR="00386372" w:rsidRPr="007939AC" w:rsidRDefault="00386372" w:rsidP="00604BFA">
            <w:pPr>
              <w:keepNext/>
              <w:jc w:val="center"/>
              <w:rPr>
                <w:rFonts w:ascii="Cambria" w:hAnsi="Cambria"/>
              </w:rPr>
            </w:pPr>
            <w:r w:rsidRPr="00733218">
              <w:t xml:space="preserve">Strong </w:t>
            </w:r>
            <w:r>
              <w:t>Evidence</w:t>
            </w:r>
            <w:r w:rsidRPr="00733218">
              <w:t xml:space="preserve"> in </w:t>
            </w:r>
            <w:r>
              <w:t>Favor</w:t>
            </w:r>
          </w:p>
        </w:tc>
      </w:tr>
      <w:tr w:rsidR="00386372" w14:paraId="1FF65FFF" w14:textId="77777777" w:rsidTr="00386372">
        <w:tc>
          <w:tcPr>
            <w:tcW w:w="4975" w:type="dxa"/>
            <w:vAlign w:val="center"/>
          </w:tcPr>
          <w:p w14:paraId="1B70BAA6" w14:textId="77777777" w:rsidR="00386372" w:rsidRPr="00CE2C07" w:rsidRDefault="00386372" w:rsidP="00604BFA">
            <w:pPr>
              <w:keepNext/>
              <w:widowControl/>
              <w:tabs>
                <w:tab w:val="clear" w:pos="360"/>
                <w:tab w:val="clear" w:pos="709"/>
              </w:tabs>
              <w:suppressAutoHyphens w:val="0"/>
              <w:spacing w:before="100" w:beforeAutospacing="1" w:line="240" w:lineRule="auto"/>
              <w:jc w:val="center"/>
              <w:rPr>
                <w:rFonts w:ascii="Times" w:hAnsi="Times"/>
              </w:rPr>
            </w:pPr>
            <w:r w:rsidRPr="00CE2C07">
              <w:rPr>
                <w:rFonts w:ascii="Times" w:hAnsi="Times"/>
              </w:rPr>
              <w:t>The effect of public opinion is larger than the effect of need.</w:t>
            </w:r>
          </w:p>
        </w:tc>
        <w:tc>
          <w:tcPr>
            <w:tcW w:w="1620" w:type="dxa"/>
            <w:vAlign w:val="center"/>
          </w:tcPr>
          <w:p w14:paraId="4EB53C55" w14:textId="77777777" w:rsidR="00386372" w:rsidRPr="007939AC" w:rsidRDefault="00386372" w:rsidP="00604BFA">
            <w:pPr>
              <w:keepNext/>
              <w:jc w:val="center"/>
              <w:rPr>
                <w:rFonts w:ascii="Cambria" w:hAnsi="Cambria"/>
              </w:rPr>
            </w:pPr>
            <w:r w:rsidRPr="00733218">
              <w:t>0.75</w:t>
            </w:r>
          </w:p>
        </w:tc>
        <w:tc>
          <w:tcPr>
            <w:tcW w:w="2995" w:type="dxa"/>
            <w:vAlign w:val="center"/>
          </w:tcPr>
          <w:p w14:paraId="19D87467" w14:textId="77777777" w:rsidR="00386372" w:rsidRPr="007939AC" w:rsidRDefault="00386372" w:rsidP="00604BFA">
            <w:pPr>
              <w:keepNext/>
              <w:jc w:val="center"/>
              <w:rPr>
                <w:rFonts w:ascii="Cambria" w:hAnsi="Cambria"/>
              </w:rPr>
            </w:pPr>
            <w:r w:rsidRPr="00733218">
              <w:t xml:space="preserve">Weak </w:t>
            </w:r>
            <w:r>
              <w:t>Evidence</w:t>
            </w:r>
            <w:r w:rsidRPr="00733218">
              <w:t xml:space="preserve"> in </w:t>
            </w:r>
            <w:r>
              <w:t>Favor</w:t>
            </w:r>
          </w:p>
        </w:tc>
      </w:tr>
      <w:tr w:rsidR="00386372" w14:paraId="42842758" w14:textId="77777777" w:rsidTr="00386372">
        <w:tc>
          <w:tcPr>
            <w:tcW w:w="4975" w:type="dxa"/>
            <w:vAlign w:val="center"/>
          </w:tcPr>
          <w:p w14:paraId="49CD858A" w14:textId="77777777" w:rsidR="00386372" w:rsidRPr="00CE2C07" w:rsidRDefault="00386372" w:rsidP="00604BFA">
            <w:pPr>
              <w:keepNext/>
              <w:widowControl/>
              <w:tabs>
                <w:tab w:val="clear" w:pos="360"/>
                <w:tab w:val="clear" w:pos="709"/>
              </w:tabs>
              <w:suppressAutoHyphens w:val="0"/>
              <w:spacing w:before="100" w:beforeAutospacing="1" w:line="240" w:lineRule="auto"/>
              <w:jc w:val="center"/>
              <w:rPr>
                <w:rFonts w:ascii="Times" w:hAnsi="Times"/>
              </w:rPr>
            </w:pPr>
            <w:r w:rsidRPr="00CE2C07">
              <w:rPr>
                <w:rFonts w:ascii="Times" w:hAnsi="Times"/>
              </w:rPr>
              <w:t>The effect of legislative partisanship is larger than the effect of need.</w:t>
            </w:r>
          </w:p>
        </w:tc>
        <w:tc>
          <w:tcPr>
            <w:tcW w:w="1620" w:type="dxa"/>
          </w:tcPr>
          <w:p w14:paraId="6C88D90B" w14:textId="77777777" w:rsidR="00386372" w:rsidRPr="007939AC" w:rsidRDefault="00386372" w:rsidP="00604BFA">
            <w:pPr>
              <w:keepNext/>
              <w:jc w:val="center"/>
              <w:rPr>
                <w:rFonts w:ascii="Cambria" w:hAnsi="Cambria"/>
              </w:rPr>
            </w:pPr>
            <w:r w:rsidRPr="00733218">
              <w:t>0.96</w:t>
            </w:r>
          </w:p>
        </w:tc>
        <w:tc>
          <w:tcPr>
            <w:tcW w:w="2995" w:type="dxa"/>
            <w:vAlign w:val="center"/>
          </w:tcPr>
          <w:p w14:paraId="58FB7A00" w14:textId="77777777" w:rsidR="00386372" w:rsidRPr="007939AC" w:rsidRDefault="00386372" w:rsidP="00604BFA">
            <w:pPr>
              <w:keepNext/>
              <w:jc w:val="center"/>
              <w:rPr>
                <w:rFonts w:ascii="Cambria" w:hAnsi="Cambria"/>
              </w:rPr>
            </w:pPr>
            <w:r w:rsidRPr="00733218">
              <w:t xml:space="preserve">Weak </w:t>
            </w:r>
            <w:r>
              <w:t>Evidence</w:t>
            </w:r>
            <w:r w:rsidRPr="00733218">
              <w:t xml:space="preserve"> in </w:t>
            </w:r>
            <w:r>
              <w:t>Favor</w:t>
            </w:r>
          </w:p>
        </w:tc>
      </w:tr>
    </w:tbl>
    <w:p w14:paraId="2D095DF2" w14:textId="39FB8822" w:rsidR="00386372" w:rsidRDefault="00604BFA" w:rsidP="00604BFA">
      <w:pPr>
        <w:pStyle w:val="TableFigureNote"/>
      </w:pPr>
      <w:r>
        <w:t>Note: Notice that while the evidence only weakly supports the claim that public opinion and legislative partisanship matter more than need, the data offer strong support for the claim that</w:t>
      </w:r>
      <w:r w:rsidRPr="003A5C39">
        <w:t xml:space="preserve"> gubernatorial partisanship </w:t>
      </w:r>
      <w:r>
        <w:t>and legislative composition have</w:t>
      </w:r>
      <w:r w:rsidRPr="003A5C39">
        <w:t xml:space="preserve"> a larger impact on the decision to oppose e</w:t>
      </w:r>
      <w:r>
        <w:t xml:space="preserve">xpansion than the level of need. </w:t>
      </w:r>
      <w:r w:rsidR="00386372">
        <w:br w:type="page"/>
      </w:r>
    </w:p>
    <w:p w14:paraId="3EA09221" w14:textId="1DD52B3B" w:rsidR="00557DBC" w:rsidRDefault="00557DBC">
      <w:pPr>
        <w:widowControl/>
        <w:tabs>
          <w:tab w:val="clear" w:pos="360"/>
          <w:tab w:val="clear" w:pos="709"/>
        </w:tabs>
        <w:suppressAutoHyphens w:val="0"/>
        <w:spacing w:line="240" w:lineRule="auto"/>
        <w:rPr>
          <w:i/>
        </w:rPr>
      </w:pPr>
    </w:p>
    <w:p w14:paraId="273EB2BC" w14:textId="15E84590" w:rsidR="005F6E65" w:rsidRDefault="005F6E65" w:rsidP="005F6E65">
      <w:pPr>
        <w:pStyle w:val="Caption"/>
        <w:keepNext/>
      </w:pPr>
      <w:r>
        <w:t xml:space="preserve">Table </w:t>
      </w:r>
      <w:fldSimple w:instr=" SEQ Table \* ARABIC ">
        <w:r>
          <w:rPr>
            <w:noProof/>
          </w:rPr>
          <w:t>4</w:t>
        </w:r>
      </w:fldSimple>
      <w:r>
        <w:t>: Evidence for the Main Hypotheses Using Alternative Measures</w:t>
      </w:r>
    </w:p>
    <w:tbl>
      <w:tblPr>
        <w:tblStyle w:val="TableGrid"/>
        <w:tblW w:w="9828" w:type="dxa"/>
        <w:tblLayout w:type="fixed"/>
        <w:tblLook w:val="04A0" w:firstRow="1" w:lastRow="0" w:firstColumn="1" w:lastColumn="0" w:noHBand="0" w:noVBand="1"/>
      </w:tblPr>
      <w:tblGrid>
        <w:gridCol w:w="1818"/>
        <w:gridCol w:w="2880"/>
        <w:gridCol w:w="1080"/>
        <w:gridCol w:w="900"/>
        <w:gridCol w:w="990"/>
        <w:gridCol w:w="2160"/>
      </w:tblGrid>
      <w:tr w:rsidR="00557DBC" w:rsidRPr="00412505" w14:paraId="7A050DD8" w14:textId="77777777" w:rsidTr="00557DBC">
        <w:trPr>
          <w:trHeight w:val="300"/>
        </w:trPr>
        <w:tc>
          <w:tcPr>
            <w:tcW w:w="1818" w:type="dxa"/>
            <w:noWrap/>
            <w:vAlign w:val="center"/>
            <w:hideMark/>
          </w:tcPr>
          <w:p w14:paraId="39AD3DBF" w14:textId="77777777" w:rsidR="00557DBC" w:rsidRPr="00412505" w:rsidRDefault="00557DBC" w:rsidP="00557DBC">
            <w:pPr>
              <w:pStyle w:val="Heading2"/>
              <w:keepNext/>
              <w:keepLines/>
              <w:spacing w:line="240" w:lineRule="auto"/>
              <w:jc w:val="center"/>
              <w:outlineLvl w:val="1"/>
              <w:rPr>
                <w:rFonts w:ascii="Times New Roman" w:hAnsi="Times New Roman" w:cs="Times New Roman"/>
                <w:b/>
                <w:bCs/>
                <w:i w:val="0"/>
                <w:sz w:val="16"/>
                <w:szCs w:val="16"/>
              </w:rPr>
            </w:pPr>
            <w:r w:rsidRPr="00412505">
              <w:rPr>
                <w:rFonts w:ascii="Times New Roman" w:hAnsi="Times New Roman" w:cs="Times New Roman"/>
                <w:b/>
                <w:bCs/>
                <w:i w:val="0"/>
                <w:sz w:val="16"/>
                <w:szCs w:val="16"/>
              </w:rPr>
              <w:t>Hypothesis</w:t>
            </w:r>
          </w:p>
        </w:tc>
        <w:tc>
          <w:tcPr>
            <w:tcW w:w="2880" w:type="dxa"/>
            <w:noWrap/>
            <w:vAlign w:val="center"/>
            <w:hideMark/>
          </w:tcPr>
          <w:p w14:paraId="4626AAEB" w14:textId="77777777" w:rsidR="00557DBC" w:rsidRPr="00412505" w:rsidRDefault="00557DBC" w:rsidP="00557DBC">
            <w:pPr>
              <w:pStyle w:val="Heading2"/>
              <w:keepNext/>
              <w:keepLines/>
              <w:spacing w:line="240" w:lineRule="auto"/>
              <w:jc w:val="center"/>
              <w:outlineLvl w:val="1"/>
              <w:rPr>
                <w:rFonts w:ascii="Times New Roman" w:hAnsi="Times New Roman" w:cs="Times New Roman"/>
                <w:b/>
                <w:bCs/>
                <w:i w:val="0"/>
                <w:sz w:val="16"/>
                <w:szCs w:val="16"/>
              </w:rPr>
            </w:pPr>
            <w:r w:rsidRPr="00412505">
              <w:rPr>
                <w:rFonts w:ascii="Times New Roman" w:hAnsi="Times New Roman" w:cs="Times New Roman"/>
                <w:b/>
                <w:bCs/>
                <w:i w:val="0"/>
                <w:sz w:val="16"/>
                <w:szCs w:val="16"/>
              </w:rPr>
              <w:t>Variable</w:t>
            </w:r>
          </w:p>
        </w:tc>
        <w:tc>
          <w:tcPr>
            <w:tcW w:w="1080" w:type="dxa"/>
            <w:noWrap/>
            <w:vAlign w:val="center"/>
            <w:hideMark/>
          </w:tcPr>
          <w:p w14:paraId="5477CDBD" w14:textId="77777777" w:rsidR="00557DBC" w:rsidRPr="00412505" w:rsidRDefault="00557DBC" w:rsidP="00557DBC">
            <w:pPr>
              <w:pStyle w:val="Heading2"/>
              <w:keepNext/>
              <w:keepLines/>
              <w:spacing w:line="240" w:lineRule="auto"/>
              <w:jc w:val="center"/>
              <w:outlineLvl w:val="1"/>
              <w:rPr>
                <w:rFonts w:ascii="Times New Roman" w:hAnsi="Times New Roman" w:cs="Times New Roman"/>
                <w:b/>
                <w:bCs/>
                <w:i w:val="0"/>
                <w:sz w:val="16"/>
                <w:szCs w:val="16"/>
              </w:rPr>
            </w:pPr>
            <w:r w:rsidRPr="00412505">
              <w:rPr>
                <w:rFonts w:ascii="Times New Roman" w:hAnsi="Times New Roman" w:cs="Times New Roman"/>
                <w:b/>
                <w:bCs/>
                <w:i w:val="0"/>
                <w:sz w:val="16"/>
                <w:szCs w:val="16"/>
              </w:rPr>
              <w:t>Expectation</w:t>
            </w:r>
          </w:p>
        </w:tc>
        <w:tc>
          <w:tcPr>
            <w:tcW w:w="900" w:type="dxa"/>
            <w:noWrap/>
            <w:vAlign w:val="center"/>
            <w:hideMark/>
          </w:tcPr>
          <w:p w14:paraId="131CB9BC" w14:textId="77777777" w:rsidR="00557DBC" w:rsidRPr="00412505" w:rsidRDefault="00557DBC" w:rsidP="00557DBC">
            <w:pPr>
              <w:pStyle w:val="Heading2"/>
              <w:keepNext/>
              <w:keepLines/>
              <w:spacing w:line="240" w:lineRule="auto"/>
              <w:jc w:val="center"/>
              <w:outlineLvl w:val="1"/>
              <w:rPr>
                <w:rFonts w:ascii="Times New Roman" w:hAnsi="Times New Roman" w:cs="Times New Roman"/>
                <w:b/>
                <w:bCs/>
                <w:i w:val="0"/>
                <w:sz w:val="16"/>
                <w:szCs w:val="16"/>
              </w:rPr>
            </w:pPr>
            <w:r w:rsidRPr="00412505">
              <w:rPr>
                <w:rFonts w:ascii="Times New Roman" w:hAnsi="Times New Roman" w:cs="Times New Roman"/>
                <w:b/>
                <w:bCs/>
                <w:i w:val="0"/>
                <w:sz w:val="16"/>
                <w:szCs w:val="16"/>
              </w:rPr>
              <w:t>Estimate</w:t>
            </w:r>
          </w:p>
        </w:tc>
        <w:tc>
          <w:tcPr>
            <w:tcW w:w="990" w:type="dxa"/>
            <w:noWrap/>
            <w:vAlign w:val="center"/>
            <w:hideMark/>
          </w:tcPr>
          <w:p w14:paraId="500E0E41" w14:textId="77777777" w:rsidR="00557DBC" w:rsidRPr="00412505" w:rsidRDefault="00557DBC" w:rsidP="00557DBC">
            <w:pPr>
              <w:pStyle w:val="Heading2"/>
              <w:keepNext/>
              <w:keepLines/>
              <w:spacing w:line="240" w:lineRule="auto"/>
              <w:jc w:val="center"/>
              <w:outlineLvl w:val="1"/>
              <w:rPr>
                <w:rFonts w:ascii="Times New Roman" w:hAnsi="Times New Roman" w:cs="Times New Roman"/>
                <w:b/>
                <w:bCs/>
                <w:i w:val="0"/>
                <w:sz w:val="16"/>
                <w:szCs w:val="16"/>
              </w:rPr>
            </w:pPr>
            <m:oMath>
              <m:r>
                <m:rPr>
                  <m:sty m:val="bi"/>
                </m:rPr>
                <w:rPr>
                  <w:rFonts w:ascii="Cambria Math" w:hAnsi="Cambria Math"/>
                  <w:sz w:val="16"/>
                  <w:szCs w:val="16"/>
                </w:rPr>
                <m:t>Pr(</m:t>
              </m:r>
              <m:sSub>
                <m:sSubPr>
                  <m:ctrlPr>
                    <w:rPr>
                      <w:rFonts w:ascii="Cambria Math" w:hAnsi="Cambria Math"/>
                      <w:b/>
                      <w:i w:val="0"/>
                      <w:sz w:val="16"/>
                      <w:szCs w:val="16"/>
                    </w:rPr>
                  </m:ctrlPr>
                </m:sSubPr>
                <m:e>
                  <m:r>
                    <m:rPr>
                      <m:sty m:val="bi"/>
                    </m:rPr>
                    <w:rPr>
                      <w:rFonts w:ascii="Cambria Math" w:hAnsi="Cambria Math"/>
                      <w:sz w:val="16"/>
                      <w:szCs w:val="16"/>
                    </w:rPr>
                    <m:t>H</m:t>
                  </m:r>
                </m:e>
                <m:sub>
                  <m:r>
                    <m:rPr>
                      <m:sty m:val="bi"/>
                    </m:rPr>
                    <w:rPr>
                      <w:rFonts w:ascii="Cambria Math" w:hAnsi="Cambria Math"/>
                      <w:sz w:val="16"/>
                      <w:szCs w:val="16"/>
                    </w:rPr>
                    <m:t>r</m:t>
                  </m:r>
                </m:sub>
              </m:sSub>
              <m:r>
                <m:rPr>
                  <m:sty m:val="bi"/>
                </m:rPr>
                <w:rPr>
                  <w:rFonts w:ascii="Cambria Math" w:hAnsi="Cambria Math"/>
                  <w:sz w:val="16"/>
                  <w:szCs w:val="16"/>
                </w:rPr>
                <m:t>|data)</m:t>
              </m:r>
            </m:oMath>
          </w:p>
        </w:tc>
        <w:tc>
          <w:tcPr>
            <w:tcW w:w="2160" w:type="dxa"/>
            <w:noWrap/>
            <w:vAlign w:val="center"/>
            <w:hideMark/>
          </w:tcPr>
          <w:p w14:paraId="4645ACDA" w14:textId="77777777" w:rsidR="00557DBC" w:rsidRPr="00412505" w:rsidRDefault="00557DBC" w:rsidP="00557DBC">
            <w:pPr>
              <w:pStyle w:val="Heading2"/>
              <w:keepNext/>
              <w:keepLines/>
              <w:spacing w:line="240" w:lineRule="auto"/>
              <w:jc w:val="center"/>
              <w:outlineLvl w:val="1"/>
              <w:rPr>
                <w:rFonts w:ascii="Times New Roman" w:hAnsi="Times New Roman" w:cs="Times New Roman"/>
                <w:b/>
                <w:bCs/>
                <w:i w:val="0"/>
                <w:sz w:val="16"/>
                <w:szCs w:val="16"/>
              </w:rPr>
            </w:pPr>
            <w:r w:rsidRPr="00412505">
              <w:rPr>
                <w:rFonts w:ascii="Times New Roman" w:hAnsi="Times New Roman" w:cs="Times New Roman"/>
                <w:b/>
                <w:bCs/>
                <w:i w:val="0"/>
                <w:sz w:val="16"/>
                <w:szCs w:val="16"/>
              </w:rPr>
              <w:t>Evidence</w:t>
            </w:r>
          </w:p>
        </w:tc>
      </w:tr>
      <w:tr w:rsidR="00557DBC" w:rsidRPr="00380242" w14:paraId="4909CEE7" w14:textId="77777777" w:rsidTr="00557DBC">
        <w:trPr>
          <w:trHeight w:val="300"/>
        </w:trPr>
        <w:tc>
          <w:tcPr>
            <w:tcW w:w="1818" w:type="dxa"/>
            <w:vMerge w:val="restart"/>
            <w:noWrap/>
            <w:vAlign w:val="center"/>
            <w:hideMark/>
          </w:tcPr>
          <w:p w14:paraId="2EF111D4"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Public Opinion</w:t>
            </w:r>
          </w:p>
        </w:tc>
        <w:tc>
          <w:tcPr>
            <w:tcW w:w="2880" w:type="dxa"/>
            <w:noWrap/>
            <w:vAlign w:val="center"/>
            <w:hideMark/>
          </w:tcPr>
          <w:p w14:paraId="7145BD51" w14:textId="77777777" w:rsidR="00557DBC" w:rsidRPr="00380242" w:rsidRDefault="00557DBC" w:rsidP="00557DBC">
            <w:pPr>
              <w:pStyle w:val="Heading2"/>
              <w:keepNext/>
              <w:keepLines/>
              <w:spacing w:line="240" w:lineRule="auto"/>
              <w:jc w:val="center"/>
              <w:outlineLvl w:val="1"/>
              <w:rPr>
                <w:rFonts w:ascii="Times New Roman" w:hAnsi="Times New Roman" w:cs="Times New Roman"/>
                <w:bCs/>
                <w:sz w:val="16"/>
                <w:szCs w:val="16"/>
              </w:rPr>
            </w:pPr>
            <w:r w:rsidRPr="00380242">
              <w:rPr>
                <w:rFonts w:ascii="Times New Roman" w:hAnsi="Times New Roman" w:cs="Times New Roman"/>
                <w:bCs/>
                <w:sz w:val="16"/>
                <w:szCs w:val="16"/>
              </w:rPr>
              <w:t>Percent Favorable to ACA</w:t>
            </w:r>
          </w:p>
        </w:tc>
        <w:tc>
          <w:tcPr>
            <w:tcW w:w="1080" w:type="dxa"/>
            <w:noWrap/>
            <w:vAlign w:val="center"/>
            <w:hideMark/>
          </w:tcPr>
          <w:p w14:paraId="1B7CBB52" w14:textId="77777777" w:rsidR="00557DBC" w:rsidRPr="00380242" w:rsidRDefault="00557DBC" w:rsidP="00557DBC">
            <w:pPr>
              <w:pStyle w:val="Heading2"/>
              <w:keepNext/>
              <w:keepLines/>
              <w:spacing w:line="240" w:lineRule="auto"/>
              <w:jc w:val="center"/>
              <w:outlineLvl w:val="1"/>
              <w:rPr>
                <w:rFonts w:ascii="Times New Roman" w:hAnsi="Times New Roman" w:cs="Times New Roman"/>
                <w:bCs/>
                <w:i w:val="0"/>
                <w:sz w:val="16"/>
                <w:szCs w:val="16"/>
              </w:rPr>
            </w:pPr>
            <w:r w:rsidRPr="00380242">
              <w:rPr>
                <w:rFonts w:ascii="Times New Roman" w:hAnsi="Times New Roman" w:cs="Times New Roman"/>
                <w:bCs/>
                <w:i w:val="0"/>
                <w:sz w:val="16"/>
                <w:szCs w:val="16"/>
              </w:rPr>
              <w:t>-</w:t>
            </w:r>
          </w:p>
        </w:tc>
        <w:tc>
          <w:tcPr>
            <w:tcW w:w="900" w:type="dxa"/>
            <w:noWrap/>
            <w:vAlign w:val="center"/>
            <w:hideMark/>
          </w:tcPr>
          <w:p w14:paraId="1B2B0C09" w14:textId="77777777" w:rsidR="00557DBC" w:rsidRPr="00380242" w:rsidRDefault="00557DBC" w:rsidP="00557DBC">
            <w:pPr>
              <w:pStyle w:val="Heading2"/>
              <w:keepNext/>
              <w:keepLines/>
              <w:spacing w:line="240" w:lineRule="auto"/>
              <w:jc w:val="center"/>
              <w:outlineLvl w:val="1"/>
              <w:rPr>
                <w:rFonts w:ascii="Times New Roman" w:hAnsi="Times New Roman" w:cs="Times New Roman"/>
                <w:bCs/>
                <w:i w:val="0"/>
                <w:sz w:val="16"/>
                <w:szCs w:val="16"/>
              </w:rPr>
            </w:pPr>
            <w:r w:rsidRPr="00380242">
              <w:rPr>
                <w:rFonts w:ascii="Times New Roman" w:hAnsi="Times New Roman" w:cs="Times New Roman"/>
                <w:bCs/>
                <w:i w:val="0"/>
                <w:sz w:val="16"/>
                <w:szCs w:val="16"/>
              </w:rPr>
              <w:t>-0.21</w:t>
            </w:r>
          </w:p>
        </w:tc>
        <w:tc>
          <w:tcPr>
            <w:tcW w:w="990" w:type="dxa"/>
            <w:noWrap/>
            <w:vAlign w:val="center"/>
            <w:hideMark/>
          </w:tcPr>
          <w:p w14:paraId="5D79878A" w14:textId="77777777" w:rsidR="00557DBC" w:rsidRPr="00380242" w:rsidRDefault="00557DBC" w:rsidP="00557DBC">
            <w:pPr>
              <w:pStyle w:val="Heading2"/>
              <w:keepNext/>
              <w:keepLines/>
              <w:spacing w:line="240" w:lineRule="auto"/>
              <w:jc w:val="center"/>
              <w:outlineLvl w:val="1"/>
              <w:rPr>
                <w:rFonts w:ascii="Times New Roman" w:hAnsi="Times New Roman" w:cs="Times New Roman"/>
                <w:bCs/>
                <w:i w:val="0"/>
                <w:sz w:val="16"/>
                <w:szCs w:val="16"/>
              </w:rPr>
            </w:pPr>
            <w:r w:rsidRPr="00380242">
              <w:rPr>
                <w:rFonts w:ascii="Times New Roman" w:hAnsi="Times New Roman" w:cs="Times New Roman"/>
                <w:bCs/>
                <w:i w:val="0"/>
                <w:sz w:val="16"/>
                <w:szCs w:val="16"/>
              </w:rPr>
              <w:t>0.57</w:t>
            </w:r>
          </w:p>
        </w:tc>
        <w:tc>
          <w:tcPr>
            <w:tcW w:w="2160" w:type="dxa"/>
            <w:noWrap/>
            <w:vAlign w:val="center"/>
            <w:hideMark/>
          </w:tcPr>
          <w:p w14:paraId="1A51A3E9" w14:textId="77777777" w:rsidR="00557DBC" w:rsidRPr="00380242"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380242">
              <w:rPr>
                <w:rFonts w:ascii="Times New Roman" w:hAnsi="Times New Roman" w:cs="Times New Roman"/>
                <w:i w:val="0"/>
                <w:sz w:val="16"/>
                <w:szCs w:val="16"/>
              </w:rPr>
              <w:t>Ambiguous Evidence</w:t>
            </w:r>
          </w:p>
        </w:tc>
      </w:tr>
      <w:tr w:rsidR="00557DBC" w:rsidRPr="00412505" w14:paraId="10EE297C" w14:textId="77777777" w:rsidTr="00557DBC">
        <w:trPr>
          <w:trHeight w:val="300"/>
        </w:trPr>
        <w:tc>
          <w:tcPr>
            <w:tcW w:w="1818" w:type="dxa"/>
            <w:vMerge/>
            <w:vAlign w:val="center"/>
            <w:hideMark/>
          </w:tcPr>
          <w:p w14:paraId="185342AC"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p>
        </w:tc>
        <w:tc>
          <w:tcPr>
            <w:tcW w:w="2880" w:type="dxa"/>
            <w:noWrap/>
            <w:vAlign w:val="center"/>
            <w:hideMark/>
          </w:tcPr>
          <w:p w14:paraId="4D31704A"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Obama's 2012 Vote Share</w:t>
            </w:r>
          </w:p>
        </w:tc>
        <w:tc>
          <w:tcPr>
            <w:tcW w:w="1080" w:type="dxa"/>
            <w:noWrap/>
            <w:vAlign w:val="center"/>
            <w:hideMark/>
          </w:tcPr>
          <w:p w14:paraId="7CAD9C5F"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2B54F262"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-0.82</w:t>
            </w:r>
          </w:p>
        </w:tc>
        <w:tc>
          <w:tcPr>
            <w:tcW w:w="990" w:type="dxa"/>
            <w:noWrap/>
            <w:vAlign w:val="center"/>
            <w:hideMark/>
          </w:tcPr>
          <w:p w14:paraId="74E35577"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0.76</w:t>
            </w:r>
          </w:p>
        </w:tc>
        <w:tc>
          <w:tcPr>
            <w:tcW w:w="2160" w:type="dxa"/>
            <w:noWrap/>
            <w:vAlign w:val="center"/>
            <w:hideMark/>
          </w:tcPr>
          <w:p w14:paraId="5052BB74"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Ambiguous Evidence</w:t>
            </w:r>
          </w:p>
        </w:tc>
      </w:tr>
      <w:tr w:rsidR="00557DBC" w:rsidRPr="00412505" w14:paraId="1003A689" w14:textId="77777777" w:rsidTr="00557DBC">
        <w:trPr>
          <w:trHeight w:val="300"/>
        </w:trPr>
        <w:tc>
          <w:tcPr>
            <w:tcW w:w="1818" w:type="dxa"/>
            <w:vMerge/>
            <w:vAlign w:val="center"/>
            <w:hideMark/>
          </w:tcPr>
          <w:p w14:paraId="1BBA3372"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p>
        </w:tc>
        <w:tc>
          <w:tcPr>
            <w:tcW w:w="2880" w:type="dxa"/>
            <w:noWrap/>
            <w:vAlign w:val="center"/>
            <w:hideMark/>
          </w:tcPr>
          <w:p w14:paraId="51545522"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Obama Victory in 2012</w:t>
            </w:r>
          </w:p>
        </w:tc>
        <w:tc>
          <w:tcPr>
            <w:tcW w:w="1080" w:type="dxa"/>
            <w:noWrap/>
            <w:vAlign w:val="center"/>
            <w:hideMark/>
          </w:tcPr>
          <w:p w14:paraId="2B52E673"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265F8F3D"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-1.85</w:t>
            </w:r>
          </w:p>
        </w:tc>
        <w:tc>
          <w:tcPr>
            <w:tcW w:w="990" w:type="dxa"/>
            <w:noWrap/>
            <w:vAlign w:val="center"/>
            <w:hideMark/>
          </w:tcPr>
          <w:p w14:paraId="3B06D93F"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0.94</w:t>
            </w:r>
          </w:p>
        </w:tc>
        <w:tc>
          <w:tcPr>
            <w:tcW w:w="2160" w:type="dxa"/>
            <w:noWrap/>
            <w:vAlign w:val="center"/>
            <w:hideMark/>
          </w:tcPr>
          <w:p w14:paraId="10C927AC"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Moderate Evidence in Favor</w:t>
            </w:r>
          </w:p>
        </w:tc>
      </w:tr>
      <w:tr w:rsidR="00557DBC" w:rsidRPr="00412505" w14:paraId="60AF7DB5" w14:textId="77777777" w:rsidTr="00557DBC">
        <w:trPr>
          <w:trHeight w:val="300"/>
        </w:trPr>
        <w:tc>
          <w:tcPr>
            <w:tcW w:w="1818" w:type="dxa"/>
            <w:vMerge/>
            <w:vAlign w:val="center"/>
            <w:hideMark/>
          </w:tcPr>
          <w:p w14:paraId="7718A052"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p>
        </w:tc>
        <w:tc>
          <w:tcPr>
            <w:tcW w:w="2880" w:type="dxa"/>
            <w:noWrap/>
            <w:vAlign w:val="center"/>
            <w:hideMark/>
          </w:tcPr>
          <w:p w14:paraId="06CB5FBB"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State Ideology</w:t>
            </w:r>
          </w:p>
        </w:tc>
        <w:tc>
          <w:tcPr>
            <w:tcW w:w="1080" w:type="dxa"/>
            <w:noWrap/>
            <w:vAlign w:val="center"/>
            <w:hideMark/>
          </w:tcPr>
          <w:p w14:paraId="432438D0"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5FA46006"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2.33</w:t>
            </w:r>
          </w:p>
        </w:tc>
        <w:tc>
          <w:tcPr>
            <w:tcW w:w="990" w:type="dxa"/>
            <w:noWrap/>
            <w:vAlign w:val="center"/>
            <w:hideMark/>
          </w:tcPr>
          <w:p w14:paraId="4004A590"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0.92</w:t>
            </w:r>
          </w:p>
        </w:tc>
        <w:tc>
          <w:tcPr>
            <w:tcW w:w="2160" w:type="dxa"/>
            <w:noWrap/>
            <w:vAlign w:val="center"/>
            <w:hideMark/>
          </w:tcPr>
          <w:p w14:paraId="0D5067EC"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Moderate Evidence in Favor</w:t>
            </w:r>
          </w:p>
        </w:tc>
      </w:tr>
      <w:tr w:rsidR="00557DBC" w:rsidRPr="00412505" w14:paraId="7C29F42F" w14:textId="77777777" w:rsidTr="00557DBC">
        <w:trPr>
          <w:trHeight w:val="300"/>
        </w:trPr>
        <w:tc>
          <w:tcPr>
            <w:tcW w:w="1818" w:type="dxa"/>
            <w:vMerge/>
            <w:vAlign w:val="center"/>
            <w:hideMark/>
          </w:tcPr>
          <w:p w14:paraId="477672B4"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p>
        </w:tc>
        <w:tc>
          <w:tcPr>
            <w:tcW w:w="2880" w:type="dxa"/>
            <w:noWrap/>
            <w:vAlign w:val="center"/>
            <w:hideMark/>
          </w:tcPr>
          <w:p w14:paraId="261B3716"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Percent Supporting Medicaid Expansion</w:t>
            </w:r>
          </w:p>
        </w:tc>
        <w:tc>
          <w:tcPr>
            <w:tcW w:w="1080" w:type="dxa"/>
            <w:noWrap/>
            <w:vAlign w:val="center"/>
            <w:hideMark/>
          </w:tcPr>
          <w:p w14:paraId="7D1D1CB5"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60E34429"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1.01</w:t>
            </w:r>
          </w:p>
        </w:tc>
        <w:tc>
          <w:tcPr>
            <w:tcW w:w="990" w:type="dxa"/>
            <w:noWrap/>
            <w:vAlign w:val="center"/>
            <w:hideMark/>
          </w:tcPr>
          <w:p w14:paraId="09BAD534"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0.17</w:t>
            </w:r>
          </w:p>
        </w:tc>
        <w:tc>
          <w:tcPr>
            <w:tcW w:w="2160" w:type="dxa"/>
            <w:noWrap/>
            <w:vAlign w:val="center"/>
            <w:hideMark/>
          </w:tcPr>
          <w:p w14:paraId="5F91EC7A"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Ambiguous Evidence</w:t>
            </w:r>
          </w:p>
        </w:tc>
      </w:tr>
      <w:tr w:rsidR="00557DBC" w:rsidRPr="00412505" w14:paraId="585BCCBB" w14:textId="77777777" w:rsidTr="00557DBC">
        <w:trPr>
          <w:trHeight w:val="300"/>
        </w:trPr>
        <w:tc>
          <w:tcPr>
            <w:tcW w:w="1818" w:type="dxa"/>
            <w:vMerge/>
            <w:vAlign w:val="center"/>
            <w:hideMark/>
          </w:tcPr>
          <w:p w14:paraId="7089B68B"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p>
        </w:tc>
        <w:tc>
          <w:tcPr>
            <w:tcW w:w="2880" w:type="dxa"/>
            <w:noWrap/>
            <w:vAlign w:val="center"/>
            <w:hideMark/>
          </w:tcPr>
          <w:p w14:paraId="6E2CDBEB"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Percent Supporting Tea Party</w:t>
            </w:r>
          </w:p>
        </w:tc>
        <w:tc>
          <w:tcPr>
            <w:tcW w:w="1080" w:type="dxa"/>
            <w:noWrap/>
            <w:vAlign w:val="center"/>
            <w:hideMark/>
          </w:tcPr>
          <w:p w14:paraId="49FDB617"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253F639A"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1.09</w:t>
            </w:r>
          </w:p>
        </w:tc>
        <w:tc>
          <w:tcPr>
            <w:tcW w:w="990" w:type="dxa"/>
            <w:noWrap/>
            <w:vAlign w:val="center"/>
            <w:hideMark/>
          </w:tcPr>
          <w:p w14:paraId="0BDCDD38"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0.82</w:t>
            </w:r>
          </w:p>
        </w:tc>
        <w:tc>
          <w:tcPr>
            <w:tcW w:w="2160" w:type="dxa"/>
            <w:noWrap/>
            <w:vAlign w:val="center"/>
            <w:hideMark/>
          </w:tcPr>
          <w:p w14:paraId="331F71C1"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Ambiguous Evidence</w:t>
            </w:r>
          </w:p>
        </w:tc>
      </w:tr>
      <w:tr w:rsidR="00557DBC" w:rsidRPr="00412505" w14:paraId="277CB6F5" w14:textId="77777777" w:rsidTr="00557DBC">
        <w:trPr>
          <w:trHeight w:val="300"/>
        </w:trPr>
        <w:tc>
          <w:tcPr>
            <w:tcW w:w="1818" w:type="dxa"/>
            <w:vMerge w:val="restart"/>
            <w:noWrap/>
            <w:vAlign w:val="center"/>
            <w:hideMark/>
          </w:tcPr>
          <w:p w14:paraId="54CA170C"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Legislative Composition</w:t>
            </w:r>
          </w:p>
        </w:tc>
        <w:tc>
          <w:tcPr>
            <w:tcW w:w="2880" w:type="dxa"/>
            <w:noWrap/>
            <w:vAlign w:val="center"/>
            <w:hideMark/>
          </w:tcPr>
          <w:p w14:paraId="67E2FD86" w14:textId="77777777" w:rsidR="00557DBC" w:rsidRPr="00380242" w:rsidRDefault="00557DBC" w:rsidP="00557DBC">
            <w:pPr>
              <w:pStyle w:val="Heading2"/>
              <w:keepNext/>
              <w:keepLines/>
              <w:spacing w:line="240" w:lineRule="auto"/>
              <w:jc w:val="center"/>
              <w:outlineLvl w:val="1"/>
              <w:rPr>
                <w:rFonts w:ascii="Times New Roman" w:hAnsi="Times New Roman" w:cs="Times New Roman"/>
                <w:sz w:val="16"/>
                <w:szCs w:val="16"/>
              </w:rPr>
            </w:pPr>
            <w:r w:rsidRPr="00380242">
              <w:rPr>
                <w:rFonts w:ascii="Times New Roman" w:hAnsi="Times New Roman" w:cs="Times New Roman"/>
                <w:sz w:val="16"/>
                <w:szCs w:val="16"/>
              </w:rPr>
              <w:t>GOP Controls Both House and Senate</w:t>
            </w:r>
          </w:p>
        </w:tc>
        <w:tc>
          <w:tcPr>
            <w:tcW w:w="1080" w:type="dxa"/>
            <w:noWrap/>
            <w:vAlign w:val="center"/>
            <w:hideMark/>
          </w:tcPr>
          <w:p w14:paraId="0A24F98A"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Pr>
                <w:rFonts w:ascii="Times New Roman" w:hAnsi="Times New Roman" w:cs="Times New Roman"/>
                <w:i w:val="0"/>
                <w:sz w:val="16"/>
                <w:szCs w:val="16"/>
              </w:rPr>
              <w:t>+</w:t>
            </w:r>
          </w:p>
        </w:tc>
        <w:tc>
          <w:tcPr>
            <w:tcW w:w="900" w:type="dxa"/>
            <w:noWrap/>
            <w:vAlign w:val="center"/>
            <w:hideMark/>
          </w:tcPr>
          <w:p w14:paraId="4785E046"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Pr>
                <w:rFonts w:ascii="Times New Roman" w:hAnsi="Times New Roman" w:cs="Times New Roman"/>
                <w:i w:val="0"/>
                <w:sz w:val="16"/>
                <w:szCs w:val="16"/>
              </w:rPr>
              <w:t>2.31</w:t>
            </w:r>
          </w:p>
        </w:tc>
        <w:tc>
          <w:tcPr>
            <w:tcW w:w="990" w:type="dxa"/>
            <w:noWrap/>
            <w:vAlign w:val="center"/>
            <w:hideMark/>
          </w:tcPr>
          <w:p w14:paraId="75F9BFA8"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Pr>
                <w:rFonts w:ascii="Times New Roman" w:hAnsi="Times New Roman" w:cs="Times New Roman"/>
                <w:i w:val="0"/>
                <w:sz w:val="16"/>
                <w:szCs w:val="16"/>
              </w:rPr>
              <w:t>0.97</w:t>
            </w:r>
          </w:p>
        </w:tc>
        <w:tc>
          <w:tcPr>
            <w:tcW w:w="2160" w:type="dxa"/>
            <w:noWrap/>
            <w:vAlign w:val="center"/>
            <w:hideMark/>
          </w:tcPr>
          <w:p w14:paraId="093A9542"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Pr>
                <w:rFonts w:ascii="Times New Roman" w:hAnsi="Times New Roman" w:cs="Times New Roman"/>
                <w:i w:val="0"/>
                <w:sz w:val="16"/>
                <w:szCs w:val="16"/>
              </w:rPr>
              <w:t>Strong Evidence</w:t>
            </w:r>
          </w:p>
        </w:tc>
      </w:tr>
      <w:tr w:rsidR="00557DBC" w:rsidRPr="00412505" w14:paraId="0B7E6FD5" w14:textId="77777777" w:rsidTr="00557DBC">
        <w:trPr>
          <w:trHeight w:val="300"/>
        </w:trPr>
        <w:tc>
          <w:tcPr>
            <w:tcW w:w="1818" w:type="dxa"/>
            <w:vMerge/>
            <w:vAlign w:val="center"/>
            <w:hideMark/>
          </w:tcPr>
          <w:p w14:paraId="76838E65"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p>
        </w:tc>
        <w:tc>
          <w:tcPr>
            <w:tcW w:w="2880" w:type="dxa"/>
            <w:noWrap/>
            <w:vAlign w:val="center"/>
            <w:hideMark/>
          </w:tcPr>
          <w:p w14:paraId="2FFABE24"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GOP House</w:t>
            </w:r>
          </w:p>
        </w:tc>
        <w:tc>
          <w:tcPr>
            <w:tcW w:w="1080" w:type="dxa"/>
            <w:noWrap/>
            <w:vAlign w:val="center"/>
            <w:hideMark/>
          </w:tcPr>
          <w:p w14:paraId="415D31E3"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2F4F9DE5"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6.48</w:t>
            </w:r>
          </w:p>
        </w:tc>
        <w:tc>
          <w:tcPr>
            <w:tcW w:w="990" w:type="dxa"/>
            <w:noWrap/>
            <w:vAlign w:val="center"/>
            <w:hideMark/>
          </w:tcPr>
          <w:p w14:paraId="1C691829"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1.00</w:t>
            </w:r>
          </w:p>
        </w:tc>
        <w:tc>
          <w:tcPr>
            <w:tcW w:w="2160" w:type="dxa"/>
            <w:noWrap/>
            <w:vAlign w:val="center"/>
            <w:hideMark/>
          </w:tcPr>
          <w:p w14:paraId="06D098B1"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Strong Evidence in Favor</w:t>
            </w:r>
          </w:p>
        </w:tc>
      </w:tr>
      <w:tr w:rsidR="00557DBC" w:rsidRPr="00412505" w14:paraId="73545BBA" w14:textId="77777777" w:rsidTr="00557DBC">
        <w:trPr>
          <w:trHeight w:val="300"/>
        </w:trPr>
        <w:tc>
          <w:tcPr>
            <w:tcW w:w="1818" w:type="dxa"/>
            <w:vMerge/>
            <w:vAlign w:val="center"/>
            <w:hideMark/>
          </w:tcPr>
          <w:p w14:paraId="0C94F455"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p>
        </w:tc>
        <w:tc>
          <w:tcPr>
            <w:tcW w:w="2880" w:type="dxa"/>
            <w:noWrap/>
            <w:vAlign w:val="center"/>
            <w:hideMark/>
          </w:tcPr>
          <w:p w14:paraId="496E0BF6"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GOP Senate</w:t>
            </w:r>
          </w:p>
        </w:tc>
        <w:tc>
          <w:tcPr>
            <w:tcW w:w="1080" w:type="dxa"/>
            <w:noWrap/>
            <w:vAlign w:val="center"/>
            <w:hideMark/>
          </w:tcPr>
          <w:p w14:paraId="1DCDC738"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7A606391"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2.17</w:t>
            </w:r>
          </w:p>
        </w:tc>
        <w:tc>
          <w:tcPr>
            <w:tcW w:w="990" w:type="dxa"/>
            <w:noWrap/>
            <w:vAlign w:val="center"/>
            <w:hideMark/>
          </w:tcPr>
          <w:p w14:paraId="5ED8A2AB"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0.97</w:t>
            </w:r>
          </w:p>
        </w:tc>
        <w:tc>
          <w:tcPr>
            <w:tcW w:w="2160" w:type="dxa"/>
            <w:noWrap/>
            <w:vAlign w:val="center"/>
            <w:hideMark/>
          </w:tcPr>
          <w:p w14:paraId="37E550AA" w14:textId="77777777" w:rsidR="00557DBC" w:rsidRPr="00412505"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Strong Evidence in Favor</w:t>
            </w:r>
          </w:p>
        </w:tc>
      </w:tr>
      <w:tr w:rsidR="00557DBC" w:rsidRPr="00FA1C30" w14:paraId="7F12EB7B" w14:textId="77777777" w:rsidTr="00557DBC">
        <w:trPr>
          <w:trHeight w:val="300"/>
        </w:trPr>
        <w:tc>
          <w:tcPr>
            <w:tcW w:w="1818" w:type="dxa"/>
            <w:vMerge/>
            <w:vAlign w:val="center"/>
            <w:hideMark/>
          </w:tcPr>
          <w:p w14:paraId="064FE3D6"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p>
        </w:tc>
        <w:tc>
          <w:tcPr>
            <w:tcW w:w="2880" w:type="dxa"/>
            <w:noWrap/>
            <w:vAlign w:val="center"/>
            <w:hideMark/>
          </w:tcPr>
          <w:p w14:paraId="41E4468F" w14:textId="77777777" w:rsidR="00557DBC"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GOP House</w:t>
            </w:r>
          </w:p>
          <w:p w14:paraId="6D73B02B"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 xml:space="preserve">GOP Senate </w:t>
            </w:r>
          </w:p>
          <w:p w14:paraId="0A3A41C2"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w:t>
            </w:r>
            <w:proofErr w:type="gramStart"/>
            <w:r w:rsidRPr="00FA1C30">
              <w:rPr>
                <w:rFonts w:ascii="Times New Roman" w:hAnsi="Times New Roman" w:cs="Times New Roman"/>
                <w:i w:val="0"/>
                <w:sz w:val="16"/>
                <w:szCs w:val="16"/>
              </w:rPr>
              <w:t>as</w:t>
            </w:r>
            <w:proofErr w:type="gramEnd"/>
            <w:r w:rsidRPr="00FA1C30">
              <w:rPr>
                <w:rFonts w:ascii="Times New Roman" w:hAnsi="Times New Roman" w:cs="Times New Roman"/>
                <w:i w:val="0"/>
                <w:sz w:val="16"/>
                <w:szCs w:val="16"/>
              </w:rPr>
              <w:t xml:space="preserve"> separate variables in the model)</w:t>
            </w:r>
          </w:p>
        </w:tc>
        <w:tc>
          <w:tcPr>
            <w:tcW w:w="1080" w:type="dxa"/>
            <w:noWrap/>
            <w:vAlign w:val="center"/>
            <w:hideMark/>
          </w:tcPr>
          <w:p w14:paraId="77F964BF"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w:t>
            </w:r>
          </w:p>
          <w:p w14:paraId="359AF936"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w:t>
            </w:r>
          </w:p>
        </w:tc>
        <w:tc>
          <w:tcPr>
            <w:tcW w:w="900" w:type="dxa"/>
            <w:noWrap/>
            <w:vAlign w:val="center"/>
            <w:hideMark/>
          </w:tcPr>
          <w:p w14:paraId="15574FFB"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6.44</w:t>
            </w:r>
          </w:p>
          <w:p w14:paraId="51A40EF9"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0.21</w:t>
            </w:r>
          </w:p>
        </w:tc>
        <w:tc>
          <w:tcPr>
            <w:tcW w:w="990" w:type="dxa"/>
            <w:noWrap/>
            <w:vAlign w:val="center"/>
            <w:hideMark/>
          </w:tcPr>
          <w:p w14:paraId="1DDF488A"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0.98</w:t>
            </w:r>
          </w:p>
          <w:p w14:paraId="19EEA70F"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0.55</w:t>
            </w:r>
          </w:p>
        </w:tc>
        <w:tc>
          <w:tcPr>
            <w:tcW w:w="2160" w:type="dxa"/>
            <w:noWrap/>
            <w:vAlign w:val="center"/>
            <w:hideMark/>
          </w:tcPr>
          <w:p w14:paraId="738BA484"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rFonts w:ascii="Times New Roman" w:hAnsi="Times New Roman" w:cs="Times New Roman"/>
                <w:i w:val="0"/>
                <w:sz w:val="16"/>
                <w:szCs w:val="16"/>
              </w:rPr>
              <w:t>Strong Evidence in Favor</w:t>
            </w:r>
          </w:p>
          <w:p w14:paraId="4F335363" w14:textId="77777777" w:rsidR="00557DBC" w:rsidRPr="00FA1C30" w:rsidRDefault="00557DBC" w:rsidP="00557DBC">
            <w:pPr>
              <w:pStyle w:val="Heading2"/>
              <w:keepNext/>
              <w:keepLines/>
              <w:spacing w:line="240" w:lineRule="auto"/>
              <w:jc w:val="center"/>
              <w:outlineLvl w:val="1"/>
              <w:rPr>
                <w:rFonts w:ascii="Times New Roman" w:hAnsi="Times New Roman" w:cs="Times New Roman"/>
                <w:i w:val="0"/>
                <w:sz w:val="16"/>
                <w:szCs w:val="16"/>
              </w:rPr>
            </w:pPr>
            <w:r w:rsidRPr="00FA1C30">
              <w:rPr>
                <w:i w:val="0"/>
                <w:sz w:val="16"/>
                <w:szCs w:val="16"/>
              </w:rPr>
              <w:t>Ambiguous Evidence</w:t>
            </w:r>
          </w:p>
        </w:tc>
      </w:tr>
      <w:tr w:rsidR="00557DBC" w:rsidRPr="00412505" w14:paraId="797852E4" w14:textId="77777777" w:rsidTr="00557DBC">
        <w:trPr>
          <w:trHeight w:val="300"/>
        </w:trPr>
        <w:tc>
          <w:tcPr>
            <w:tcW w:w="1818" w:type="dxa"/>
            <w:vMerge w:val="restart"/>
            <w:noWrap/>
            <w:vAlign w:val="center"/>
            <w:hideMark/>
          </w:tcPr>
          <w:p w14:paraId="13E0CAD1"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Need</w:t>
            </w:r>
          </w:p>
        </w:tc>
        <w:tc>
          <w:tcPr>
            <w:tcW w:w="2880" w:type="dxa"/>
            <w:noWrap/>
            <w:vAlign w:val="center"/>
            <w:hideMark/>
          </w:tcPr>
          <w:p w14:paraId="31D17497" w14:textId="77777777" w:rsidR="00557DBC" w:rsidRPr="00380242" w:rsidRDefault="00557DBC" w:rsidP="00557DBC">
            <w:pPr>
              <w:pStyle w:val="Heading2"/>
              <w:keepNext/>
              <w:keepLines/>
              <w:jc w:val="center"/>
              <w:outlineLvl w:val="1"/>
              <w:rPr>
                <w:rFonts w:ascii="Times New Roman" w:hAnsi="Times New Roman" w:cs="Times New Roman"/>
                <w:sz w:val="16"/>
                <w:szCs w:val="16"/>
              </w:rPr>
            </w:pPr>
            <w:r w:rsidRPr="00380242">
              <w:rPr>
                <w:rFonts w:ascii="Times New Roman" w:hAnsi="Times New Roman" w:cs="Times New Roman"/>
                <w:sz w:val="16"/>
                <w:szCs w:val="16"/>
              </w:rPr>
              <w:t>Percent Without Health Insurance</w:t>
            </w:r>
          </w:p>
        </w:tc>
        <w:tc>
          <w:tcPr>
            <w:tcW w:w="1080" w:type="dxa"/>
            <w:noWrap/>
            <w:vAlign w:val="center"/>
            <w:hideMark/>
          </w:tcPr>
          <w:p w14:paraId="4B729554"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Pr>
                <w:rFonts w:ascii="Times New Roman" w:hAnsi="Times New Roman" w:cs="Times New Roman"/>
                <w:i w:val="0"/>
                <w:sz w:val="16"/>
                <w:szCs w:val="16"/>
              </w:rPr>
              <w:t>-</w:t>
            </w:r>
          </w:p>
        </w:tc>
        <w:tc>
          <w:tcPr>
            <w:tcW w:w="900" w:type="dxa"/>
            <w:noWrap/>
            <w:vAlign w:val="center"/>
            <w:hideMark/>
          </w:tcPr>
          <w:p w14:paraId="05D79481"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Pr>
                <w:rFonts w:ascii="Times New Roman" w:hAnsi="Times New Roman" w:cs="Times New Roman"/>
                <w:i w:val="0"/>
                <w:sz w:val="16"/>
                <w:szCs w:val="16"/>
              </w:rPr>
              <w:t>0.91</w:t>
            </w:r>
          </w:p>
        </w:tc>
        <w:tc>
          <w:tcPr>
            <w:tcW w:w="990" w:type="dxa"/>
            <w:noWrap/>
            <w:vAlign w:val="center"/>
            <w:hideMark/>
          </w:tcPr>
          <w:p w14:paraId="3A68DC4D"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Pr>
                <w:rFonts w:ascii="Times New Roman" w:hAnsi="Times New Roman" w:cs="Times New Roman"/>
                <w:i w:val="0"/>
                <w:sz w:val="16"/>
                <w:szCs w:val="16"/>
              </w:rPr>
              <w:t>0.25</w:t>
            </w:r>
          </w:p>
        </w:tc>
        <w:tc>
          <w:tcPr>
            <w:tcW w:w="2160" w:type="dxa"/>
            <w:noWrap/>
            <w:vAlign w:val="center"/>
            <w:hideMark/>
          </w:tcPr>
          <w:p w14:paraId="63D83BBB"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Pr>
                <w:rFonts w:ascii="Times New Roman" w:hAnsi="Times New Roman" w:cs="Times New Roman"/>
                <w:i w:val="0"/>
                <w:sz w:val="16"/>
                <w:szCs w:val="16"/>
              </w:rPr>
              <w:t>Ambiguous Evidence</w:t>
            </w:r>
          </w:p>
        </w:tc>
      </w:tr>
      <w:tr w:rsidR="00557DBC" w:rsidRPr="00412505" w14:paraId="72E22753" w14:textId="77777777" w:rsidTr="00557DBC">
        <w:trPr>
          <w:trHeight w:val="300"/>
        </w:trPr>
        <w:tc>
          <w:tcPr>
            <w:tcW w:w="1818" w:type="dxa"/>
            <w:vMerge/>
            <w:vAlign w:val="center"/>
            <w:hideMark/>
          </w:tcPr>
          <w:p w14:paraId="1810EC7E"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p>
        </w:tc>
        <w:tc>
          <w:tcPr>
            <w:tcW w:w="2880" w:type="dxa"/>
            <w:noWrap/>
            <w:vAlign w:val="center"/>
            <w:hideMark/>
          </w:tcPr>
          <w:p w14:paraId="5C4D5465"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DSH Payments per Capita</w:t>
            </w:r>
          </w:p>
        </w:tc>
        <w:tc>
          <w:tcPr>
            <w:tcW w:w="1080" w:type="dxa"/>
            <w:noWrap/>
            <w:vAlign w:val="center"/>
            <w:hideMark/>
          </w:tcPr>
          <w:p w14:paraId="1DAB907E"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59D2F788"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1.21</w:t>
            </w:r>
          </w:p>
        </w:tc>
        <w:tc>
          <w:tcPr>
            <w:tcW w:w="990" w:type="dxa"/>
            <w:noWrap/>
            <w:vAlign w:val="center"/>
            <w:hideMark/>
          </w:tcPr>
          <w:p w14:paraId="0D6EFA5F"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0.10</w:t>
            </w:r>
          </w:p>
        </w:tc>
        <w:tc>
          <w:tcPr>
            <w:tcW w:w="2160" w:type="dxa"/>
            <w:noWrap/>
            <w:vAlign w:val="center"/>
            <w:hideMark/>
          </w:tcPr>
          <w:p w14:paraId="7587B971"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Moderate Evidence Against</w:t>
            </w:r>
          </w:p>
        </w:tc>
      </w:tr>
      <w:tr w:rsidR="00557DBC" w:rsidRPr="00412505" w14:paraId="6DAECAE5" w14:textId="77777777" w:rsidTr="00557DBC">
        <w:trPr>
          <w:trHeight w:val="300"/>
        </w:trPr>
        <w:tc>
          <w:tcPr>
            <w:tcW w:w="1818" w:type="dxa"/>
            <w:vMerge/>
            <w:vAlign w:val="center"/>
            <w:hideMark/>
          </w:tcPr>
          <w:p w14:paraId="690B7DFB"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p>
        </w:tc>
        <w:tc>
          <w:tcPr>
            <w:tcW w:w="2880" w:type="dxa"/>
            <w:noWrap/>
            <w:vAlign w:val="center"/>
            <w:hideMark/>
          </w:tcPr>
          <w:p w14:paraId="78ECF67F"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Percent Below 138% Poverty</w:t>
            </w:r>
          </w:p>
        </w:tc>
        <w:tc>
          <w:tcPr>
            <w:tcW w:w="1080" w:type="dxa"/>
            <w:noWrap/>
            <w:vAlign w:val="center"/>
            <w:hideMark/>
          </w:tcPr>
          <w:p w14:paraId="35B9710E"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2632F6EF"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0.53</w:t>
            </w:r>
          </w:p>
        </w:tc>
        <w:tc>
          <w:tcPr>
            <w:tcW w:w="990" w:type="dxa"/>
            <w:noWrap/>
            <w:vAlign w:val="center"/>
            <w:hideMark/>
          </w:tcPr>
          <w:p w14:paraId="0C38084B"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0.35</w:t>
            </w:r>
          </w:p>
        </w:tc>
        <w:tc>
          <w:tcPr>
            <w:tcW w:w="2160" w:type="dxa"/>
            <w:noWrap/>
            <w:vAlign w:val="center"/>
            <w:hideMark/>
          </w:tcPr>
          <w:p w14:paraId="5CA2D413"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Ambiguous Evidence</w:t>
            </w:r>
          </w:p>
        </w:tc>
      </w:tr>
      <w:tr w:rsidR="00557DBC" w:rsidRPr="00412505" w14:paraId="26CF2E1B" w14:textId="77777777" w:rsidTr="00557DBC">
        <w:trPr>
          <w:trHeight w:val="300"/>
        </w:trPr>
        <w:tc>
          <w:tcPr>
            <w:tcW w:w="1818" w:type="dxa"/>
            <w:vMerge/>
            <w:vAlign w:val="center"/>
            <w:hideMark/>
          </w:tcPr>
          <w:p w14:paraId="65AAA5E8"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p>
        </w:tc>
        <w:tc>
          <w:tcPr>
            <w:tcW w:w="2880" w:type="dxa"/>
            <w:noWrap/>
            <w:vAlign w:val="center"/>
            <w:hideMark/>
          </w:tcPr>
          <w:p w14:paraId="5EAB92B7"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Low Birth</w:t>
            </w:r>
            <w:r>
              <w:rPr>
                <w:rFonts w:ascii="Times New Roman" w:hAnsi="Times New Roman" w:cs="Times New Roman"/>
                <w:i w:val="0"/>
                <w:sz w:val="16"/>
                <w:szCs w:val="16"/>
              </w:rPr>
              <w:t xml:space="preserve"> W</w:t>
            </w:r>
            <w:r w:rsidRPr="00412505">
              <w:rPr>
                <w:rFonts w:ascii="Times New Roman" w:hAnsi="Times New Roman" w:cs="Times New Roman"/>
                <w:i w:val="0"/>
                <w:sz w:val="16"/>
                <w:szCs w:val="16"/>
              </w:rPr>
              <w:t>eight</w:t>
            </w:r>
          </w:p>
        </w:tc>
        <w:tc>
          <w:tcPr>
            <w:tcW w:w="1080" w:type="dxa"/>
            <w:noWrap/>
            <w:vAlign w:val="center"/>
            <w:hideMark/>
          </w:tcPr>
          <w:p w14:paraId="772863B9"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6386A9F7"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2.76</w:t>
            </w:r>
          </w:p>
        </w:tc>
        <w:tc>
          <w:tcPr>
            <w:tcW w:w="990" w:type="dxa"/>
            <w:noWrap/>
            <w:vAlign w:val="center"/>
            <w:hideMark/>
          </w:tcPr>
          <w:p w14:paraId="40334903"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0.02</w:t>
            </w:r>
          </w:p>
        </w:tc>
        <w:tc>
          <w:tcPr>
            <w:tcW w:w="2160" w:type="dxa"/>
            <w:noWrap/>
            <w:vAlign w:val="center"/>
            <w:hideMark/>
          </w:tcPr>
          <w:p w14:paraId="0A84E198"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Strong Evidence Against</w:t>
            </w:r>
          </w:p>
        </w:tc>
      </w:tr>
      <w:tr w:rsidR="00557DBC" w:rsidRPr="00412505" w14:paraId="54EA0E38" w14:textId="77777777" w:rsidTr="00557DBC">
        <w:trPr>
          <w:trHeight w:val="300"/>
        </w:trPr>
        <w:tc>
          <w:tcPr>
            <w:tcW w:w="1818" w:type="dxa"/>
            <w:vMerge/>
            <w:vAlign w:val="center"/>
            <w:hideMark/>
          </w:tcPr>
          <w:p w14:paraId="752889E3"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p>
        </w:tc>
        <w:tc>
          <w:tcPr>
            <w:tcW w:w="2880" w:type="dxa"/>
            <w:noWrap/>
            <w:vAlign w:val="center"/>
            <w:hideMark/>
          </w:tcPr>
          <w:p w14:paraId="2F3EBFA1"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Heart Disease Death Rate</w:t>
            </w:r>
          </w:p>
        </w:tc>
        <w:tc>
          <w:tcPr>
            <w:tcW w:w="1080" w:type="dxa"/>
            <w:noWrap/>
            <w:vAlign w:val="center"/>
            <w:hideMark/>
          </w:tcPr>
          <w:p w14:paraId="154A4833"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5DC095A8"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1.23</w:t>
            </w:r>
          </w:p>
        </w:tc>
        <w:tc>
          <w:tcPr>
            <w:tcW w:w="990" w:type="dxa"/>
            <w:noWrap/>
            <w:vAlign w:val="center"/>
            <w:hideMark/>
          </w:tcPr>
          <w:p w14:paraId="403A32A9"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0.09</w:t>
            </w:r>
          </w:p>
        </w:tc>
        <w:tc>
          <w:tcPr>
            <w:tcW w:w="2160" w:type="dxa"/>
            <w:noWrap/>
            <w:vAlign w:val="center"/>
            <w:hideMark/>
          </w:tcPr>
          <w:p w14:paraId="13B65510"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Moderate Evidence Against</w:t>
            </w:r>
          </w:p>
        </w:tc>
      </w:tr>
      <w:tr w:rsidR="00557DBC" w:rsidRPr="00412505" w14:paraId="70EEA2E9" w14:textId="77777777" w:rsidTr="00557DBC">
        <w:trPr>
          <w:trHeight w:val="300"/>
        </w:trPr>
        <w:tc>
          <w:tcPr>
            <w:tcW w:w="1818" w:type="dxa"/>
            <w:vMerge/>
            <w:vAlign w:val="center"/>
            <w:hideMark/>
          </w:tcPr>
          <w:p w14:paraId="32305828"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p>
        </w:tc>
        <w:tc>
          <w:tcPr>
            <w:tcW w:w="2880" w:type="dxa"/>
            <w:noWrap/>
            <w:vAlign w:val="center"/>
            <w:hideMark/>
          </w:tcPr>
          <w:p w14:paraId="03B2B9E5"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Life Expectancy</w:t>
            </w:r>
          </w:p>
        </w:tc>
        <w:tc>
          <w:tcPr>
            <w:tcW w:w="1080" w:type="dxa"/>
            <w:noWrap/>
            <w:vAlign w:val="center"/>
            <w:hideMark/>
          </w:tcPr>
          <w:p w14:paraId="7A9244FA"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w:t>
            </w:r>
          </w:p>
        </w:tc>
        <w:tc>
          <w:tcPr>
            <w:tcW w:w="900" w:type="dxa"/>
            <w:noWrap/>
            <w:vAlign w:val="center"/>
            <w:hideMark/>
          </w:tcPr>
          <w:p w14:paraId="586D3343"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-1.50</w:t>
            </w:r>
          </w:p>
        </w:tc>
        <w:tc>
          <w:tcPr>
            <w:tcW w:w="990" w:type="dxa"/>
            <w:noWrap/>
            <w:vAlign w:val="center"/>
            <w:hideMark/>
          </w:tcPr>
          <w:p w14:paraId="705488B3"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0.09</w:t>
            </w:r>
          </w:p>
        </w:tc>
        <w:tc>
          <w:tcPr>
            <w:tcW w:w="2160" w:type="dxa"/>
            <w:noWrap/>
            <w:vAlign w:val="center"/>
            <w:hideMark/>
          </w:tcPr>
          <w:p w14:paraId="760D226D" w14:textId="77777777" w:rsidR="00557DBC" w:rsidRPr="00412505" w:rsidRDefault="00557DBC" w:rsidP="00557DBC">
            <w:pPr>
              <w:pStyle w:val="Heading2"/>
              <w:keepNext/>
              <w:keepLines/>
              <w:jc w:val="center"/>
              <w:outlineLvl w:val="1"/>
              <w:rPr>
                <w:rFonts w:ascii="Times New Roman" w:hAnsi="Times New Roman" w:cs="Times New Roman"/>
                <w:i w:val="0"/>
                <w:sz w:val="16"/>
                <w:szCs w:val="16"/>
              </w:rPr>
            </w:pPr>
            <w:r w:rsidRPr="00412505">
              <w:rPr>
                <w:rFonts w:ascii="Times New Roman" w:hAnsi="Times New Roman" w:cs="Times New Roman"/>
                <w:i w:val="0"/>
                <w:sz w:val="16"/>
                <w:szCs w:val="16"/>
              </w:rPr>
              <w:t>Moderate Evidence Against</w:t>
            </w:r>
          </w:p>
        </w:tc>
      </w:tr>
    </w:tbl>
    <w:p w14:paraId="3CE3BDB2" w14:textId="5637B082" w:rsidR="00557DBC" w:rsidRDefault="00557DBC" w:rsidP="00604BFA">
      <w:pPr>
        <w:pStyle w:val="TableFigureNote"/>
      </w:pPr>
      <w:r>
        <w:t>Note: The original measures appear in italics. Notice that the evidence for the Public Opinion Hypothesis is generally weak, though correctly signed except for the percent supporting the Medicaid expansion. The evidence for the Legislative Composition Hypothesis remains consistent with the estimates, though it seems that the state house matters more than the state senate. Finally, and more importantly, notice that all the measures of need are incorrectly signed and, in most some cases, we have moderate to strong evidence against the hypothesis. Thus, it seems that governors of states in greater need are more likely to oppose the expansion.</w:t>
      </w:r>
    </w:p>
    <w:p w14:paraId="718F56AF" w14:textId="77777777" w:rsidR="00557DBC" w:rsidRDefault="00557DBC">
      <w:pPr>
        <w:widowControl/>
        <w:tabs>
          <w:tab w:val="clear" w:pos="360"/>
          <w:tab w:val="clear" w:pos="709"/>
        </w:tabs>
        <w:suppressAutoHyphens w:val="0"/>
        <w:spacing w:line="240" w:lineRule="auto"/>
        <w:rPr>
          <w:i/>
        </w:rPr>
      </w:pPr>
      <w:r>
        <w:br w:type="page"/>
      </w:r>
    </w:p>
    <w:p w14:paraId="4CADA895" w14:textId="77777777" w:rsidR="00557DBC" w:rsidRDefault="00557DBC" w:rsidP="00604BFA">
      <w:pPr>
        <w:pStyle w:val="TableFigureNote"/>
      </w:pPr>
    </w:p>
    <w:p w14:paraId="5CF0E05C" w14:textId="141465D6" w:rsidR="00604BFA" w:rsidRDefault="00604BFA" w:rsidP="00604BFA">
      <w:pPr>
        <w:pStyle w:val="Caption"/>
        <w:keepNext/>
      </w:pPr>
      <w:bookmarkStart w:id="13" w:name="_Ref263017000"/>
      <w:r>
        <w:lastRenderedPageBreak/>
        <w:t xml:space="preserve">Table </w:t>
      </w:r>
      <w:fldSimple w:instr=" SEQ Table \* ARABIC ">
        <w:r w:rsidR="005F6E65">
          <w:rPr>
            <w:noProof/>
          </w:rPr>
          <w:t>5</w:t>
        </w:r>
      </w:fldSimple>
      <w:bookmarkEnd w:id="13"/>
      <w:r>
        <w:t>: Evidence that Politics Matters More Than Need for Alternative Measures of Need</w:t>
      </w:r>
    </w:p>
    <w:tbl>
      <w:tblPr>
        <w:tblStyle w:val="TableGrid"/>
        <w:tblW w:w="0" w:type="auto"/>
        <w:tblLayout w:type="fixed"/>
        <w:tblLook w:val="04A0" w:firstRow="1" w:lastRow="0" w:firstColumn="1" w:lastColumn="0" w:noHBand="0" w:noVBand="1"/>
      </w:tblPr>
      <w:tblGrid>
        <w:gridCol w:w="2880"/>
        <w:gridCol w:w="1296"/>
        <w:gridCol w:w="1296"/>
        <w:gridCol w:w="1296"/>
        <w:gridCol w:w="1296"/>
        <w:gridCol w:w="1296"/>
      </w:tblGrid>
      <w:tr w:rsidR="00386372" w14:paraId="66F8CFC0" w14:textId="77777777" w:rsidTr="00386372">
        <w:tc>
          <w:tcPr>
            <w:tcW w:w="2880" w:type="dxa"/>
          </w:tcPr>
          <w:p w14:paraId="1EC12A4F" w14:textId="77777777" w:rsidR="00386372" w:rsidRPr="00B01C94" w:rsidRDefault="00386372" w:rsidP="00386372">
            <w:pPr>
              <w:spacing w:line="240" w:lineRule="auto"/>
              <w:jc w:val="center"/>
            </w:pPr>
            <w:r w:rsidRPr="00733218">
              <w:rPr>
                <w:sz w:val="16"/>
                <w:szCs w:val="16"/>
              </w:rPr>
              <w:t>Hypothesis</w:t>
            </w:r>
          </w:p>
        </w:tc>
        <w:tc>
          <w:tcPr>
            <w:tcW w:w="1296" w:type="dxa"/>
          </w:tcPr>
          <w:p w14:paraId="7380C847" w14:textId="77777777" w:rsidR="00386372" w:rsidRPr="00B01C94" w:rsidRDefault="00386372" w:rsidP="00386372">
            <w:pPr>
              <w:spacing w:line="240" w:lineRule="auto"/>
              <w:jc w:val="center"/>
            </w:pPr>
            <w:bookmarkStart w:id="14" w:name="_Ref263016869"/>
            <w:r w:rsidRPr="00733218">
              <w:rPr>
                <w:rFonts w:ascii="Times New Roman" w:hAnsi="Times New Roman" w:cs="Times New Roman"/>
                <w:sz w:val="16"/>
                <w:szCs w:val="16"/>
              </w:rPr>
              <w:t>DSH Payments Per Capita</w:t>
            </w:r>
          </w:p>
        </w:tc>
        <w:tc>
          <w:tcPr>
            <w:tcW w:w="1296" w:type="dxa"/>
          </w:tcPr>
          <w:p w14:paraId="2E9032BF" w14:textId="77777777" w:rsidR="00386372" w:rsidRPr="00B01C94" w:rsidRDefault="00386372" w:rsidP="00386372">
            <w:pPr>
              <w:spacing w:line="240" w:lineRule="auto"/>
              <w:jc w:val="center"/>
            </w:pPr>
            <w:r w:rsidRPr="00733218">
              <w:rPr>
                <w:rFonts w:ascii="Times New Roman" w:hAnsi="Times New Roman" w:cs="Times New Roman"/>
                <w:sz w:val="16"/>
                <w:szCs w:val="16"/>
              </w:rPr>
              <w:t xml:space="preserve">Percent </w:t>
            </w:r>
            <w:r>
              <w:rPr>
                <w:rFonts w:ascii="Times New Roman" w:hAnsi="Times New Roman" w:cs="Times New Roman"/>
                <w:sz w:val="16"/>
                <w:szCs w:val="16"/>
              </w:rPr>
              <w:t xml:space="preserve">Below </w:t>
            </w:r>
            <w:r w:rsidRPr="00733218">
              <w:rPr>
                <w:rFonts w:ascii="Times New Roman" w:hAnsi="Times New Roman" w:cs="Times New Roman"/>
                <w:sz w:val="16"/>
                <w:szCs w:val="16"/>
              </w:rPr>
              <w:t>138% Poverty</w:t>
            </w:r>
          </w:p>
        </w:tc>
        <w:tc>
          <w:tcPr>
            <w:tcW w:w="1296" w:type="dxa"/>
          </w:tcPr>
          <w:p w14:paraId="6CF7930A" w14:textId="77777777" w:rsidR="00386372" w:rsidRPr="00B01C94" w:rsidRDefault="00386372" w:rsidP="00386372">
            <w:pPr>
              <w:spacing w:line="240" w:lineRule="auto"/>
              <w:jc w:val="center"/>
            </w:pPr>
            <w:r w:rsidRPr="00733218">
              <w:rPr>
                <w:rFonts w:ascii="Times New Roman" w:hAnsi="Times New Roman" w:cs="Times New Roman"/>
                <w:sz w:val="16"/>
                <w:szCs w:val="16"/>
              </w:rPr>
              <w:t>Low Birth Weight Rate</w:t>
            </w:r>
          </w:p>
        </w:tc>
        <w:tc>
          <w:tcPr>
            <w:tcW w:w="1296" w:type="dxa"/>
          </w:tcPr>
          <w:p w14:paraId="70D0D5AD" w14:textId="77777777" w:rsidR="00386372" w:rsidRPr="00B01C94" w:rsidRDefault="00386372" w:rsidP="00386372">
            <w:pPr>
              <w:spacing w:line="240" w:lineRule="auto"/>
              <w:jc w:val="center"/>
            </w:pPr>
            <w:r w:rsidRPr="00733218">
              <w:rPr>
                <w:rFonts w:ascii="Times New Roman" w:hAnsi="Times New Roman" w:cs="Times New Roman"/>
                <w:sz w:val="16"/>
                <w:szCs w:val="16"/>
              </w:rPr>
              <w:t>Heart Disease Death Rate</w:t>
            </w:r>
          </w:p>
        </w:tc>
        <w:tc>
          <w:tcPr>
            <w:tcW w:w="1296" w:type="dxa"/>
          </w:tcPr>
          <w:p w14:paraId="16A22F2F" w14:textId="77777777" w:rsidR="00386372" w:rsidRPr="00B01C94" w:rsidRDefault="00386372" w:rsidP="00386372">
            <w:pPr>
              <w:spacing w:line="240" w:lineRule="auto"/>
              <w:jc w:val="center"/>
            </w:pPr>
            <w:r w:rsidRPr="00733218">
              <w:rPr>
                <w:rFonts w:ascii="Times New Roman" w:hAnsi="Times New Roman" w:cs="Times New Roman"/>
                <w:sz w:val="16"/>
                <w:szCs w:val="16"/>
              </w:rPr>
              <w:t>Life Expectancy</w:t>
            </w:r>
          </w:p>
        </w:tc>
      </w:tr>
      <w:tr w:rsidR="00386372" w14:paraId="6DAC822F" w14:textId="77777777" w:rsidTr="00386372">
        <w:tc>
          <w:tcPr>
            <w:tcW w:w="2880" w:type="dxa"/>
          </w:tcPr>
          <w:p w14:paraId="7246E2FF"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color w:val="000000"/>
                <w:sz w:val="16"/>
                <w:szCs w:val="16"/>
              </w:rPr>
              <w:t>The effect of gubernatorial partisanship is larger than the effect of need.</w:t>
            </w:r>
          </w:p>
        </w:tc>
        <w:tc>
          <w:tcPr>
            <w:tcW w:w="1296" w:type="dxa"/>
          </w:tcPr>
          <w:p w14:paraId="247F4035"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1.00</w:t>
            </w:r>
          </w:p>
        </w:tc>
        <w:tc>
          <w:tcPr>
            <w:tcW w:w="1296" w:type="dxa"/>
          </w:tcPr>
          <w:p w14:paraId="40CEF690"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0.99</w:t>
            </w:r>
          </w:p>
        </w:tc>
        <w:tc>
          <w:tcPr>
            <w:tcW w:w="1296" w:type="dxa"/>
          </w:tcPr>
          <w:p w14:paraId="5ED5CCD3"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1.00</w:t>
            </w:r>
          </w:p>
        </w:tc>
        <w:tc>
          <w:tcPr>
            <w:tcW w:w="1296" w:type="dxa"/>
          </w:tcPr>
          <w:p w14:paraId="4B1FA4AD"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1.00</w:t>
            </w:r>
          </w:p>
        </w:tc>
        <w:tc>
          <w:tcPr>
            <w:tcW w:w="1296" w:type="dxa"/>
          </w:tcPr>
          <w:p w14:paraId="17FD5B83"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0.96</w:t>
            </w:r>
          </w:p>
        </w:tc>
      </w:tr>
      <w:tr w:rsidR="00386372" w14:paraId="2C132CE4" w14:textId="77777777" w:rsidTr="00386372">
        <w:tc>
          <w:tcPr>
            <w:tcW w:w="2880" w:type="dxa"/>
          </w:tcPr>
          <w:p w14:paraId="0E0B3DDD"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color w:val="000000"/>
                <w:sz w:val="16"/>
                <w:szCs w:val="16"/>
              </w:rPr>
              <w:t>The effect of public opinion is larger than the effect of need.</w:t>
            </w:r>
          </w:p>
        </w:tc>
        <w:tc>
          <w:tcPr>
            <w:tcW w:w="1296" w:type="dxa"/>
          </w:tcPr>
          <w:p w14:paraId="6050F344"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0.88</w:t>
            </w:r>
          </w:p>
        </w:tc>
        <w:tc>
          <w:tcPr>
            <w:tcW w:w="1296" w:type="dxa"/>
          </w:tcPr>
          <w:p w14:paraId="1C916972"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0.71</w:t>
            </w:r>
          </w:p>
        </w:tc>
        <w:tc>
          <w:tcPr>
            <w:tcW w:w="1296" w:type="dxa"/>
          </w:tcPr>
          <w:p w14:paraId="118709EB"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0.95</w:t>
            </w:r>
          </w:p>
        </w:tc>
        <w:tc>
          <w:tcPr>
            <w:tcW w:w="1296" w:type="dxa"/>
          </w:tcPr>
          <w:p w14:paraId="04942523"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0.88</w:t>
            </w:r>
          </w:p>
        </w:tc>
        <w:tc>
          <w:tcPr>
            <w:tcW w:w="1296" w:type="dxa"/>
          </w:tcPr>
          <w:p w14:paraId="42615BFF"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0.27</w:t>
            </w:r>
          </w:p>
        </w:tc>
      </w:tr>
      <w:tr w:rsidR="00386372" w14:paraId="212E51A7" w14:textId="77777777" w:rsidTr="00386372">
        <w:tc>
          <w:tcPr>
            <w:tcW w:w="2880" w:type="dxa"/>
          </w:tcPr>
          <w:p w14:paraId="76ADE5D7"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color w:val="000000"/>
                <w:sz w:val="16"/>
                <w:szCs w:val="16"/>
              </w:rPr>
              <w:t>The effect of legislative partisanship is larger than the effect of need.</w:t>
            </w:r>
          </w:p>
        </w:tc>
        <w:tc>
          <w:tcPr>
            <w:tcW w:w="1296" w:type="dxa"/>
          </w:tcPr>
          <w:p w14:paraId="08576018"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0.99</w:t>
            </w:r>
          </w:p>
        </w:tc>
        <w:tc>
          <w:tcPr>
            <w:tcW w:w="1296" w:type="dxa"/>
          </w:tcPr>
          <w:p w14:paraId="1B0E3D48"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0.95</w:t>
            </w:r>
          </w:p>
        </w:tc>
        <w:tc>
          <w:tcPr>
            <w:tcW w:w="1296" w:type="dxa"/>
          </w:tcPr>
          <w:p w14:paraId="0C51AE5A"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1.00</w:t>
            </w:r>
          </w:p>
        </w:tc>
        <w:tc>
          <w:tcPr>
            <w:tcW w:w="1296" w:type="dxa"/>
          </w:tcPr>
          <w:p w14:paraId="349A7934" w14:textId="77777777" w:rsidR="00386372" w:rsidRPr="00733218" w:rsidRDefault="00386372" w:rsidP="00386372">
            <w:pPr>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0.99</w:t>
            </w:r>
          </w:p>
        </w:tc>
        <w:tc>
          <w:tcPr>
            <w:tcW w:w="1296" w:type="dxa"/>
          </w:tcPr>
          <w:p w14:paraId="252896CF" w14:textId="77777777" w:rsidR="00386372" w:rsidRPr="00733218" w:rsidRDefault="00386372" w:rsidP="00386372">
            <w:pPr>
              <w:keepNext/>
              <w:spacing w:line="240" w:lineRule="auto"/>
              <w:jc w:val="center"/>
              <w:rPr>
                <w:rFonts w:ascii="Times New Roman" w:hAnsi="Times New Roman" w:cs="Times New Roman"/>
                <w:sz w:val="16"/>
                <w:szCs w:val="16"/>
              </w:rPr>
            </w:pPr>
            <w:r w:rsidRPr="00733218">
              <w:rPr>
                <w:rFonts w:ascii="Times New Roman" w:hAnsi="Times New Roman" w:cs="Times New Roman"/>
                <w:sz w:val="16"/>
                <w:szCs w:val="16"/>
              </w:rPr>
              <w:t>0.55</w:t>
            </w:r>
          </w:p>
        </w:tc>
      </w:tr>
    </w:tbl>
    <w:p w14:paraId="555442A2" w14:textId="55AEB064" w:rsidR="00386372" w:rsidRPr="00604BFA" w:rsidRDefault="00604BFA" w:rsidP="00604BFA">
      <w:pPr>
        <w:pStyle w:val="TableFigureNote"/>
      </w:pPr>
      <w:r w:rsidRPr="00604BFA">
        <w:t>Note: Notice that the evidence for the hypothesis that politics matter more than need is supported more strongly by the alternative measures than the percent uninsured, with the possible exception of the life expectancy.</w:t>
      </w:r>
      <w:r w:rsidR="00386372" w:rsidRPr="00604BFA">
        <w:br w:type="page"/>
      </w:r>
    </w:p>
    <w:p w14:paraId="66B33DF9" w14:textId="77777777" w:rsidR="003251F3" w:rsidRDefault="003251F3" w:rsidP="00EC72FB">
      <w:pPr>
        <w:pStyle w:val="References"/>
      </w:pPr>
    </w:p>
    <w:p w14:paraId="4CB3FE7F" w14:textId="44617FA2" w:rsidR="005D1F17" w:rsidRDefault="005D1F17">
      <w:pPr>
        <w:widowControl/>
        <w:tabs>
          <w:tab w:val="clear" w:pos="360"/>
          <w:tab w:val="clear" w:pos="709"/>
        </w:tabs>
        <w:suppressAutoHyphens w:val="0"/>
        <w:spacing w:line="240" w:lineRule="auto"/>
      </w:pPr>
    </w:p>
    <w:p w14:paraId="4A22ABCD" w14:textId="013C7F5E" w:rsidR="00604BFA" w:rsidRDefault="00604BFA" w:rsidP="00604BFA">
      <w:pPr>
        <w:pStyle w:val="Caption"/>
        <w:keepNext/>
      </w:pPr>
      <w:bookmarkStart w:id="15" w:name="_Ref263016428"/>
      <w:bookmarkStart w:id="16" w:name="_Ref263016443"/>
      <w:r>
        <w:t xml:space="preserve">Figure </w:t>
      </w:r>
      <w:fldSimple w:instr=" SEQ Figure \* ARABIC ">
        <w:r w:rsidR="0085416F">
          <w:rPr>
            <w:noProof/>
          </w:rPr>
          <w:t>1</w:t>
        </w:r>
      </w:fldSimple>
      <w:bookmarkEnd w:id="16"/>
      <w:bookmarkEnd w:id="14"/>
      <w:r>
        <w:t>: Governors Supporting and Opposing the Expansion</w:t>
      </w:r>
      <w:bookmarkEnd w:id="15"/>
    </w:p>
    <w:p w14:paraId="23216489" w14:textId="6472C476" w:rsidR="005D1F17" w:rsidRPr="00733218" w:rsidRDefault="005D1F17" w:rsidP="00604BFA">
      <w:pPr>
        <w:keepNext/>
      </w:pPr>
      <w:r>
        <w:rPr>
          <w:b/>
          <w:noProof/>
        </w:rPr>
        <w:drawing>
          <wp:inline distT="0" distB="0" distL="0" distR="0" wp14:anchorId="549AE244" wp14:editId="0B6376ED">
            <wp:extent cx="5943600" cy="198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s.emf"/>
                    <pic:cNvPicPr/>
                  </pic:nvPicPr>
                  <pic:blipFill>
                    <a:blip r:embed="rId28">
                      <a:extLst>
                        <a:ext uri="{28A0092B-C50C-407E-A947-70E740481C1C}">
                          <a14:useLocalDpi xmlns:a14="http://schemas.microsoft.com/office/drawing/2010/main" val="0"/>
                        </a:ext>
                      </a:extLst>
                    </a:blip>
                    <a:stretch>
                      <a:fillRect/>
                    </a:stretch>
                  </pic:blipFill>
                  <pic:spPr>
                    <a:xfrm>
                      <a:off x="0" y="0"/>
                      <a:ext cx="5943600" cy="1981200"/>
                    </a:xfrm>
                    <a:prstGeom prst="rect">
                      <a:avLst/>
                    </a:prstGeom>
                    <a:extLst>
                      <a:ext uri="{FAA26D3D-D897-4be2-8F04-BA451C77F1D7}">
                        <ma14:placeholderFlag xmlns:ma14="http://schemas.microsoft.com/office/mac/drawingml/2011/main"/>
                      </a:ext>
                    </a:extLst>
                  </pic:spPr>
                </pic:pic>
              </a:graphicData>
            </a:graphic>
          </wp:inline>
        </w:drawing>
      </w:r>
    </w:p>
    <w:p w14:paraId="50D9FE69" w14:textId="25AF0A03" w:rsidR="005D1F17" w:rsidRDefault="00604BFA" w:rsidP="00604BFA">
      <w:pPr>
        <w:pStyle w:val="TableFigureNote"/>
      </w:pPr>
      <w:bookmarkStart w:id="17" w:name="_Ref263016469"/>
      <w:r>
        <w:t xml:space="preserve">Note: </w:t>
      </w:r>
      <w:r w:rsidRPr="00AC241C">
        <w:t xml:space="preserve">Dark grey indicates states whose governor opposes the expansion. Light grey indicates states whose governor supports the expansion. Notice that all Democratic governors support the expansion while some Republican governors support the expansion and others oppose it. </w:t>
      </w:r>
      <w:r w:rsidRPr="00733218">
        <w:t>The Democratic governor of Hawaii and the Republican governor of Alaska</w:t>
      </w:r>
      <w:r w:rsidRPr="00AC241C">
        <w:t xml:space="preserve"> are not shown</w:t>
      </w:r>
      <w:r w:rsidRPr="00733218">
        <w:t>, who support and oppose expansion, respectively</w:t>
      </w:r>
      <w:r w:rsidRPr="00AC241C">
        <w:t>.</w:t>
      </w:r>
      <w:r w:rsidR="005D1F17">
        <w:br w:type="page"/>
      </w:r>
    </w:p>
    <w:p w14:paraId="3C2B8A24" w14:textId="7ED722E1" w:rsidR="00604BFA" w:rsidRDefault="00604BFA" w:rsidP="00604BFA">
      <w:pPr>
        <w:pStyle w:val="Caption"/>
        <w:keepNext/>
      </w:pPr>
      <w:bookmarkStart w:id="18" w:name="_Ref263016763"/>
      <w:bookmarkStart w:id="19" w:name="_Ref263016796"/>
      <w:r>
        <w:lastRenderedPageBreak/>
        <w:t xml:space="preserve">Figure </w:t>
      </w:r>
      <w:fldSimple w:instr=" SEQ Figure \* ARABIC ">
        <w:r w:rsidR="0085416F">
          <w:rPr>
            <w:noProof/>
          </w:rPr>
          <w:t>2</w:t>
        </w:r>
      </w:fldSimple>
      <w:bookmarkEnd w:id="17"/>
      <w:bookmarkEnd w:id="19"/>
      <w:r>
        <w:t xml:space="preserve">: Coefficient Estimates for a </w:t>
      </w:r>
      <w:proofErr w:type="spellStart"/>
      <w:r>
        <w:t>Logit</w:t>
      </w:r>
      <w:proofErr w:type="spellEnd"/>
      <w:r>
        <w:t xml:space="preserve"> Model of Opposition to the Expansion</w:t>
      </w:r>
      <w:bookmarkEnd w:id="18"/>
    </w:p>
    <w:p w14:paraId="64CAD589" w14:textId="77777777" w:rsidR="00386372" w:rsidRDefault="00386372" w:rsidP="00386372">
      <w:pPr>
        <w:keepNext/>
        <w:jc w:val="center"/>
      </w:pPr>
      <w:r>
        <w:rPr>
          <w:noProof/>
          <w:sz w:val="28"/>
        </w:rPr>
        <w:drawing>
          <wp:inline distT="0" distB="0" distL="0" distR="0" wp14:anchorId="38A846C9" wp14:editId="2AB04EA9">
            <wp:extent cx="2343150" cy="3124200"/>
            <wp:effectExtent l="0" t="0" r="0" b="0"/>
            <wp:docPr id="13" name="main_coe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coef.emf"/>
                    <pic:cNvPicPr/>
                  </pic:nvPicPr>
                  <pic:blipFill>
                    <a:blip r:embed="rId29">
                      <a:extLst>
                        <a:ext uri="{28A0092B-C50C-407E-A947-70E740481C1C}">
                          <a14:useLocalDpi xmlns:a14="http://schemas.microsoft.com/office/drawing/2010/main" val="0"/>
                        </a:ext>
                      </a:extLst>
                    </a:blip>
                    <a:stretch>
                      <a:fillRect/>
                    </a:stretch>
                  </pic:blipFill>
                  <pic:spPr>
                    <a:xfrm>
                      <a:off x="0" y="0"/>
                      <a:ext cx="2343150" cy="3124200"/>
                    </a:xfrm>
                    <a:prstGeom prst="rect">
                      <a:avLst/>
                    </a:prstGeom>
                  </pic:spPr>
                </pic:pic>
              </a:graphicData>
            </a:graphic>
          </wp:inline>
        </w:drawing>
      </w:r>
    </w:p>
    <w:p w14:paraId="651E6135" w14:textId="41537A42" w:rsidR="00386372" w:rsidRDefault="00604BFA" w:rsidP="00604BFA">
      <w:pPr>
        <w:pStyle w:val="TableFigureNote"/>
      </w:pPr>
      <w:r>
        <w:t>Note: Notice that the results are generally consistent with the hypotheses, except the percent uninsured does not have the expected large effect.</w:t>
      </w:r>
      <w:r w:rsidR="00386372">
        <w:br w:type="page"/>
      </w:r>
    </w:p>
    <w:p w14:paraId="2FDCECE0" w14:textId="496687AC" w:rsidR="0085416F" w:rsidRDefault="0085416F" w:rsidP="0085416F">
      <w:pPr>
        <w:pStyle w:val="Caption"/>
        <w:keepNext/>
      </w:pPr>
      <w:bookmarkStart w:id="20" w:name="_Ref263017304"/>
      <w:r>
        <w:lastRenderedPageBreak/>
        <w:t xml:space="preserve">Figure </w:t>
      </w:r>
      <w:fldSimple w:instr=" SEQ Figure \* ARABIC ">
        <w:r>
          <w:rPr>
            <w:noProof/>
          </w:rPr>
          <w:t>3</w:t>
        </w:r>
      </w:fldSimple>
      <w:bookmarkEnd w:id="20"/>
      <w:r>
        <w:t>: Bootstrapped Variable Importance from Random Forests</w:t>
      </w:r>
    </w:p>
    <w:p w14:paraId="42ABB1E1" w14:textId="77777777" w:rsidR="00386372" w:rsidRDefault="00386372" w:rsidP="00386372">
      <w:pPr>
        <w:pStyle w:val="BodyText"/>
        <w:keepNext/>
      </w:pPr>
      <w:r>
        <w:rPr>
          <w:noProof/>
        </w:rPr>
        <w:drawing>
          <wp:inline distT="0" distB="0" distL="0" distR="0" wp14:anchorId="0EA9DE75" wp14:editId="25C7E92D">
            <wp:extent cx="5943598" cy="33963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_imp.emf"/>
                    <pic:cNvPicPr/>
                  </pic:nvPicPr>
                  <pic:blipFill>
                    <a:blip r:embed="rId30">
                      <a:extLst>
                        <a:ext uri="{28A0092B-C50C-407E-A947-70E740481C1C}">
                          <a14:useLocalDpi xmlns:a14="http://schemas.microsoft.com/office/drawing/2010/main" val="0"/>
                        </a:ext>
                      </a:extLst>
                    </a:blip>
                    <a:stretch>
                      <a:fillRect/>
                    </a:stretch>
                  </pic:blipFill>
                  <pic:spPr>
                    <a:xfrm>
                      <a:off x="0" y="0"/>
                      <a:ext cx="5943598" cy="3396342"/>
                    </a:xfrm>
                    <a:prstGeom prst="rect">
                      <a:avLst/>
                    </a:prstGeom>
                  </pic:spPr>
                </pic:pic>
              </a:graphicData>
            </a:graphic>
          </wp:inline>
        </w:drawing>
      </w:r>
    </w:p>
    <w:p w14:paraId="7E722D73" w14:textId="4FE558C6" w:rsidR="0085416F" w:rsidRPr="0085416F" w:rsidRDefault="0085416F" w:rsidP="0085416F">
      <w:pPr>
        <w:pStyle w:val="TableFigureNote"/>
      </w:pPr>
      <w:r w:rsidRPr="0085416F">
        <w:t xml:space="preserve">Note: </w:t>
      </w:r>
      <w:r>
        <w:t>N</w:t>
      </w:r>
      <w:r w:rsidRPr="0085416F">
        <w:t xml:space="preserve">otice </w:t>
      </w:r>
      <w:r>
        <w:t xml:space="preserve">first </w:t>
      </w:r>
      <w:r w:rsidRPr="0085416F">
        <w:t>that most of the political</w:t>
      </w:r>
      <w:r>
        <w:t xml:space="preserve"> variables</w:t>
      </w:r>
      <w:r w:rsidRPr="0085416F">
        <w:t xml:space="preserve"> are more important than the need </w:t>
      </w:r>
      <w:r>
        <w:t>variable</w:t>
      </w:r>
      <w:r w:rsidRPr="0085416F">
        <w:t xml:space="preserve">s. </w:t>
      </w:r>
      <w:r>
        <w:t xml:space="preserve">This offers clear evidence that politics matters more than need. </w:t>
      </w:r>
      <w:r w:rsidRPr="0085416F">
        <w:t>Second, the only need predictor that seems to perform well is the low birth weight rate. However, this variable work</w:t>
      </w:r>
      <w:r>
        <w:t>s</w:t>
      </w:r>
      <w:r w:rsidRPr="0085416F">
        <w:t xml:space="preserve"> in the wrong direction, so that states with more need are more likely to oppose the expansion.</w:t>
      </w:r>
      <w:r>
        <w:t xml:space="preserve"> Finally, notice that the results for the measures of public opinion are inconsistent. Obama’s vote share in 2012 is one of the most important predictors of opposition and the percent favorable to the ACA and the percent supporting the expansion are two of the least important predictors.</w:t>
      </w:r>
    </w:p>
    <w:p w14:paraId="16BB7535" w14:textId="77777777" w:rsidR="0085416F" w:rsidRDefault="0085416F" w:rsidP="00386372">
      <w:pPr>
        <w:pStyle w:val="BodyText"/>
        <w:keepNext/>
      </w:pPr>
    </w:p>
    <w:sectPr w:rsidR="0085416F" w:rsidSect="005D1F17">
      <w:pgSz w:w="12240" w:h="15840"/>
      <w:pgMar w:top="1440" w:right="1440" w:bottom="1440" w:left="1440" w:header="720" w:footer="706" w:gutter="0"/>
      <w:cols w:space="720"/>
      <w:vAlign w:val="cen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E80F54" w14:textId="77777777" w:rsidR="00557DBC" w:rsidRDefault="00557DBC">
      <w:pPr>
        <w:spacing w:line="240" w:lineRule="auto"/>
      </w:pPr>
      <w:r>
        <w:separator/>
      </w:r>
    </w:p>
  </w:endnote>
  <w:endnote w:type="continuationSeparator" w:id="0">
    <w:p w14:paraId="14FA715E" w14:textId="77777777" w:rsidR="00557DBC" w:rsidRDefault="00557DBC">
      <w:pPr>
        <w:spacing w:line="240" w:lineRule="auto"/>
      </w:pPr>
      <w:r>
        <w:continuationSeparator/>
      </w:r>
    </w:p>
  </w:endnote>
  <w:endnote w:type="continuationNotice" w:id="1">
    <w:p w14:paraId="49563F15" w14:textId="77777777" w:rsidR="00557DBC" w:rsidRDefault="00557DB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ill Sans">
    <w:panose1 w:val="020B0502020104020203"/>
    <w:charset w:val="00"/>
    <w:family w:val="auto"/>
    <w:pitch w:val="variable"/>
    <w:sig w:usb0="80000267" w:usb1="00000000" w:usb2="00000000" w:usb3="00000000" w:csb0="000001F7"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DC9B4" w14:textId="77777777" w:rsidR="00557DBC" w:rsidRDefault="00557DBC">
    <w:pPr>
      <w:tabs>
        <w:tab w:val="center" w:pos="4986"/>
        <w:tab w:val="right" w:pos="9972"/>
      </w:tabs>
      <w:spacing w:line="100" w:lineRule="atLeast"/>
      <w:jc w:val="center"/>
    </w:pPr>
    <w:r>
      <w:rPr>
        <w:color w:val="000000"/>
      </w:rPr>
      <w:fldChar w:fldCharType="begin"/>
    </w:r>
    <w:r>
      <w:rPr>
        <w:color w:val="000000"/>
      </w:rPr>
      <w:instrText xml:space="preserve"> PAGE </w:instrText>
    </w:r>
    <w:r>
      <w:rPr>
        <w:color w:val="000000"/>
      </w:rPr>
      <w:fldChar w:fldCharType="separate"/>
    </w:r>
    <w:r w:rsidR="005F6E65">
      <w:rPr>
        <w:noProof/>
        <w:color w:val="000000"/>
      </w:rPr>
      <w:t>25</w:t>
    </w:r>
    <w:r>
      <w:rPr>
        <w:color w:val="00000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E82001" w14:textId="77777777" w:rsidR="00557DBC" w:rsidRDefault="00557DBC">
      <w:pPr>
        <w:spacing w:line="240" w:lineRule="auto"/>
      </w:pPr>
      <w:r>
        <w:separator/>
      </w:r>
    </w:p>
  </w:footnote>
  <w:footnote w:type="continuationSeparator" w:id="0">
    <w:p w14:paraId="33607204" w14:textId="77777777" w:rsidR="00557DBC" w:rsidRDefault="00557DBC">
      <w:pPr>
        <w:spacing w:line="240" w:lineRule="auto"/>
      </w:pPr>
      <w:r>
        <w:continuationSeparator/>
      </w:r>
    </w:p>
  </w:footnote>
  <w:footnote w:type="continuationNotice" w:id="1">
    <w:p w14:paraId="26A66416" w14:textId="77777777" w:rsidR="00557DBC" w:rsidRDefault="00557DBC">
      <w:pPr>
        <w:spacing w:line="240" w:lineRule="auto"/>
      </w:pPr>
    </w:p>
  </w:footnote>
  <w:footnote w:id="2">
    <w:p w14:paraId="3DFCD202" w14:textId="2DE0889F" w:rsidR="00557DBC" w:rsidRDefault="00557DBC">
      <w:pPr>
        <w:pStyle w:val="FootnoteText"/>
      </w:pPr>
      <w:r>
        <w:rPr>
          <w:rStyle w:val="FootnoteReference"/>
        </w:rPr>
        <w:t>*</w:t>
      </w:r>
      <w:r>
        <w:t xml:space="preserve"> Charles </w:t>
      </w:r>
      <w:proofErr w:type="spellStart"/>
      <w:r>
        <w:t>Barrilleaux</w:t>
      </w:r>
      <w:proofErr w:type="spellEnd"/>
      <w:r>
        <w:t xml:space="preserve"> is Professor of Political Science, Florida State University, </w:t>
      </w:r>
      <w:r w:rsidRPr="00557DBC">
        <w:t xml:space="preserve">531 Bellamy Building, Florida State University, </w:t>
      </w:r>
      <w:proofErr w:type="gramStart"/>
      <w:r w:rsidRPr="00557DBC">
        <w:t>Tallahassee, FL 32306</w:t>
      </w:r>
      <w:proofErr w:type="gramEnd"/>
      <w:r>
        <w:t xml:space="preserve"> (</w:t>
      </w:r>
      <w:hyperlink r:id="rId1" w:history="1">
        <w:r w:rsidRPr="00557DBC">
          <w:rPr>
            <w:rStyle w:val="Hyperlink"/>
          </w:rPr>
          <w:t>cbarrilleaux@fsu.edu</w:t>
        </w:r>
      </w:hyperlink>
      <w:r>
        <w:t xml:space="preserve">). Carlisle Rainey is Assistant Professor of Political Science, University at Buffalo, SUNY, </w:t>
      </w:r>
      <w:proofErr w:type="gramStart"/>
      <w:r>
        <w:t>520 Park Hall, Buffalo, NY 14260</w:t>
      </w:r>
      <w:proofErr w:type="gramEnd"/>
      <w:r>
        <w:t xml:space="preserve"> (</w:t>
      </w:r>
      <w:hyperlink r:id="rId2" w:history="1">
        <w:r w:rsidRPr="00557DBC">
          <w:rPr>
            <w:rStyle w:val="Hyperlink"/>
          </w:rPr>
          <w:t>rcrainey@buffalo.edu</w:t>
        </w:r>
      </w:hyperlink>
      <w:r>
        <w:t xml:space="preserve">). All data and code necessary to replicate these results are available at </w:t>
      </w:r>
      <w:hyperlink r:id="rId3" w:history="1">
        <w:r>
          <w:rPr>
            <w:rStyle w:val="Hyperlink"/>
          </w:rPr>
          <w:t>github.co</w:t>
        </w:r>
        <w:bookmarkStart w:id="1" w:name="_Hlt262906423"/>
        <w:r>
          <w:rPr>
            <w:rStyle w:val="Hyperlink"/>
          </w:rPr>
          <w:t>m</w:t>
        </w:r>
        <w:bookmarkEnd w:id="1"/>
        <w:r>
          <w:rPr>
            <w:rStyle w:val="Hyperlink"/>
          </w:rPr>
          <w:t>/</w:t>
        </w:r>
        <w:proofErr w:type="spellStart"/>
        <w:r>
          <w:rPr>
            <w:rStyle w:val="Hyperlink"/>
          </w:rPr>
          <w:t>carlislerainey</w:t>
        </w:r>
        <w:proofErr w:type="spellEnd"/>
        <w:r>
          <w:rPr>
            <w:rStyle w:val="Hyperlink"/>
          </w:rPr>
          <w:t>/need</w:t>
        </w:r>
      </w:hyperlink>
      <w:r>
        <w:t xml:space="preserve">. We thank participants at the 2013 and 2014 State Politics and Policy </w:t>
      </w:r>
      <w:r w:rsidRPr="00557DBC">
        <w:t>Conferences, a colloquium at Florida State University, three anonymous reviewers and the editor for helpful comments and suggestions.</w:t>
      </w:r>
    </w:p>
  </w:footnote>
  <w:footnote w:id="3">
    <w:p w14:paraId="13199EBB" w14:textId="77777777" w:rsidR="00557DBC" w:rsidRDefault="00557DBC">
      <w:pPr>
        <w:pStyle w:val="FootnoteText"/>
      </w:pPr>
      <w:r>
        <w:rPr>
          <w:rStyle w:val="FootnoteReference"/>
        </w:rPr>
        <w:footnoteRef/>
      </w:r>
      <w:r>
        <w:t xml:space="preserve"> Kaiser Family Foundation (2012) provides a succinct discussion of the 2012 Court decision.  </w:t>
      </w:r>
    </w:p>
  </w:footnote>
  <w:footnote w:id="4">
    <w:p w14:paraId="58EB1D03" w14:textId="77777777" w:rsidR="00557DBC" w:rsidRDefault="00557DBC">
      <w:pPr>
        <w:pStyle w:val="FootnoteText"/>
      </w:pPr>
      <w:r>
        <w:rPr>
          <w:rStyle w:val="FootnoteReference"/>
        </w:rPr>
        <w:footnoteRef/>
      </w:r>
      <w:r>
        <w:t xml:space="preserve"> </w:t>
      </w:r>
      <w:r w:rsidRPr="00AC241C">
        <w:t xml:space="preserve">The FMAP is calculated:  FMAP = 1 - .45 x [(State </w:t>
      </w:r>
      <w:proofErr w:type="gramStart"/>
      <w:r w:rsidRPr="00AC241C">
        <w:t>PCI)2</w:t>
      </w:r>
      <w:proofErr w:type="gramEnd"/>
      <w:r w:rsidRPr="00AC241C">
        <w:t xml:space="preserve"> / (U.S. PCI)2] .  A state with average income receives an FMAP of 55%, and no state may receive less than 50% FMAP, where the national government matches state spending dollar for dollar, and no state may receive more than 83% FMAP (Miller, 2011).</w:t>
      </w:r>
      <w:r w:rsidRPr="00AC241C">
        <w:rPr>
          <w:rStyle w:val="FootnoteCharacters"/>
        </w:rPr>
        <w:t xml:space="preserve">  </w:t>
      </w:r>
    </w:p>
  </w:footnote>
  <w:footnote w:id="5">
    <w:p w14:paraId="5807E782" w14:textId="43B3550E" w:rsidR="00557DBC" w:rsidRDefault="00557DBC">
      <w:pPr>
        <w:pStyle w:val="FootnoteText"/>
      </w:pPr>
      <w:r>
        <w:rPr>
          <w:rStyle w:val="FootnoteReference"/>
        </w:rPr>
        <w:footnoteRef/>
      </w:r>
      <w:r>
        <w:t xml:space="preserve"> We maximize our statistical leverage by combining governors who publicly support expansion and those who have remained quiet into a single “does not oppose” </w:t>
      </w:r>
      <w:proofErr w:type="spellStart"/>
      <w:proofErr w:type="gramStart"/>
      <w:r>
        <w:t>category.We</w:t>
      </w:r>
      <w:proofErr w:type="spellEnd"/>
      <w:proofErr w:type="gramEnd"/>
      <w:r>
        <w:t xml:space="preserve"> combine the “Supports Expansion” and the “Weighing Options”</w:t>
      </w:r>
      <w:r w:rsidRPr="00E84356">
        <w:t xml:space="preserve"> categories for two reasons. First, the two are conceptually similar. We are interested in why governors would publicly oppose such a generous</w:t>
      </w:r>
      <w:r>
        <w:t xml:space="preserve"> offer from the federal government and particularly how politics and need affect this decision. Given our question, the decision to support the expansion or remain quiet on the issue are similar. Second, our data do not offer sufficient information to parse out the different effects that our explanatory variables have across these different outcomes.</w:t>
      </w:r>
    </w:p>
  </w:footnote>
  <w:footnote w:id="6">
    <w:p w14:paraId="1ECB232C" w14:textId="42F2E93E" w:rsidR="00557DBC" w:rsidRDefault="00557DBC">
      <w:pPr>
        <w:pStyle w:val="FootnoteText"/>
      </w:pPr>
      <w:r>
        <w:rPr>
          <w:rStyle w:val="FootnoteReference"/>
        </w:rPr>
        <w:footnoteRef/>
      </w:r>
      <w:r>
        <w:t xml:space="preserve"> See Section 1 of the Technical Appendix for the details. </w:t>
      </w:r>
    </w:p>
  </w:footnote>
  <w:footnote w:id="7">
    <w:p w14:paraId="524CFEEF" w14:textId="7FFBC1E0" w:rsidR="00557DBC" w:rsidRDefault="00557DBC">
      <w:pPr>
        <w:pStyle w:val="FootnoteText"/>
      </w:pPr>
      <w:r>
        <w:rPr>
          <w:rStyle w:val="FootnoteReference"/>
        </w:rPr>
        <w:footnoteRef/>
      </w:r>
      <w:r>
        <w:t xml:space="preserve"> The state-level estimates of the percent with favorable views toward the ACA are computed using multilevel regression with post-stratification, combining the May though September 2013 Kaiser Health tracking polls with 2000 Census data. See Section 2 of the Technical Appendix for the details. We also consider several alternative measures of our key concepts. Instead of state-level favorability toward the ACA as a measure of public opinion, we consider a generic ideology measure, Obama’s vote share in 2012, and whether Obama won the state in 2012. We also consider alternative models for the impact of the composition of the legislature by including indicators for GOP control of the House, GOP control of the Senate, and both. Finally, as an alternative measure of need, we use a states share of DSH payments per capita. Since these payments disappear under the ACA, states with higher shares per capita might be viewed as in greater need of the expansion funds. </w:t>
      </w:r>
    </w:p>
  </w:footnote>
  <w:footnote w:id="8">
    <w:p w14:paraId="28741BE3" w14:textId="095495E1" w:rsidR="00557DBC" w:rsidRDefault="00557DBC">
      <w:pPr>
        <w:pStyle w:val="FootnoteText"/>
      </w:pPr>
      <w:r>
        <w:rPr>
          <w:rStyle w:val="FootnoteReference"/>
        </w:rPr>
        <w:footnoteRef/>
      </w:r>
      <w:r>
        <w:t xml:space="preserve"> Note the Alaska is </w:t>
      </w:r>
      <w:proofErr w:type="gramStart"/>
      <w:r>
        <w:t>a</w:t>
      </w:r>
      <w:proofErr w:type="gramEnd"/>
      <w:r>
        <w:t xml:space="preserve"> outlier on this measures, with 2012 year-end reserves of 260% of their total 2012 spending. The next largest is North Dakota at 75% and the smallest is California at -2%. Excluding Alaska from the analysis does lead to a substantively meaningful change in the effect of fiscal health, but it does not change the effects of our key variables. See Section 3.4 of the Technical Appendix for the details.</w:t>
      </w:r>
    </w:p>
  </w:footnote>
  <w:footnote w:id="9">
    <w:p w14:paraId="294FDA2A" w14:textId="0A404733" w:rsidR="00557DBC" w:rsidRDefault="00557DBC">
      <w:pPr>
        <w:pStyle w:val="FootnoteText"/>
      </w:pPr>
      <w:r>
        <w:rPr>
          <w:rStyle w:val="FootnoteReference"/>
        </w:rPr>
        <w:footnoteRef/>
      </w:r>
      <w:r>
        <w:t xml:space="preserve"> Quasi-separation leads to estimated coefficients and standard errors of infinity. In practice, though, the estimates and standard error will be unexpectedly large. How large the estimates will be depends on the numerical precision of the optimization routine. For example, using R’s default convergence criteria for the </w:t>
      </w:r>
      <w:proofErr w:type="spellStart"/>
      <w:proofErr w:type="gramStart"/>
      <w:r w:rsidRPr="002F1221">
        <w:rPr>
          <w:rFonts w:ascii="Courier New" w:hAnsi="Courier New" w:cs="Courier New"/>
          <w:sz w:val="16"/>
          <w:szCs w:val="16"/>
        </w:rPr>
        <w:t>glm</w:t>
      </w:r>
      <w:proofErr w:type="spellEnd"/>
      <w:r w:rsidRPr="002F1221">
        <w:rPr>
          <w:rFonts w:ascii="Courier New" w:hAnsi="Courier New" w:cs="Courier New"/>
          <w:sz w:val="16"/>
          <w:szCs w:val="16"/>
        </w:rPr>
        <w:t>(</w:t>
      </w:r>
      <w:proofErr w:type="gramEnd"/>
      <w:r w:rsidRPr="002F1221">
        <w:rPr>
          <w:rFonts w:ascii="Courier New" w:hAnsi="Courier New" w:cs="Courier New"/>
          <w:sz w:val="16"/>
          <w:szCs w:val="16"/>
        </w:rPr>
        <w:t>)</w:t>
      </w:r>
      <w:r>
        <w:t xml:space="preserve"> function, the estimated coefficient for the GOP governor indicator is 19.5 with a standard error of 2,146.4. When we increase the convergence tolerance standards as much as possible, we obtain an estimate of 33.4 with a standard error of 15,395,829.3. Of course, neither estimate is statistically significant, despite the pattern being extremely unlikely under the null hypothesis of no effect. See Zorn (2005) for a detailed explanation of this pattern. </w:t>
      </w:r>
    </w:p>
  </w:footnote>
  <w:footnote w:id="10">
    <w:p w14:paraId="7771469C" w14:textId="1B3C0A40" w:rsidR="00557DBC" w:rsidRDefault="00557DBC">
      <w:pPr>
        <w:pStyle w:val="FootnoteText"/>
      </w:pPr>
      <w:r>
        <w:rPr>
          <w:rStyle w:val="FootnoteReference"/>
        </w:rPr>
        <w:footnoteRef/>
      </w:r>
      <w:r>
        <w:t xml:space="preserve"> We intentionally include less prior information than we actually have as suggested by </w:t>
      </w:r>
      <w:proofErr w:type="spellStart"/>
      <w:r>
        <w:t>Gelman</w:t>
      </w:r>
      <w:proofErr w:type="spellEnd"/>
      <w:r>
        <w:t xml:space="preserve"> et al. (2008). However, our results are robust to a range of prior specifications including increasing and decreasing the scale within the Cauchy family and considering alternative families such as the normal and scaled </w:t>
      </w:r>
      <w:r>
        <w:rPr>
          <w:i/>
        </w:rPr>
        <w:t>t</w:t>
      </w:r>
      <w:r>
        <w:t xml:space="preserve"> families. We also considered non-Bayesian approaches, including various combinations of Firth’s penalty (Zorn 2005), asymptotic approximations (</w:t>
      </w:r>
      <w:proofErr w:type="spellStart"/>
      <w:r>
        <w:t>Gelman</w:t>
      </w:r>
      <w:proofErr w:type="spellEnd"/>
      <w:r>
        <w:t xml:space="preserve"> et al. 2008), and bootstrapping (1979). See Sections 3 and 4 of the Technical Appendix for the details.</w:t>
      </w:r>
    </w:p>
  </w:footnote>
  <w:footnote w:id="11">
    <w:p w14:paraId="4FAEC834" w14:textId="1B570EF3" w:rsidR="00557DBC" w:rsidRDefault="00557DBC">
      <w:pPr>
        <w:pStyle w:val="FootnoteText"/>
      </w:pPr>
      <w:r>
        <w:rPr>
          <w:rStyle w:val="FootnoteReference"/>
        </w:rPr>
        <w:footnoteRef/>
      </w:r>
      <w:r>
        <w:t xml:space="preserve"> </w:t>
      </w:r>
      <w:r w:rsidRPr="00AB09E9">
        <w:t>Zorn (20</w:t>
      </w:r>
      <w:r>
        <w:t>05) suggests using Firth’s penalty when facing separation</w:t>
      </w:r>
      <w:r w:rsidRPr="00AB09E9">
        <w:t xml:space="preserve"> (see Firth 1993 and Bell and Miller 2013</w:t>
      </w:r>
      <w:r>
        <w:t>). This approach is similar conceptually to our own, but relies on Jeffrey’s invariant prior distribution, which is not directly interpretable in the context of regression models. Instead, we prefer the Cauchy prior, since it allows us to directly interpret the prior as actual prior information (</w:t>
      </w:r>
      <w:proofErr w:type="spellStart"/>
      <w:r>
        <w:t>Gelman</w:t>
      </w:r>
      <w:proofErr w:type="spellEnd"/>
      <w:r>
        <w:t xml:space="preserve"> et al. 2008). However, the results are substantively similar if we rely on Zorn’s (2005) suggested approach of combining Firth’s penalty with likelihood profiling. See Section 3.3 of the Technical Appendix for the details.</w:t>
      </w:r>
    </w:p>
  </w:footnote>
  <w:footnote w:id="12">
    <w:p w14:paraId="7F4364B4" w14:textId="3E8B70C0" w:rsidR="00557DBC" w:rsidRDefault="00557DBC">
      <w:pPr>
        <w:pStyle w:val="FootnoteText"/>
      </w:pPr>
      <w:r>
        <w:rPr>
          <w:rStyle w:val="FootnoteReference"/>
        </w:rPr>
        <w:footnoteRef/>
      </w:r>
      <w:r>
        <w:t xml:space="preserve"> For the details see Casella and Berger (2002), especially Theorem 10.1.6 (asymptotically distributed about the mean) and Theorem 10.1.12 (with the smallest possible variance). Train (2009, pp. 200-202) discusses the asymptotic properties of MLE estimators and discusses using bootstrapped samples to obtain variance estimators. Another potential concern with small samples is that a single case drives the conclusions. Dropping any single state from the analysis does not change the substantive conclusions. See Section 3.4 of the Technical Appendix for the details. </w:t>
      </w:r>
    </w:p>
  </w:footnote>
  <w:footnote w:id="13">
    <w:p w14:paraId="7E7FB59C" w14:textId="78020EFE" w:rsidR="00557DBC" w:rsidRDefault="00557DBC">
      <w:pPr>
        <w:pStyle w:val="FootnoteText"/>
      </w:pPr>
      <w:r>
        <w:rPr>
          <w:rStyle w:val="FootnoteReference"/>
        </w:rPr>
        <w:footnoteRef/>
      </w:r>
      <w:r>
        <w:t xml:space="preserve"> This comparability does not extend to situations in which the null or research hypothesis suggests that the effect lies in a non-contiguous region (e.g., Rainey 2014). </w:t>
      </w:r>
    </w:p>
  </w:footnote>
  <w:footnote w:id="14">
    <w:p w14:paraId="472F5140" w14:textId="3270EA5B" w:rsidR="00557DBC" w:rsidRDefault="00557DBC">
      <w:pPr>
        <w:pStyle w:val="FootnoteText"/>
      </w:pPr>
      <w:r>
        <w:rPr>
          <w:rStyle w:val="FootnoteReference"/>
        </w:rPr>
        <w:footnoteRef/>
      </w:r>
      <w:r>
        <w:t xml:space="preserve"> The intervals given in parentheses are 90% confidence intervals. We define “Republican” states (in part) to be those in which 38% view the ACA favorably because 38% favorability is the 25</w:t>
      </w:r>
      <w:r w:rsidRPr="000C3E35">
        <w:rPr>
          <w:vertAlign w:val="superscript"/>
        </w:rPr>
        <w:t>th</w:t>
      </w:r>
      <w:r>
        <w:t xml:space="preserve"> percentile of the favorability measure. States such as Texas, Louisiana, South Dakota, and Tennessee have favorability measures near 38%. Similarly, we define “Democratic” states (in part) to be those in which 51% view the ACA favorably because 51% favorability is the 75</w:t>
      </w:r>
      <w:r w:rsidRPr="00317BD5">
        <w:rPr>
          <w:vertAlign w:val="superscript"/>
        </w:rPr>
        <w:t>th</w:t>
      </w:r>
      <w:r>
        <w:t xml:space="preserve"> percentile of the favorability measure. States such as New Mexico, Oregon, Washington, and Maine have favorability measures near 51%. Utah has the lowest favorability at 27% and Hawaii has the highest at 63%. </w:t>
      </w:r>
    </w:p>
  </w:footnote>
  <w:footnote w:id="15">
    <w:p w14:paraId="4F9B738C" w14:textId="77777777" w:rsidR="00557DBC" w:rsidRDefault="00557DBC" w:rsidP="003E7235">
      <w:pPr>
        <w:pStyle w:val="FootnoteText"/>
      </w:pPr>
      <w:r>
        <w:rPr>
          <w:rStyle w:val="FootnoteReference"/>
        </w:rPr>
        <w:footnoteRef/>
      </w:r>
      <w:r>
        <w:t xml:space="preserve"> While we discuss the difference in the effects across “Democratic” and “Republican” states, it is important to avoid drawing strong conclusions about the difference in these effects, since they are assumed by the structure of the model (Berry, </w:t>
      </w:r>
      <w:proofErr w:type="spellStart"/>
      <w:r>
        <w:t>DeMeritt</w:t>
      </w:r>
      <w:proofErr w:type="spellEnd"/>
      <w:r>
        <w:t xml:space="preserve">, and </w:t>
      </w:r>
      <w:proofErr w:type="spellStart"/>
      <w:r>
        <w:t>Esarey</w:t>
      </w:r>
      <w:proofErr w:type="spellEnd"/>
      <w:r>
        <w:t xml:space="preserve"> 2014; Rainey 2014; though see Berry, </w:t>
      </w:r>
      <w:proofErr w:type="spellStart"/>
      <w:r>
        <w:t>DeMeritt</w:t>
      </w:r>
      <w:proofErr w:type="spellEnd"/>
      <w:r>
        <w:t xml:space="preserve">, and </w:t>
      </w:r>
      <w:proofErr w:type="spellStart"/>
      <w:r>
        <w:t>Esarey</w:t>
      </w:r>
      <w:proofErr w:type="spellEnd"/>
      <w:r>
        <w:t xml:space="preserve"> 2010). We present the effects in different contexts to give a sense of the magnitude of the estimates implied by the model, not to draw strong conclusions about the differences in the effects across contexts. </w:t>
      </w:r>
    </w:p>
    <w:p w14:paraId="523147E7" w14:textId="68E90CC3" w:rsidR="00557DBC" w:rsidRDefault="00557DBC">
      <w:pPr>
        <w:pStyle w:val="FootnoteText"/>
      </w:pPr>
    </w:p>
  </w:footnote>
  <w:footnote w:id="16">
    <w:p w14:paraId="577B4A38" w14:textId="0B5251BA" w:rsidR="00557DBC" w:rsidRDefault="00557DBC">
      <w:pPr>
        <w:pStyle w:val="FootnoteText"/>
      </w:pPr>
      <w:r>
        <w:rPr>
          <w:rStyle w:val="FootnoteReference"/>
        </w:rPr>
        <w:footnoteRef/>
      </w:r>
      <w:r>
        <w:t xml:space="preserve"> Unfortunately, we do not have sufficient data to parse out the separate effects of Republican-controlled, Democratic-controlled, and divided state legislatures. However, there are only four divided legislatures in the data (IA, KY, NH, and NY).  In this situation, we draw heavily on prior literature to specify the model correctly. However, this conclusion is reasonably robust to alternative specifications, including a model that includes separate indicators for GOP control of the House and </w:t>
      </w:r>
      <w:proofErr w:type="gramStart"/>
      <w:r>
        <w:t>Senate .</w:t>
      </w:r>
      <w:proofErr w:type="gramEnd"/>
    </w:p>
  </w:footnote>
  <w:footnote w:id="17">
    <w:p w14:paraId="07FAD3E2" w14:textId="77777777" w:rsidR="00557DBC" w:rsidRDefault="00557DBC">
      <w:pPr>
        <w:pStyle w:val="FootnoteText"/>
      </w:pPr>
      <w:r>
        <w:rPr>
          <w:rStyle w:val="FootnoteReference"/>
        </w:rPr>
        <w:footnoteRef/>
      </w:r>
      <w:r>
        <w:t xml:space="preserve"> Recall that the coefficients are comparable because we standardize all numeric explanatory variables to have mean zero and standard deviation 0.5 and simply center binary explanatory variables. This makes the magnitude of the coefficients comparable (</w:t>
      </w:r>
      <w:proofErr w:type="spellStart"/>
      <w:r>
        <w:t>Gelman</w:t>
      </w:r>
      <w:proofErr w:type="spellEnd"/>
      <w:r>
        <w:t xml:space="preserve"> 2008).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D4522" w14:textId="77777777" w:rsidR="00557DBC" w:rsidRDefault="00557D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B80BE9"/>
    <w:multiLevelType w:val="hybridMultilevel"/>
    <w:tmpl w:val="500C4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CF6141"/>
    <w:multiLevelType w:val="hybridMultilevel"/>
    <w:tmpl w:val="9B963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323646"/>
    <w:multiLevelType w:val="hybridMultilevel"/>
    <w:tmpl w:val="795401EC"/>
    <w:lvl w:ilvl="0" w:tplc="13481F9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6B73BB"/>
    <w:multiLevelType w:val="hybridMultilevel"/>
    <w:tmpl w:val="6096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D7255F"/>
    <w:multiLevelType w:val="multilevel"/>
    <w:tmpl w:val="AF10AD0C"/>
    <w:styleLink w:val="AppendixHeadings"/>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6C1DC4"/>
    <w:multiLevelType w:val="multilevel"/>
    <w:tmpl w:val="FFE48A48"/>
    <w:lvl w:ilvl="0">
      <w:start w:val="1"/>
      <w:numFmt w:val="decimal"/>
      <w:pStyle w:val="AppendixHeading1"/>
      <w:lvlText w:val="%1."/>
      <w:lvlJc w:val="left"/>
      <w:pPr>
        <w:ind w:left="360" w:hanging="360"/>
      </w:pPr>
      <w:rPr>
        <w:rFonts w:hint="default"/>
      </w:rPr>
    </w:lvl>
    <w:lvl w:ilvl="1">
      <w:start w:val="1"/>
      <w:numFmt w:val="decimal"/>
      <w:pStyle w:val="Appendix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4274D6F"/>
    <w:multiLevelType w:val="multilevel"/>
    <w:tmpl w:val="19B0CA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25B2B99"/>
    <w:multiLevelType w:val="hybridMultilevel"/>
    <w:tmpl w:val="73226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3DE216F"/>
    <w:multiLevelType w:val="hybridMultilevel"/>
    <w:tmpl w:val="D1E00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82847AD"/>
    <w:multiLevelType w:val="hybridMultilevel"/>
    <w:tmpl w:val="D8E0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BC644C"/>
    <w:multiLevelType w:val="multilevel"/>
    <w:tmpl w:val="211A2B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B724BF2"/>
    <w:multiLevelType w:val="hybridMultilevel"/>
    <w:tmpl w:val="7172B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2E746FE"/>
    <w:multiLevelType w:val="hybridMultilevel"/>
    <w:tmpl w:val="849E0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AD21BD3"/>
    <w:multiLevelType w:val="multilevel"/>
    <w:tmpl w:val="AF10AD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CCF6FF2"/>
    <w:multiLevelType w:val="hybridMultilevel"/>
    <w:tmpl w:val="DB8AE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E9F5FD9"/>
    <w:multiLevelType w:val="hybridMultilevel"/>
    <w:tmpl w:val="7FDEF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14"/>
  </w:num>
  <w:num w:numId="6">
    <w:abstractNumId w:val="10"/>
  </w:num>
  <w:num w:numId="7">
    <w:abstractNumId w:val="6"/>
  </w:num>
  <w:num w:numId="8">
    <w:abstractNumId w:val="4"/>
  </w:num>
  <w:num w:numId="9">
    <w:abstractNumId w:val="18"/>
  </w:num>
  <w:num w:numId="10">
    <w:abstractNumId w:val="3"/>
  </w:num>
  <w:num w:numId="11">
    <w:abstractNumId w:val="11"/>
  </w:num>
  <w:num w:numId="12">
    <w:abstractNumId w:val="17"/>
  </w:num>
  <w:num w:numId="13">
    <w:abstractNumId w:val="9"/>
  </w:num>
  <w:num w:numId="14">
    <w:abstractNumId w:val="16"/>
  </w:num>
  <w:num w:numId="15">
    <w:abstractNumId w:val="7"/>
  </w:num>
  <w:num w:numId="16">
    <w:abstractNumId w:val="13"/>
  </w:num>
  <w:num w:numId="17">
    <w:abstractNumId w:val="8"/>
  </w:num>
  <w:num w:numId="18">
    <w:abstractNumId w:val="8"/>
    <w:lvlOverride w:ilvl="0">
      <w:lvl w:ilvl="0">
        <w:start w:val="1"/>
        <w:numFmt w:val="decimal"/>
        <w:pStyle w:val="AppendixHeading1"/>
        <w:lvlText w:val="%1."/>
        <w:lvlJc w:val="left"/>
        <w:pPr>
          <w:ind w:left="360" w:hanging="360"/>
        </w:pPr>
        <w:rPr>
          <w:rFonts w:hint="default"/>
        </w:rPr>
      </w:lvl>
    </w:lvlOverride>
    <w:lvlOverride w:ilvl="1">
      <w:lvl w:ilvl="1">
        <w:start w:val="1"/>
        <w:numFmt w:val="decimal"/>
        <w:pStyle w:val="AppendixHeading2"/>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6E7"/>
    <w:rsid w:val="000023E5"/>
    <w:rsid w:val="000064A6"/>
    <w:rsid w:val="0001697E"/>
    <w:rsid w:val="00025EBF"/>
    <w:rsid w:val="000342F4"/>
    <w:rsid w:val="00034353"/>
    <w:rsid w:val="000402C0"/>
    <w:rsid w:val="00040360"/>
    <w:rsid w:val="00041BAC"/>
    <w:rsid w:val="00043B3E"/>
    <w:rsid w:val="00047728"/>
    <w:rsid w:val="000547AD"/>
    <w:rsid w:val="000607FD"/>
    <w:rsid w:val="00063092"/>
    <w:rsid w:val="00066064"/>
    <w:rsid w:val="0006714E"/>
    <w:rsid w:val="0009218B"/>
    <w:rsid w:val="000943A5"/>
    <w:rsid w:val="000A0D45"/>
    <w:rsid w:val="000A2761"/>
    <w:rsid w:val="000A48AF"/>
    <w:rsid w:val="000A7B2F"/>
    <w:rsid w:val="000C3E35"/>
    <w:rsid w:val="000C4F7D"/>
    <w:rsid w:val="000C7944"/>
    <w:rsid w:val="000D3B7D"/>
    <w:rsid w:val="000D56E7"/>
    <w:rsid w:val="000D64E1"/>
    <w:rsid w:val="000E42C1"/>
    <w:rsid w:val="000E449E"/>
    <w:rsid w:val="000F6319"/>
    <w:rsid w:val="001005A2"/>
    <w:rsid w:val="0012553C"/>
    <w:rsid w:val="00127ADD"/>
    <w:rsid w:val="0014675F"/>
    <w:rsid w:val="00151027"/>
    <w:rsid w:val="00153AFC"/>
    <w:rsid w:val="0015632D"/>
    <w:rsid w:val="00192EEB"/>
    <w:rsid w:val="001B37D7"/>
    <w:rsid w:val="001D2347"/>
    <w:rsid w:val="001D5C3C"/>
    <w:rsid w:val="001E4189"/>
    <w:rsid w:val="001F05FA"/>
    <w:rsid w:val="001F6647"/>
    <w:rsid w:val="00201F51"/>
    <w:rsid w:val="00210EDC"/>
    <w:rsid w:val="0021128A"/>
    <w:rsid w:val="002147D8"/>
    <w:rsid w:val="00215642"/>
    <w:rsid w:val="0021586F"/>
    <w:rsid w:val="00216277"/>
    <w:rsid w:val="00235054"/>
    <w:rsid w:val="002527BB"/>
    <w:rsid w:val="00253859"/>
    <w:rsid w:val="002568B2"/>
    <w:rsid w:val="002630B9"/>
    <w:rsid w:val="00264CFE"/>
    <w:rsid w:val="0026545D"/>
    <w:rsid w:val="00265A4B"/>
    <w:rsid w:val="0027000E"/>
    <w:rsid w:val="002748F2"/>
    <w:rsid w:val="00283AFC"/>
    <w:rsid w:val="00286D67"/>
    <w:rsid w:val="00292652"/>
    <w:rsid w:val="00296021"/>
    <w:rsid w:val="002B4C4E"/>
    <w:rsid w:val="002C077E"/>
    <w:rsid w:val="002C4D97"/>
    <w:rsid w:val="002D714A"/>
    <w:rsid w:val="002D7DD8"/>
    <w:rsid w:val="002F1221"/>
    <w:rsid w:val="002F4C72"/>
    <w:rsid w:val="00301834"/>
    <w:rsid w:val="00305EC4"/>
    <w:rsid w:val="00311496"/>
    <w:rsid w:val="00312584"/>
    <w:rsid w:val="00315ED5"/>
    <w:rsid w:val="00317BD5"/>
    <w:rsid w:val="003218C1"/>
    <w:rsid w:val="003251F3"/>
    <w:rsid w:val="00325215"/>
    <w:rsid w:val="0033217E"/>
    <w:rsid w:val="00351D97"/>
    <w:rsid w:val="003520C5"/>
    <w:rsid w:val="00355F50"/>
    <w:rsid w:val="0036145F"/>
    <w:rsid w:val="00362002"/>
    <w:rsid w:val="00380242"/>
    <w:rsid w:val="00386372"/>
    <w:rsid w:val="00395012"/>
    <w:rsid w:val="003A48FB"/>
    <w:rsid w:val="003A5C39"/>
    <w:rsid w:val="003B698E"/>
    <w:rsid w:val="003C040B"/>
    <w:rsid w:val="003E2D95"/>
    <w:rsid w:val="003E7235"/>
    <w:rsid w:val="00412505"/>
    <w:rsid w:val="00414423"/>
    <w:rsid w:val="00417D70"/>
    <w:rsid w:val="00420446"/>
    <w:rsid w:val="00421784"/>
    <w:rsid w:val="004257DF"/>
    <w:rsid w:val="004326D3"/>
    <w:rsid w:val="00446183"/>
    <w:rsid w:val="00447FDB"/>
    <w:rsid w:val="00450846"/>
    <w:rsid w:val="004550FD"/>
    <w:rsid w:val="004730EE"/>
    <w:rsid w:val="0048429A"/>
    <w:rsid w:val="004B0F97"/>
    <w:rsid w:val="004C6F39"/>
    <w:rsid w:val="004E3C97"/>
    <w:rsid w:val="004E6E9D"/>
    <w:rsid w:val="005017C9"/>
    <w:rsid w:val="00506627"/>
    <w:rsid w:val="00506AB4"/>
    <w:rsid w:val="00516E57"/>
    <w:rsid w:val="00520697"/>
    <w:rsid w:val="0052430D"/>
    <w:rsid w:val="005246D7"/>
    <w:rsid w:val="00540D0D"/>
    <w:rsid w:val="00542326"/>
    <w:rsid w:val="0054317E"/>
    <w:rsid w:val="005448A8"/>
    <w:rsid w:val="00557DBC"/>
    <w:rsid w:val="00562696"/>
    <w:rsid w:val="00576420"/>
    <w:rsid w:val="005948D7"/>
    <w:rsid w:val="00597CB4"/>
    <w:rsid w:val="005A153E"/>
    <w:rsid w:val="005A4176"/>
    <w:rsid w:val="005B37E9"/>
    <w:rsid w:val="005B71EA"/>
    <w:rsid w:val="005B7ACA"/>
    <w:rsid w:val="005C53D7"/>
    <w:rsid w:val="005D1F17"/>
    <w:rsid w:val="005F39AF"/>
    <w:rsid w:val="005F4E30"/>
    <w:rsid w:val="005F5F74"/>
    <w:rsid w:val="005F6E65"/>
    <w:rsid w:val="00601270"/>
    <w:rsid w:val="00604A43"/>
    <w:rsid w:val="00604BFA"/>
    <w:rsid w:val="00605658"/>
    <w:rsid w:val="00611B70"/>
    <w:rsid w:val="00613726"/>
    <w:rsid w:val="00624D87"/>
    <w:rsid w:val="00640321"/>
    <w:rsid w:val="0064265F"/>
    <w:rsid w:val="0065423A"/>
    <w:rsid w:val="0069106C"/>
    <w:rsid w:val="00691461"/>
    <w:rsid w:val="006960F5"/>
    <w:rsid w:val="006A1688"/>
    <w:rsid w:val="006A77C2"/>
    <w:rsid w:val="006B0011"/>
    <w:rsid w:val="006B10A1"/>
    <w:rsid w:val="006C7D58"/>
    <w:rsid w:val="006D6D3C"/>
    <w:rsid w:val="006D7F7A"/>
    <w:rsid w:val="006E2402"/>
    <w:rsid w:val="006E644D"/>
    <w:rsid w:val="00712550"/>
    <w:rsid w:val="00720CAE"/>
    <w:rsid w:val="00733218"/>
    <w:rsid w:val="0074567C"/>
    <w:rsid w:val="0076397B"/>
    <w:rsid w:val="00771D45"/>
    <w:rsid w:val="00771FCF"/>
    <w:rsid w:val="007753DA"/>
    <w:rsid w:val="00783541"/>
    <w:rsid w:val="00783A1B"/>
    <w:rsid w:val="007866BF"/>
    <w:rsid w:val="007939AC"/>
    <w:rsid w:val="007C1F47"/>
    <w:rsid w:val="007C2656"/>
    <w:rsid w:val="007D423C"/>
    <w:rsid w:val="007F31EC"/>
    <w:rsid w:val="007F44A0"/>
    <w:rsid w:val="0081058E"/>
    <w:rsid w:val="00812837"/>
    <w:rsid w:val="0082436D"/>
    <w:rsid w:val="00826BD7"/>
    <w:rsid w:val="00832D94"/>
    <w:rsid w:val="008478F6"/>
    <w:rsid w:val="0085416F"/>
    <w:rsid w:val="00861760"/>
    <w:rsid w:val="008935DF"/>
    <w:rsid w:val="008A00A9"/>
    <w:rsid w:val="008A0B72"/>
    <w:rsid w:val="008A444B"/>
    <w:rsid w:val="008A68F6"/>
    <w:rsid w:val="008B576F"/>
    <w:rsid w:val="008D1C49"/>
    <w:rsid w:val="008D5866"/>
    <w:rsid w:val="008E6CCB"/>
    <w:rsid w:val="008E6EB7"/>
    <w:rsid w:val="008F5BD1"/>
    <w:rsid w:val="00920FFB"/>
    <w:rsid w:val="00965594"/>
    <w:rsid w:val="00965EE8"/>
    <w:rsid w:val="009907A4"/>
    <w:rsid w:val="009913F5"/>
    <w:rsid w:val="009A23AD"/>
    <w:rsid w:val="009B135D"/>
    <w:rsid w:val="009C2A82"/>
    <w:rsid w:val="009D353F"/>
    <w:rsid w:val="009D5678"/>
    <w:rsid w:val="009E1523"/>
    <w:rsid w:val="009E5EEA"/>
    <w:rsid w:val="009F114E"/>
    <w:rsid w:val="009F5DBC"/>
    <w:rsid w:val="00A056B0"/>
    <w:rsid w:val="00A211E1"/>
    <w:rsid w:val="00A24421"/>
    <w:rsid w:val="00A26246"/>
    <w:rsid w:val="00A277C5"/>
    <w:rsid w:val="00A32BF8"/>
    <w:rsid w:val="00A37211"/>
    <w:rsid w:val="00A45BD4"/>
    <w:rsid w:val="00A629AB"/>
    <w:rsid w:val="00A65879"/>
    <w:rsid w:val="00A7035E"/>
    <w:rsid w:val="00A83E33"/>
    <w:rsid w:val="00A917CF"/>
    <w:rsid w:val="00AA2048"/>
    <w:rsid w:val="00AB09E9"/>
    <w:rsid w:val="00AB17A7"/>
    <w:rsid w:val="00AB5456"/>
    <w:rsid w:val="00AC241C"/>
    <w:rsid w:val="00AC2514"/>
    <w:rsid w:val="00AD06E7"/>
    <w:rsid w:val="00AD5FB0"/>
    <w:rsid w:val="00AD7486"/>
    <w:rsid w:val="00AF102B"/>
    <w:rsid w:val="00AF4A92"/>
    <w:rsid w:val="00B01C94"/>
    <w:rsid w:val="00B07E5A"/>
    <w:rsid w:val="00B12D0A"/>
    <w:rsid w:val="00B15E03"/>
    <w:rsid w:val="00B17C4E"/>
    <w:rsid w:val="00B21AD2"/>
    <w:rsid w:val="00B22B24"/>
    <w:rsid w:val="00B3328F"/>
    <w:rsid w:val="00B332F7"/>
    <w:rsid w:val="00B428FF"/>
    <w:rsid w:val="00B43628"/>
    <w:rsid w:val="00B53406"/>
    <w:rsid w:val="00B60DA1"/>
    <w:rsid w:val="00B726A1"/>
    <w:rsid w:val="00B74868"/>
    <w:rsid w:val="00B75DF2"/>
    <w:rsid w:val="00B82901"/>
    <w:rsid w:val="00B84D0A"/>
    <w:rsid w:val="00B94F35"/>
    <w:rsid w:val="00B95419"/>
    <w:rsid w:val="00BA3A79"/>
    <w:rsid w:val="00BA4346"/>
    <w:rsid w:val="00BB0027"/>
    <w:rsid w:val="00BB2F35"/>
    <w:rsid w:val="00BB6DE7"/>
    <w:rsid w:val="00BC62FD"/>
    <w:rsid w:val="00BD4EA9"/>
    <w:rsid w:val="00BE1686"/>
    <w:rsid w:val="00BF3383"/>
    <w:rsid w:val="00C0222B"/>
    <w:rsid w:val="00C35485"/>
    <w:rsid w:val="00C36840"/>
    <w:rsid w:val="00C50BA1"/>
    <w:rsid w:val="00C51308"/>
    <w:rsid w:val="00C52746"/>
    <w:rsid w:val="00C61D77"/>
    <w:rsid w:val="00C66BE3"/>
    <w:rsid w:val="00C96AFE"/>
    <w:rsid w:val="00CA1D5E"/>
    <w:rsid w:val="00CB0E66"/>
    <w:rsid w:val="00CC4F81"/>
    <w:rsid w:val="00CE2C07"/>
    <w:rsid w:val="00CE41FF"/>
    <w:rsid w:val="00CE7BF0"/>
    <w:rsid w:val="00CE7C31"/>
    <w:rsid w:val="00CF07FD"/>
    <w:rsid w:val="00D17AB2"/>
    <w:rsid w:val="00D27963"/>
    <w:rsid w:val="00D27DD4"/>
    <w:rsid w:val="00D31689"/>
    <w:rsid w:val="00D3655C"/>
    <w:rsid w:val="00D448AC"/>
    <w:rsid w:val="00D52399"/>
    <w:rsid w:val="00D55355"/>
    <w:rsid w:val="00D64CE3"/>
    <w:rsid w:val="00D660A2"/>
    <w:rsid w:val="00D75F8C"/>
    <w:rsid w:val="00D81409"/>
    <w:rsid w:val="00D8395E"/>
    <w:rsid w:val="00D859E5"/>
    <w:rsid w:val="00D86466"/>
    <w:rsid w:val="00D86EFC"/>
    <w:rsid w:val="00D952EB"/>
    <w:rsid w:val="00D955B4"/>
    <w:rsid w:val="00D97BFB"/>
    <w:rsid w:val="00DA15A5"/>
    <w:rsid w:val="00DA3926"/>
    <w:rsid w:val="00DB6F15"/>
    <w:rsid w:val="00DC4EBC"/>
    <w:rsid w:val="00DF038F"/>
    <w:rsid w:val="00E00557"/>
    <w:rsid w:val="00E24800"/>
    <w:rsid w:val="00E257D1"/>
    <w:rsid w:val="00E34134"/>
    <w:rsid w:val="00E45C86"/>
    <w:rsid w:val="00E5104B"/>
    <w:rsid w:val="00E53D0D"/>
    <w:rsid w:val="00E54BE3"/>
    <w:rsid w:val="00E55F60"/>
    <w:rsid w:val="00E565CD"/>
    <w:rsid w:val="00E8235E"/>
    <w:rsid w:val="00E842B6"/>
    <w:rsid w:val="00E84356"/>
    <w:rsid w:val="00E85013"/>
    <w:rsid w:val="00E90846"/>
    <w:rsid w:val="00EB2F1F"/>
    <w:rsid w:val="00EB2FDF"/>
    <w:rsid w:val="00EB3A1B"/>
    <w:rsid w:val="00EC0827"/>
    <w:rsid w:val="00EC72FB"/>
    <w:rsid w:val="00ED4E41"/>
    <w:rsid w:val="00ED70B1"/>
    <w:rsid w:val="00EE67C9"/>
    <w:rsid w:val="00EF1F15"/>
    <w:rsid w:val="00F001E1"/>
    <w:rsid w:val="00F11C81"/>
    <w:rsid w:val="00F171F7"/>
    <w:rsid w:val="00F2648C"/>
    <w:rsid w:val="00F4232B"/>
    <w:rsid w:val="00F51624"/>
    <w:rsid w:val="00F540BF"/>
    <w:rsid w:val="00F54612"/>
    <w:rsid w:val="00F56536"/>
    <w:rsid w:val="00F573C1"/>
    <w:rsid w:val="00F62428"/>
    <w:rsid w:val="00F74E1B"/>
    <w:rsid w:val="00F80944"/>
    <w:rsid w:val="00F96617"/>
    <w:rsid w:val="00FA1C30"/>
    <w:rsid w:val="00FA4FF0"/>
    <w:rsid w:val="00FA61F4"/>
    <w:rsid w:val="00FB3B21"/>
    <w:rsid w:val="00FB5E70"/>
    <w:rsid w:val="00FD0E24"/>
    <w:rsid w:val="00FD6F6A"/>
    <w:rsid w:val="00FE4C2F"/>
    <w:rsid w:val="00FE7291"/>
    <w:rsid w:val="042270D9"/>
    <w:rsid w:val="1B8C01B4"/>
    <w:rsid w:val="1B928F7B"/>
    <w:rsid w:val="66DC82C5"/>
    <w:rsid w:val="6F3F0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01656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semiHidden="0" w:uiPriority="35" w:unhideWhenUsed="0"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lsdException w:name="Emphasis" w:semiHidden="0" w:uiPriority="0" w:unhideWhenUsed="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0" w:unhideWhenUsed="0"/>
  </w:latentStyles>
  <w:style w:type="paragraph" w:default="1" w:styleId="Normal">
    <w:name w:val="Normal"/>
    <w:qFormat/>
    <w:rsid w:val="00192EEB"/>
    <w:pPr>
      <w:widowControl w:val="0"/>
      <w:tabs>
        <w:tab w:val="left" w:pos="360"/>
        <w:tab w:val="left" w:pos="709"/>
      </w:tabs>
      <w:suppressAutoHyphens/>
      <w:spacing w:line="480" w:lineRule="auto"/>
    </w:pPr>
  </w:style>
  <w:style w:type="paragraph" w:styleId="Heading1">
    <w:name w:val="heading 1"/>
    <w:basedOn w:val="Normal"/>
    <w:next w:val="BodyText"/>
    <w:autoRedefine/>
    <w:qFormat/>
    <w:rsid w:val="005B7ACA"/>
    <w:pPr>
      <w:jc w:val="center"/>
      <w:outlineLvl w:val="0"/>
    </w:pPr>
    <w:rPr>
      <w:b/>
      <w:sz w:val="28"/>
    </w:rPr>
  </w:style>
  <w:style w:type="paragraph" w:styleId="Heading2">
    <w:name w:val="heading 2"/>
    <w:basedOn w:val="Normal"/>
    <w:next w:val="BodyText"/>
    <w:qFormat/>
    <w:rsid w:val="009907A4"/>
    <w:pPr>
      <w:numPr>
        <w:ilvl w:val="1"/>
        <w:numId w:val="1"/>
      </w:numPr>
      <w:outlineLvl w:val="1"/>
    </w:pPr>
    <w:rPr>
      <w:i/>
    </w:rPr>
  </w:style>
  <w:style w:type="paragraph" w:styleId="Heading3">
    <w:name w:val="heading 3"/>
    <w:basedOn w:val="Normal"/>
    <w:next w:val="BodyText"/>
    <w:pPr>
      <w:numPr>
        <w:ilvl w:val="2"/>
        <w:numId w:val="1"/>
      </w:numPr>
      <w:outlineLvl w:val="2"/>
    </w:pPr>
  </w:style>
  <w:style w:type="paragraph" w:styleId="Heading4">
    <w:name w:val="heading 4"/>
    <w:basedOn w:val="Normal"/>
    <w:next w:val="BodyText"/>
    <w:pPr>
      <w:numPr>
        <w:ilvl w:val="3"/>
        <w:numId w:val="1"/>
      </w:numPr>
      <w:spacing w:before="240" w:after="40"/>
      <w:outlineLvl w:val="3"/>
    </w:pPr>
  </w:style>
  <w:style w:type="paragraph" w:styleId="Heading5">
    <w:name w:val="heading 5"/>
    <w:basedOn w:val="Normal"/>
    <w:next w:val="BodyText"/>
    <w:pPr>
      <w:numPr>
        <w:ilvl w:val="4"/>
        <w:numId w:val="1"/>
      </w:numPr>
      <w:spacing w:before="220" w:after="40"/>
      <w:outlineLvl w:val="4"/>
    </w:pPr>
  </w:style>
  <w:style w:type="paragraph" w:styleId="Heading6">
    <w:name w:val="heading 6"/>
    <w:basedOn w:val="Normal"/>
    <w:next w:val="BodyText"/>
    <w:pPr>
      <w:numPr>
        <w:ilvl w:val="5"/>
        <w:numId w:val="1"/>
      </w:numPr>
      <w:spacing w:before="200" w:after="40"/>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rPr>
  </w:style>
  <w:style w:type="character" w:customStyle="1" w:styleId="WW-DefaultParagraphFont">
    <w:name w:val="WW-Default Paragraph Font"/>
  </w:style>
  <w:style w:type="character" w:styleId="PlaceholderText">
    <w:name w:val="Placeholder Text"/>
    <w:basedOn w:val="DefaultParagraphFont"/>
    <w:uiPriority w:val="99"/>
    <w:semiHidden/>
    <w:rsid w:val="00235054"/>
    <w:rPr>
      <w:color w:val="808080"/>
    </w:rPr>
  </w:style>
  <w:style w:type="character" w:customStyle="1" w:styleId="CommentReference1">
    <w:name w:val="Comment Reference1"/>
    <w:rPr>
      <w:sz w:val="16"/>
      <w:szCs w:val="16"/>
    </w:rPr>
  </w:style>
  <w:style w:type="character" w:customStyle="1" w:styleId="FootnoteCharacters">
    <w:name w:val="Footnote Characters"/>
  </w:style>
  <w:style w:type="character" w:styleId="FootnoteReference">
    <w:name w:val="footnote reference"/>
    <w:qFormat/>
    <w:rPr>
      <w:vertAlign w:val="superscript"/>
    </w:rPr>
  </w:style>
  <w:style w:type="character" w:customStyle="1" w:styleId="CaptionCharacters">
    <w:name w:val="Caption Characters"/>
  </w:style>
  <w:style w:type="character" w:customStyle="1" w:styleId="NumberingSymbols">
    <w:name w:val="Numbering Symbols"/>
  </w:style>
  <w:style w:type="character" w:styleId="Hyperlink">
    <w:name w:val="Hyperlink"/>
    <w:qFormat/>
    <w:rsid w:val="00733218"/>
    <w:rPr>
      <w:color w:val="C0504D" w:themeColor="accent2"/>
    </w:rPr>
  </w:style>
  <w:style w:type="character" w:styleId="Strong">
    <w:name w:val="Strong"/>
    <w:rPr>
      <w:b/>
      <w:bCs/>
    </w:rPr>
  </w:style>
  <w:style w:type="character" w:styleId="Emphasis">
    <w:name w:val="Emphasis"/>
    <w:rPr>
      <w:i/>
      <w:iCs/>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TextChar">
    <w:name w:val="Endnote Text Char"/>
    <w:rPr>
      <w:sz w:val="24"/>
      <w:szCs w:val="24"/>
    </w:rPr>
  </w:style>
  <w:style w:type="character" w:styleId="EndnoteReference">
    <w:name w:val="endnote reference"/>
    <w:rPr>
      <w:vertAlign w:val="superscript"/>
    </w:rPr>
  </w:style>
  <w:style w:type="character" w:customStyle="1" w:styleId="FootnoteTextChar">
    <w:name w:val="Footnote Text Char"/>
  </w:style>
  <w:style w:type="character" w:styleId="FollowedHyperlink">
    <w:name w:val="FollowedHyperlink"/>
  </w:style>
  <w:style w:type="character" w:customStyle="1" w:styleId="BalloonTextChar">
    <w:name w:val="Balloon Text Char"/>
  </w:style>
  <w:style w:type="character" w:customStyle="1" w:styleId="apple-converted-space">
    <w:name w:val="apple-converted-space"/>
    <w:basedOn w:val="DefaultParagraphFont"/>
  </w:style>
  <w:style w:type="paragraph" w:customStyle="1" w:styleId="Heading">
    <w:name w:val="Heading"/>
    <w:basedOn w:val="Normal"/>
    <w:next w:val="BodyText"/>
    <w:pPr>
      <w:keepNext/>
      <w:spacing w:before="240" w:after="120"/>
    </w:p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uiPriority w:val="35"/>
    <w:qFormat/>
    <w:rsid w:val="00604BFA"/>
    <w:pPr>
      <w:keepLines/>
      <w:suppressLineNumbers/>
      <w:spacing w:after="200" w:line="240" w:lineRule="auto"/>
    </w:pPr>
    <w:rPr>
      <w:b/>
    </w:rPr>
  </w:style>
  <w:style w:type="paragraph" w:customStyle="1" w:styleId="Index">
    <w:name w:val="Index"/>
    <w:basedOn w:val="Normal"/>
    <w:pPr>
      <w:suppressLineNumbers/>
    </w:pPr>
  </w:style>
  <w:style w:type="paragraph" w:customStyle="1" w:styleId="NoList1">
    <w:name w:val="No List1"/>
    <w:pPr>
      <w:widowControl w:val="0"/>
      <w:suppressAutoHyphens/>
    </w:pPr>
  </w:style>
  <w:style w:type="paragraph" w:styleId="Title">
    <w:name w:val="Title"/>
    <w:basedOn w:val="Normal"/>
    <w:next w:val="Subtitle"/>
    <w:qFormat/>
    <w:rsid w:val="00E84356"/>
    <w:pPr>
      <w:jc w:val="center"/>
    </w:pPr>
    <w:rPr>
      <w:b/>
      <w:sz w:val="44"/>
    </w:rPr>
  </w:style>
  <w:style w:type="paragraph" w:styleId="Subtitle">
    <w:name w:val="Subtitle"/>
    <w:basedOn w:val="Normal"/>
    <w:next w:val="BodyText"/>
    <w:qFormat/>
    <w:rsid w:val="00E84356"/>
    <w:pPr>
      <w:jc w:val="center"/>
    </w:pPr>
    <w:rPr>
      <w:i/>
      <w:sz w:val="26"/>
    </w:rPr>
  </w:style>
  <w:style w:type="paragraph" w:customStyle="1" w:styleId="FootnoteText1">
    <w:name w:val="Footnote Text1"/>
    <w:basedOn w:val="Normal"/>
  </w:style>
  <w:style w:type="paragraph" w:styleId="Footer">
    <w:name w:val="footer"/>
    <w:basedOn w:val="Normal"/>
    <w:pPr>
      <w:suppressLineNumbers/>
    </w:pPr>
  </w:style>
  <w:style w:type="paragraph" w:customStyle="1" w:styleId="TableContents">
    <w:name w:val="Table Contents"/>
    <w:basedOn w:val="Normal"/>
    <w:pPr>
      <w:suppressLineNumbers/>
      <w:spacing w:line="100" w:lineRule="atLeast"/>
    </w:pPr>
  </w:style>
  <w:style w:type="paragraph" w:styleId="FootnoteText">
    <w:name w:val="footnote text"/>
    <w:basedOn w:val="Normal"/>
    <w:qFormat/>
    <w:rsid w:val="00E257D1"/>
    <w:pPr>
      <w:suppressLineNumbers/>
      <w:spacing w:after="144" w:line="240" w:lineRule="auto"/>
    </w:pPr>
  </w:style>
  <w:style w:type="paragraph" w:customStyle="1" w:styleId="Figure">
    <w:name w:val="Figure"/>
    <w:basedOn w:val="Caption"/>
    <w:pPr>
      <w:spacing w:line="100" w:lineRule="atLeast"/>
    </w:pPr>
  </w:style>
  <w:style w:type="paragraph" w:styleId="BodyTextFirstIndent">
    <w:name w:val="Body Text First Indent"/>
    <w:basedOn w:val="BodyText"/>
    <w:pPr>
      <w:spacing w:after="0"/>
      <w:ind w:firstLine="283"/>
    </w:pPr>
  </w:style>
  <w:style w:type="paragraph" w:styleId="Header">
    <w:name w:val="header"/>
    <w:basedOn w:val="Normal"/>
    <w:pPr>
      <w:suppressLineNumbers/>
    </w:pPr>
    <w:rPr>
      <w:rFonts w:ascii="Gill Sans" w:hAnsi="Gill Sans"/>
    </w:rPr>
  </w:style>
  <w:style w:type="paragraph" w:customStyle="1" w:styleId="Framecontents">
    <w:name w:val="Frame contents"/>
    <w:basedOn w:val="BodyText"/>
  </w:style>
  <w:style w:type="paragraph" w:customStyle="1" w:styleId="TableHeading">
    <w:name w:val="Table Heading"/>
    <w:basedOn w:val="TableContents"/>
    <w:pPr>
      <w:jc w:val="center"/>
    </w:pPr>
    <w:rPr>
      <w:b/>
      <w:bCs/>
    </w:rPr>
  </w:style>
  <w:style w:type="paragraph" w:customStyle="1" w:styleId="Table">
    <w:name w:val="Table"/>
    <w:basedOn w:val="Caption"/>
    <w:pPr>
      <w:spacing w:line="100" w:lineRule="atLeast"/>
    </w:pPr>
  </w:style>
  <w:style w:type="paragraph" w:customStyle="1" w:styleId="AbstractText">
    <w:name w:val="Abstract Text"/>
    <w:basedOn w:val="Normal"/>
    <w:pPr>
      <w:spacing w:line="100" w:lineRule="atLeast"/>
      <w:ind w:left="1080" w:right="1080"/>
      <w:jc w:val="both"/>
    </w:pPr>
  </w:style>
  <w:style w:type="paragraph" w:customStyle="1" w:styleId="AbstractLabel">
    <w:name w:val="Abstract Label"/>
    <w:basedOn w:val="AbstractText"/>
    <w:pPr>
      <w:spacing w:line="480" w:lineRule="auto"/>
      <w:jc w:val="center"/>
    </w:pPr>
  </w:style>
  <w:style w:type="paragraph" w:styleId="Quote">
    <w:name w:val="Quote"/>
    <w:basedOn w:val="Normal"/>
    <w:pPr>
      <w:ind w:left="1080" w:right="1080"/>
    </w:pPr>
  </w:style>
  <w:style w:type="paragraph" w:customStyle="1" w:styleId="HypothesisText">
    <w:name w:val="Hypothesis Text"/>
    <w:basedOn w:val="Normal"/>
    <w:pPr>
      <w:ind w:left="720" w:right="720"/>
    </w:pPr>
  </w:style>
  <w:style w:type="paragraph" w:customStyle="1" w:styleId="Quotations">
    <w:name w:val="Quotations"/>
    <w:basedOn w:val="Normal"/>
    <w:pPr>
      <w:spacing w:after="283"/>
      <w:ind w:left="567" w:right="567"/>
    </w:pPr>
  </w:style>
  <w:style w:type="paragraph" w:customStyle="1" w:styleId="Affiliation">
    <w:name w:val="Affiliation"/>
    <w:basedOn w:val="Normal"/>
    <w:pPr>
      <w:spacing w:line="100" w:lineRule="atLeast"/>
      <w:jc w:val="center"/>
    </w:pPr>
    <w:rPr>
      <w:sz w:val="21"/>
    </w:rPr>
  </w:style>
  <w:style w:type="paragraph" w:customStyle="1" w:styleId="References">
    <w:name w:val="References"/>
    <w:basedOn w:val="Normal"/>
    <w:qFormat/>
    <w:rsid w:val="003A5C39"/>
    <w:pPr>
      <w:spacing w:after="288" w:line="240" w:lineRule="auto"/>
      <w:ind w:left="720" w:hanging="720"/>
    </w:pPr>
  </w:style>
  <w:style w:type="paragraph" w:styleId="EndnoteText">
    <w:name w:val="endnote text"/>
    <w:basedOn w:val="Normal"/>
  </w:style>
  <w:style w:type="paragraph" w:styleId="TOCHeading">
    <w:name w:val="TOC Heading"/>
    <w:basedOn w:val="Heading1"/>
    <w:next w:val="Normal"/>
    <w:pPr>
      <w:keepNext/>
      <w:keepLines/>
      <w:suppressAutoHyphens w:val="0"/>
      <w:spacing w:before="480" w:line="276" w:lineRule="auto"/>
      <w:jc w:val="left"/>
    </w:pPr>
  </w:style>
  <w:style w:type="paragraph" w:styleId="TOC1">
    <w:name w:val="toc 1"/>
    <w:basedOn w:val="Normal"/>
    <w:next w:val="Normal"/>
    <w:pPr>
      <w:spacing w:before="240" w:after="120"/>
    </w:pPr>
  </w:style>
  <w:style w:type="paragraph" w:styleId="TOC2">
    <w:name w:val="toc 2"/>
    <w:basedOn w:val="Normal"/>
    <w:next w:val="Normal"/>
  </w:style>
  <w:style w:type="paragraph" w:styleId="TOC3">
    <w:name w:val="toc 3"/>
    <w:basedOn w:val="Normal"/>
    <w:next w:val="Normal"/>
  </w:style>
  <w:style w:type="paragraph" w:styleId="TOC4">
    <w:name w:val="toc 4"/>
    <w:basedOn w:val="Normal"/>
    <w:next w:val="Normal"/>
  </w:style>
  <w:style w:type="paragraph" w:styleId="TOC5">
    <w:name w:val="toc 5"/>
    <w:basedOn w:val="Normal"/>
    <w:next w:val="Normal"/>
  </w:style>
  <w:style w:type="paragraph" w:styleId="TOC6">
    <w:name w:val="toc 6"/>
    <w:basedOn w:val="Normal"/>
    <w:next w:val="Normal"/>
  </w:style>
  <w:style w:type="paragraph" w:styleId="TOC7">
    <w:name w:val="toc 7"/>
    <w:basedOn w:val="Normal"/>
    <w:next w:val="Normal"/>
  </w:style>
  <w:style w:type="paragraph" w:styleId="TOC8">
    <w:name w:val="toc 8"/>
    <w:basedOn w:val="Normal"/>
    <w:next w:val="Normal"/>
  </w:style>
  <w:style w:type="paragraph" w:styleId="TOC9">
    <w:name w:val="toc 9"/>
    <w:basedOn w:val="Normal"/>
    <w:next w:val="Normal"/>
  </w:style>
  <w:style w:type="paragraph" w:styleId="BalloonText">
    <w:name w:val="Balloon Text"/>
    <w:basedOn w:val="Normal"/>
    <w:pPr>
      <w:spacing w:line="240" w:lineRule="auto"/>
    </w:pPr>
  </w:style>
  <w:style w:type="paragraph" w:styleId="NormalWeb">
    <w:name w:val="Normal (Web)"/>
    <w:basedOn w:val="Normal"/>
    <w:uiPriority w:val="99"/>
    <w:pPr>
      <w:suppressAutoHyphens w:val="0"/>
      <w:spacing w:before="280" w:after="115" w:line="240" w:lineRule="auto"/>
    </w:pPr>
    <w:rPr>
      <w:rFonts w:ascii="Times" w:hAnsi="Times"/>
    </w:rPr>
  </w:style>
  <w:style w:type="table" w:styleId="TableGrid">
    <w:name w:val="Table Grid"/>
    <w:basedOn w:val="TableNormal"/>
    <w:uiPriority w:val="59"/>
    <w:rsid w:val="009907A4"/>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9907A4"/>
    <w:pPr>
      <w:ind w:left="720"/>
      <w:contextualSpacing/>
    </w:pPr>
    <w:rPr>
      <w:sz w:val="20"/>
    </w:rPr>
  </w:style>
  <w:style w:type="numbering" w:customStyle="1" w:styleId="AppendixHeadings">
    <w:name w:val="Appendix Headings"/>
    <w:uiPriority w:val="99"/>
    <w:rsid w:val="00265A4B"/>
    <w:pPr>
      <w:numPr>
        <w:numId w:val="15"/>
      </w:numPr>
    </w:pPr>
  </w:style>
  <w:style w:type="paragraph" w:customStyle="1" w:styleId="AppendixText">
    <w:name w:val="Appendix Text"/>
    <w:basedOn w:val="BodyText"/>
    <w:qFormat/>
    <w:rsid w:val="009907A4"/>
    <w:pPr>
      <w:spacing w:line="360" w:lineRule="auto"/>
    </w:pPr>
    <w:rPr>
      <w:sz w:val="20"/>
    </w:rPr>
  </w:style>
  <w:style w:type="paragraph" w:customStyle="1" w:styleId="AppendixHeading1">
    <w:name w:val="Appendix Heading 1"/>
    <w:basedOn w:val="Heading1"/>
    <w:qFormat/>
    <w:rsid w:val="005B7ACA"/>
    <w:pPr>
      <w:numPr>
        <w:numId w:val="17"/>
      </w:numPr>
      <w:jc w:val="left"/>
    </w:pPr>
  </w:style>
  <w:style w:type="paragraph" w:customStyle="1" w:styleId="AppendixHeading2">
    <w:name w:val="Appendix Heading 2"/>
    <w:basedOn w:val="Heading2"/>
    <w:next w:val="AppendixText"/>
    <w:qFormat/>
    <w:rsid w:val="00265A4B"/>
    <w:pPr>
      <w:numPr>
        <w:numId w:val="17"/>
      </w:numPr>
    </w:pPr>
  </w:style>
  <w:style w:type="paragraph" w:styleId="Revision">
    <w:name w:val="Revision"/>
    <w:hidden/>
    <w:uiPriority w:val="99"/>
    <w:semiHidden/>
    <w:rsid w:val="00CE7C31"/>
  </w:style>
  <w:style w:type="character" w:customStyle="1" w:styleId="BodyTextChar">
    <w:name w:val="Body Text Char"/>
    <w:basedOn w:val="DefaultParagraphFont"/>
    <w:link w:val="BodyText"/>
    <w:rsid w:val="00EC72FB"/>
  </w:style>
  <w:style w:type="paragraph" w:customStyle="1" w:styleId="TableFigureNote">
    <w:name w:val="Table/Figure Note"/>
    <w:basedOn w:val="Normal"/>
    <w:qFormat/>
    <w:rsid w:val="00D27DD4"/>
    <w:pPr>
      <w:widowControl/>
      <w:tabs>
        <w:tab w:val="clear" w:pos="360"/>
        <w:tab w:val="clear" w:pos="709"/>
      </w:tabs>
      <w:suppressAutoHyphens w:val="0"/>
      <w:spacing w:line="240" w:lineRule="auto"/>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semiHidden="0" w:uiPriority="35" w:unhideWhenUsed="0"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lsdException w:name="Emphasis" w:semiHidden="0" w:uiPriority="0" w:unhideWhenUsed="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0" w:unhideWhenUsed="0"/>
  </w:latentStyles>
  <w:style w:type="paragraph" w:default="1" w:styleId="Normal">
    <w:name w:val="Normal"/>
    <w:qFormat/>
    <w:rsid w:val="00192EEB"/>
    <w:pPr>
      <w:widowControl w:val="0"/>
      <w:tabs>
        <w:tab w:val="left" w:pos="360"/>
        <w:tab w:val="left" w:pos="709"/>
      </w:tabs>
      <w:suppressAutoHyphens/>
      <w:spacing w:line="480" w:lineRule="auto"/>
    </w:pPr>
  </w:style>
  <w:style w:type="paragraph" w:styleId="Heading1">
    <w:name w:val="heading 1"/>
    <w:basedOn w:val="Normal"/>
    <w:next w:val="BodyText"/>
    <w:autoRedefine/>
    <w:qFormat/>
    <w:rsid w:val="005B7ACA"/>
    <w:pPr>
      <w:jc w:val="center"/>
      <w:outlineLvl w:val="0"/>
    </w:pPr>
    <w:rPr>
      <w:b/>
      <w:sz w:val="28"/>
    </w:rPr>
  </w:style>
  <w:style w:type="paragraph" w:styleId="Heading2">
    <w:name w:val="heading 2"/>
    <w:basedOn w:val="Normal"/>
    <w:next w:val="BodyText"/>
    <w:qFormat/>
    <w:rsid w:val="009907A4"/>
    <w:pPr>
      <w:numPr>
        <w:ilvl w:val="1"/>
        <w:numId w:val="1"/>
      </w:numPr>
      <w:outlineLvl w:val="1"/>
    </w:pPr>
    <w:rPr>
      <w:i/>
    </w:rPr>
  </w:style>
  <w:style w:type="paragraph" w:styleId="Heading3">
    <w:name w:val="heading 3"/>
    <w:basedOn w:val="Normal"/>
    <w:next w:val="BodyText"/>
    <w:pPr>
      <w:numPr>
        <w:ilvl w:val="2"/>
        <w:numId w:val="1"/>
      </w:numPr>
      <w:outlineLvl w:val="2"/>
    </w:pPr>
  </w:style>
  <w:style w:type="paragraph" w:styleId="Heading4">
    <w:name w:val="heading 4"/>
    <w:basedOn w:val="Normal"/>
    <w:next w:val="BodyText"/>
    <w:pPr>
      <w:numPr>
        <w:ilvl w:val="3"/>
        <w:numId w:val="1"/>
      </w:numPr>
      <w:spacing w:before="240" w:after="40"/>
      <w:outlineLvl w:val="3"/>
    </w:pPr>
  </w:style>
  <w:style w:type="paragraph" w:styleId="Heading5">
    <w:name w:val="heading 5"/>
    <w:basedOn w:val="Normal"/>
    <w:next w:val="BodyText"/>
    <w:pPr>
      <w:numPr>
        <w:ilvl w:val="4"/>
        <w:numId w:val="1"/>
      </w:numPr>
      <w:spacing w:before="220" w:after="40"/>
      <w:outlineLvl w:val="4"/>
    </w:pPr>
  </w:style>
  <w:style w:type="paragraph" w:styleId="Heading6">
    <w:name w:val="heading 6"/>
    <w:basedOn w:val="Normal"/>
    <w:next w:val="BodyText"/>
    <w:pPr>
      <w:numPr>
        <w:ilvl w:val="5"/>
        <w:numId w:val="1"/>
      </w:numPr>
      <w:spacing w:before="200" w:after="40"/>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rPr>
  </w:style>
  <w:style w:type="character" w:customStyle="1" w:styleId="WW-DefaultParagraphFont">
    <w:name w:val="WW-Default Paragraph Font"/>
  </w:style>
  <w:style w:type="character" w:styleId="PlaceholderText">
    <w:name w:val="Placeholder Text"/>
    <w:basedOn w:val="DefaultParagraphFont"/>
    <w:uiPriority w:val="99"/>
    <w:semiHidden/>
    <w:rsid w:val="00235054"/>
    <w:rPr>
      <w:color w:val="808080"/>
    </w:rPr>
  </w:style>
  <w:style w:type="character" w:customStyle="1" w:styleId="CommentReference1">
    <w:name w:val="Comment Reference1"/>
    <w:rPr>
      <w:sz w:val="16"/>
      <w:szCs w:val="16"/>
    </w:rPr>
  </w:style>
  <w:style w:type="character" w:customStyle="1" w:styleId="FootnoteCharacters">
    <w:name w:val="Footnote Characters"/>
  </w:style>
  <w:style w:type="character" w:styleId="FootnoteReference">
    <w:name w:val="footnote reference"/>
    <w:qFormat/>
    <w:rPr>
      <w:vertAlign w:val="superscript"/>
    </w:rPr>
  </w:style>
  <w:style w:type="character" w:customStyle="1" w:styleId="CaptionCharacters">
    <w:name w:val="Caption Characters"/>
  </w:style>
  <w:style w:type="character" w:customStyle="1" w:styleId="NumberingSymbols">
    <w:name w:val="Numbering Symbols"/>
  </w:style>
  <w:style w:type="character" w:styleId="Hyperlink">
    <w:name w:val="Hyperlink"/>
    <w:qFormat/>
    <w:rsid w:val="00733218"/>
    <w:rPr>
      <w:color w:val="C0504D" w:themeColor="accent2"/>
    </w:rPr>
  </w:style>
  <w:style w:type="character" w:styleId="Strong">
    <w:name w:val="Strong"/>
    <w:rPr>
      <w:b/>
      <w:bCs/>
    </w:rPr>
  </w:style>
  <w:style w:type="character" w:styleId="Emphasis">
    <w:name w:val="Emphasis"/>
    <w:rPr>
      <w:i/>
      <w:iCs/>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TextChar">
    <w:name w:val="Endnote Text Char"/>
    <w:rPr>
      <w:sz w:val="24"/>
      <w:szCs w:val="24"/>
    </w:rPr>
  </w:style>
  <w:style w:type="character" w:styleId="EndnoteReference">
    <w:name w:val="endnote reference"/>
    <w:rPr>
      <w:vertAlign w:val="superscript"/>
    </w:rPr>
  </w:style>
  <w:style w:type="character" w:customStyle="1" w:styleId="FootnoteTextChar">
    <w:name w:val="Footnote Text Char"/>
  </w:style>
  <w:style w:type="character" w:styleId="FollowedHyperlink">
    <w:name w:val="FollowedHyperlink"/>
  </w:style>
  <w:style w:type="character" w:customStyle="1" w:styleId="BalloonTextChar">
    <w:name w:val="Balloon Text Char"/>
  </w:style>
  <w:style w:type="character" w:customStyle="1" w:styleId="apple-converted-space">
    <w:name w:val="apple-converted-space"/>
    <w:basedOn w:val="DefaultParagraphFont"/>
  </w:style>
  <w:style w:type="paragraph" w:customStyle="1" w:styleId="Heading">
    <w:name w:val="Heading"/>
    <w:basedOn w:val="Normal"/>
    <w:next w:val="BodyText"/>
    <w:pPr>
      <w:keepNext/>
      <w:spacing w:before="240" w:after="120"/>
    </w:p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uiPriority w:val="35"/>
    <w:qFormat/>
    <w:rsid w:val="00604BFA"/>
    <w:pPr>
      <w:keepLines/>
      <w:suppressLineNumbers/>
      <w:spacing w:after="200" w:line="240" w:lineRule="auto"/>
    </w:pPr>
    <w:rPr>
      <w:b/>
    </w:rPr>
  </w:style>
  <w:style w:type="paragraph" w:customStyle="1" w:styleId="Index">
    <w:name w:val="Index"/>
    <w:basedOn w:val="Normal"/>
    <w:pPr>
      <w:suppressLineNumbers/>
    </w:pPr>
  </w:style>
  <w:style w:type="paragraph" w:customStyle="1" w:styleId="NoList1">
    <w:name w:val="No List1"/>
    <w:pPr>
      <w:widowControl w:val="0"/>
      <w:suppressAutoHyphens/>
    </w:pPr>
  </w:style>
  <w:style w:type="paragraph" w:styleId="Title">
    <w:name w:val="Title"/>
    <w:basedOn w:val="Normal"/>
    <w:next w:val="Subtitle"/>
    <w:qFormat/>
    <w:rsid w:val="00E84356"/>
    <w:pPr>
      <w:jc w:val="center"/>
    </w:pPr>
    <w:rPr>
      <w:b/>
      <w:sz w:val="44"/>
    </w:rPr>
  </w:style>
  <w:style w:type="paragraph" w:styleId="Subtitle">
    <w:name w:val="Subtitle"/>
    <w:basedOn w:val="Normal"/>
    <w:next w:val="BodyText"/>
    <w:qFormat/>
    <w:rsid w:val="00E84356"/>
    <w:pPr>
      <w:jc w:val="center"/>
    </w:pPr>
    <w:rPr>
      <w:i/>
      <w:sz w:val="26"/>
    </w:rPr>
  </w:style>
  <w:style w:type="paragraph" w:customStyle="1" w:styleId="FootnoteText1">
    <w:name w:val="Footnote Text1"/>
    <w:basedOn w:val="Normal"/>
  </w:style>
  <w:style w:type="paragraph" w:styleId="Footer">
    <w:name w:val="footer"/>
    <w:basedOn w:val="Normal"/>
    <w:pPr>
      <w:suppressLineNumbers/>
    </w:pPr>
  </w:style>
  <w:style w:type="paragraph" w:customStyle="1" w:styleId="TableContents">
    <w:name w:val="Table Contents"/>
    <w:basedOn w:val="Normal"/>
    <w:pPr>
      <w:suppressLineNumbers/>
      <w:spacing w:line="100" w:lineRule="atLeast"/>
    </w:pPr>
  </w:style>
  <w:style w:type="paragraph" w:styleId="FootnoteText">
    <w:name w:val="footnote text"/>
    <w:basedOn w:val="Normal"/>
    <w:qFormat/>
    <w:rsid w:val="00E257D1"/>
    <w:pPr>
      <w:suppressLineNumbers/>
      <w:spacing w:after="144" w:line="240" w:lineRule="auto"/>
    </w:pPr>
  </w:style>
  <w:style w:type="paragraph" w:customStyle="1" w:styleId="Figure">
    <w:name w:val="Figure"/>
    <w:basedOn w:val="Caption"/>
    <w:pPr>
      <w:spacing w:line="100" w:lineRule="atLeast"/>
    </w:pPr>
  </w:style>
  <w:style w:type="paragraph" w:styleId="BodyTextFirstIndent">
    <w:name w:val="Body Text First Indent"/>
    <w:basedOn w:val="BodyText"/>
    <w:pPr>
      <w:spacing w:after="0"/>
      <w:ind w:firstLine="283"/>
    </w:pPr>
  </w:style>
  <w:style w:type="paragraph" w:styleId="Header">
    <w:name w:val="header"/>
    <w:basedOn w:val="Normal"/>
    <w:pPr>
      <w:suppressLineNumbers/>
    </w:pPr>
    <w:rPr>
      <w:rFonts w:ascii="Gill Sans" w:hAnsi="Gill Sans"/>
    </w:rPr>
  </w:style>
  <w:style w:type="paragraph" w:customStyle="1" w:styleId="Framecontents">
    <w:name w:val="Frame contents"/>
    <w:basedOn w:val="BodyText"/>
  </w:style>
  <w:style w:type="paragraph" w:customStyle="1" w:styleId="TableHeading">
    <w:name w:val="Table Heading"/>
    <w:basedOn w:val="TableContents"/>
    <w:pPr>
      <w:jc w:val="center"/>
    </w:pPr>
    <w:rPr>
      <w:b/>
      <w:bCs/>
    </w:rPr>
  </w:style>
  <w:style w:type="paragraph" w:customStyle="1" w:styleId="Table">
    <w:name w:val="Table"/>
    <w:basedOn w:val="Caption"/>
    <w:pPr>
      <w:spacing w:line="100" w:lineRule="atLeast"/>
    </w:pPr>
  </w:style>
  <w:style w:type="paragraph" w:customStyle="1" w:styleId="AbstractText">
    <w:name w:val="Abstract Text"/>
    <w:basedOn w:val="Normal"/>
    <w:pPr>
      <w:spacing w:line="100" w:lineRule="atLeast"/>
      <w:ind w:left="1080" w:right="1080"/>
      <w:jc w:val="both"/>
    </w:pPr>
  </w:style>
  <w:style w:type="paragraph" w:customStyle="1" w:styleId="AbstractLabel">
    <w:name w:val="Abstract Label"/>
    <w:basedOn w:val="AbstractText"/>
    <w:pPr>
      <w:spacing w:line="480" w:lineRule="auto"/>
      <w:jc w:val="center"/>
    </w:pPr>
  </w:style>
  <w:style w:type="paragraph" w:styleId="Quote">
    <w:name w:val="Quote"/>
    <w:basedOn w:val="Normal"/>
    <w:pPr>
      <w:ind w:left="1080" w:right="1080"/>
    </w:pPr>
  </w:style>
  <w:style w:type="paragraph" w:customStyle="1" w:styleId="HypothesisText">
    <w:name w:val="Hypothesis Text"/>
    <w:basedOn w:val="Normal"/>
    <w:pPr>
      <w:ind w:left="720" w:right="720"/>
    </w:pPr>
  </w:style>
  <w:style w:type="paragraph" w:customStyle="1" w:styleId="Quotations">
    <w:name w:val="Quotations"/>
    <w:basedOn w:val="Normal"/>
    <w:pPr>
      <w:spacing w:after="283"/>
      <w:ind w:left="567" w:right="567"/>
    </w:pPr>
  </w:style>
  <w:style w:type="paragraph" w:customStyle="1" w:styleId="Affiliation">
    <w:name w:val="Affiliation"/>
    <w:basedOn w:val="Normal"/>
    <w:pPr>
      <w:spacing w:line="100" w:lineRule="atLeast"/>
      <w:jc w:val="center"/>
    </w:pPr>
    <w:rPr>
      <w:sz w:val="21"/>
    </w:rPr>
  </w:style>
  <w:style w:type="paragraph" w:customStyle="1" w:styleId="References">
    <w:name w:val="References"/>
    <w:basedOn w:val="Normal"/>
    <w:qFormat/>
    <w:rsid w:val="003A5C39"/>
    <w:pPr>
      <w:spacing w:after="288" w:line="240" w:lineRule="auto"/>
      <w:ind w:left="720" w:hanging="720"/>
    </w:pPr>
  </w:style>
  <w:style w:type="paragraph" w:styleId="EndnoteText">
    <w:name w:val="endnote text"/>
    <w:basedOn w:val="Normal"/>
  </w:style>
  <w:style w:type="paragraph" w:styleId="TOCHeading">
    <w:name w:val="TOC Heading"/>
    <w:basedOn w:val="Heading1"/>
    <w:next w:val="Normal"/>
    <w:pPr>
      <w:keepNext/>
      <w:keepLines/>
      <w:suppressAutoHyphens w:val="0"/>
      <w:spacing w:before="480" w:line="276" w:lineRule="auto"/>
      <w:jc w:val="left"/>
    </w:pPr>
  </w:style>
  <w:style w:type="paragraph" w:styleId="TOC1">
    <w:name w:val="toc 1"/>
    <w:basedOn w:val="Normal"/>
    <w:next w:val="Normal"/>
    <w:pPr>
      <w:spacing w:before="240" w:after="120"/>
    </w:pPr>
  </w:style>
  <w:style w:type="paragraph" w:styleId="TOC2">
    <w:name w:val="toc 2"/>
    <w:basedOn w:val="Normal"/>
    <w:next w:val="Normal"/>
  </w:style>
  <w:style w:type="paragraph" w:styleId="TOC3">
    <w:name w:val="toc 3"/>
    <w:basedOn w:val="Normal"/>
    <w:next w:val="Normal"/>
  </w:style>
  <w:style w:type="paragraph" w:styleId="TOC4">
    <w:name w:val="toc 4"/>
    <w:basedOn w:val="Normal"/>
    <w:next w:val="Normal"/>
  </w:style>
  <w:style w:type="paragraph" w:styleId="TOC5">
    <w:name w:val="toc 5"/>
    <w:basedOn w:val="Normal"/>
    <w:next w:val="Normal"/>
  </w:style>
  <w:style w:type="paragraph" w:styleId="TOC6">
    <w:name w:val="toc 6"/>
    <w:basedOn w:val="Normal"/>
    <w:next w:val="Normal"/>
  </w:style>
  <w:style w:type="paragraph" w:styleId="TOC7">
    <w:name w:val="toc 7"/>
    <w:basedOn w:val="Normal"/>
    <w:next w:val="Normal"/>
  </w:style>
  <w:style w:type="paragraph" w:styleId="TOC8">
    <w:name w:val="toc 8"/>
    <w:basedOn w:val="Normal"/>
    <w:next w:val="Normal"/>
  </w:style>
  <w:style w:type="paragraph" w:styleId="TOC9">
    <w:name w:val="toc 9"/>
    <w:basedOn w:val="Normal"/>
    <w:next w:val="Normal"/>
  </w:style>
  <w:style w:type="paragraph" w:styleId="BalloonText">
    <w:name w:val="Balloon Text"/>
    <w:basedOn w:val="Normal"/>
    <w:pPr>
      <w:spacing w:line="240" w:lineRule="auto"/>
    </w:pPr>
  </w:style>
  <w:style w:type="paragraph" w:styleId="NormalWeb">
    <w:name w:val="Normal (Web)"/>
    <w:basedOn w:val="Normal"/>
    <w:uiPriority w:val="99"/>
    <w:pPr>
      <w:suppressAutoHyphens w:val="0"/>
      <w:spacing w:before="280" w:after="115" w:line="240" w:lineRule="auto"/>
    </w:pPr>
    <w:rPr>
      <w:rFonts w:ascii="Times" w:hAnsi="Times"/>
    </w:rPr>
  </w:style>
  <w:style w:type="table" w:styleId="TableGrid">
    <w:name w:val="Table Grid"/>
    <w:basedOn w:val="TableNormal"/>
    <w:uiPriority w:val="59"/>
    <w:rsid w:val="009907A4"/>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9907A4"/>
    <w:pPr>
      <w:ind w:left="720"/>
      <w:contextualSpacing/>
    </w:pPr>
    <w:rPr>
      <w:sz w:val="20"/>
    </w:rPr>
  </w:style>
  <w:style w:type="numbering" w:customStyle="1" w:styleId="AppendixHeadings">
    <w:name w:val="Appendix Headings"/>
    <w:uiPriority w:val="99"/>
    <w:rsid w:val="00265A4B"/>
    <w:pPr>
      <w:numPr>
        <w:numId w:val="15"/>
      </w:numPr>
    </w:pPr>
  </w:style>
  <w:style w:type="paragraph" w:customStyle="1" w:styleId="AppendixText">
    <w:name w:val="Appendix Text"/>
    <w:basedOn w:val="BodyText"/>
    <w:qFormat/>
    <w:rsid w:val="009907A4"/>
    <w:pPr>
      <w:spacing w:line="360" w:lineRule="auto"/>
    </w:pPr>
    <w:rPr>
      <w:sz w:val="20"/>
    </w:rPr>
  </w:style>
  <w:style w:type="paragraph" w:customStyle="1" w:styleId="AppendixHeading1">
    <w:name w:val="Appendix Heading 1"/>
    <w:basedOn w:val="Heading1"/>
    <w:qFormat/>
    <w:rsid w:val="005B7ACA"/>
    <w:pPr>
      <w:numPr>
        <w:numId w:val="17"/>
      </w:numPr>
      <w:jc w:val="left"/>
    </w:pPr>
  </w:style>
  <w:style w:type="paragraph" w:customStyle="1" w:styleId="AppendixHeading2">
    <w:name w:val="Appendix Heading 2"/>
    <w:basedOn w:val="Heading2"/>
    <w:next w:val="AppendixText"/>
    <w:qFormat/>
    <w:rsid w:val="00265A4B"/>
    <w:pPr>
      <w:numPr>
        <w:numId w:val="17"/>
      </w:numPr>
    </w:pPr>
  </w:style>
  <w:style w:type="paragraph" w:styleId="Revision">
    <w:name w:val="Revision"/>
    <w:hidden/>
    <w:uiPriority w:val="99"/>
    <w:semiHidden/>
    <w:rsid w:val="00CE7C31"/>
  </w:style>
  <w:style w:type="character" w:customStyle="1" w:styleId="BodyTextChar">
    <w:name w:val="Body Text Char"/>
    <w:basedOn w:val="DefaultParagraphFont"/>
    <w:link w:val="BodyText"/>
    <w:rsid w:val="00EC72FB"/>
  </w:style>
  <w:style w:type="paragraph" w:customStyle="1" w:styleId="TableFigureNote">
    <w:name w:val="Table/Figure Note"/>
    <w:basedOn w:val="Normal"/>
    <w:qFormat/>
    <w:rsid w:val="00D27DD4"/>
    <w:pPr>
      <w:widowControl/>
      <w:tabs>
        <w:tab w:val="clear" w:pos="360"/>
        <w:tab w:val="clear" w:pos="709"/>
      </w:tabs>
      <w:suppressAutoHyphens w:val="0"/>
      <w:spacing w:line="240" w:lineRule="auto"/>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945376">
      <w:bodyDiv w:val="1"/>
      <w:marLeft w:val="0"/>
      <w:marRight w:val="0"/>
      <w:marTop w:val="0"/>
      <w:marBottom w:val="0"/>
      <w:divBdr>
        <w:top w:val="none" w:sz="0" w:space="0" w:color="auto"/>
        <w:left w:val="none" w:sz="0" w:space="0" w:color="auto"/>
        <w:bottom w:val="none" w:sz="0" w:space="0" w:color="auto"/>
        <w:right w:val="none" w:sz="0" w:space="0" w:color="auto"/>
      </w:divBdr>
    </w:div>
    <w:div w:id="327632042">
      <w:bodyDiv w:val="1"/>
      <w:marLeft w:val="0"/>
      <w:marRight w:val="0"/>
      <w:marTop w:val="0"/>
      <w:marBottom w:val="0"/>
      <w:divBdr>
        <w:top w:val="none" w:sz="0" w:space="0" w:color="auto"/>
        <w:left w:val="none" w:sz="0" w:space="0" w:color="auto"/>
        <w:bottom w:val="none" w:sz="0" w:space="0" w:color="auto"/>
        <w:right w:val="none" w:sz="0" w:space="0" w:color="auto"/>
      </w:divBdr>
    </w:div>
    <w:div w:id="336617127">
      <w:bodyDiv w:val="1"/>
      <w:marLeft w:val="0"/>
      <w:marRight w:val="0"/>
      <w:marTop w:val="0"/>
      <w:marBottom w:val="0"/>
      <w:divBdr>
        <w:top w:val="none" w:sz="0" w:space="0" w:color="auto"/>
        <w:left w:val="none" w:sz="0" w:space="0" w:color="auto"/>
        <w:bottom w:val="none" w:sz="0" w:space="0" w:color="auto"/>
        <w:right w:val="none" w:sz="0" w:space="0" w:color="auto"/>
      </w:divBdr>
    </w:div>
    <w:div w:id="349719342">
      <w:bodyDiv w:val="1"/>
      <w:marLeft w:val="0"/>
      <w:marRight w:val="0"/>
      <w:marTop w:val="0"/>
      <w:marBottom w:val="0"/>
      <w:divBdr>
        <w:top w:val="none" w:sz="0" w:space="0" w:color="auto"/>
        <w:left w:val="none" w:sz="0" w:space="0" w:color="auto"/>
        <w:bottom w:val="none" w:sz="0" w:space="0" w:color="auto"/>
        <w:right w:val="none" w:sz="0" w:space="0" w:color="auto"/>
      </w:divBdr>
    </w:div>
    <w:div w:id="428425566">
      <w:bodyDiv w:val="1"/>
      <w:marLeft w:val="0"/>
      <w:marRight w:val="0"/>
      <w:marTop w:val="0"/>
      <w:marBottom w:val="0"/>
      <w:divBdr>
        <w:top w:val="none" w:sz="0" w:space="0" w:color="auto"/>
        <w:left w:val="none" w:sz="0" w:space="0" w:color="auto"/>
        <w:bottom w:val="none" w:sz="0" w:space="0" w:color="auto"/>
        <w:right w:val="none" w:sz="0" w:space="0" w:color="auto"/>
      </w:divBdr>
    </w:div>
    <w:div w:id="436027781">
      <w:bodyDiv w:val="1"/>
      <w:marLeft w:val="0"/>
      <w:marRight w:val="0"/>
      <w:marTop w:val="0"/>
      <w:marBottom w:val="0"/>
      <w:divBdr>
        <w:top w:val="none" w:sz="0" w:space="0" w:color="auto"/>
        <w:left w:val="none" w:sz="0" w:space="0" w:color="auto"/>
        <w:bottom w:val="none" w:sz="0" w:space="0" w:color="auto"/>
        <w:right w:val="none" w:sz="0" w:space="0" w:color="auto"/>
      </w:divBdr>
    </w:div>
    <w:div w:id="521020584">
      <w:bodyDiv w:val="1"/>
      <w:marLeft w:val="0"/>
      <w:marRight w:val="0"/>
      <w:marTop w:val="0"/>
      <w:marBottom w:val="0"/>
      <w:divBdr>
        <w:top w:val="none" w:sz="0" w:space="0" w:color="auto"/>
        <w:left w:val="none" w:sz="0" w:space="0" w:color="auto"/>
        <w:bottom w:val="none" w:sz="0" w:space="0" w:color="auto"/>
        <w:right w:val="none" w:sz="0" w:space="0" w:color="auto"/>
      </w:divBdr>
    </w:div>
    <w:div w:id="590549826">
      <w:bodyDiv w:val="1"/>
      <w:marLeft w:val="0"/>
      <w:marRight w:val="0"/>
      <w:marTop w:val="0"/>
      <w:marBottom w:val="0"/>
      <w:divBdr>
        <w:top w:val="none" w:sz="0" w:space="0" w:color="auto"/>
        <w:left w:val="none" w:sz="0" w:space="0" w:color="auto"/>
        <w:bottom w:val="none" w:sz="0" w:space="0" w:color="auto"/>
        <w:right w:val="none" w:sz="0" w:space="0" w:color="auto"/>
      </w:divBdr>
    </w:div>
    <w:div w:id="641008661">
      <w:bodyDiv w:val="1"/>
      <w:marLeft w:val="0"/>
      <w:marRight w:val="0"/>
      <w:marTop w:val="0"/>
      <w:marBottom w:val="0"/>
      <w:divBdr>
        <w:top w:val="none" w:sz="0" w:space="0" w:color="auto"/>
        <w:left w:val="none" w:sz="0" w:space="0" w:color="auto"/>
        <w:bottom w:val="none" w:sz="0" w:space="0" w:color="auto"/>
        <w:right w:val="none" w:sz="0" w:space="0" w:color="auto"/>
      </w:divBdr>
    </w:div>
    <w:div w:id="651912754">
      <w:bodyDiv w:val="1"/>
      <w:marLeft w:val="0"/>
      <w:marRight w:val="0"/>
      <w:marTop w:val="0"/>
      <w:marBottom w:val="0"/>
      <w:divBdr>
        <w:top w:val="none" w:sz="0" w:space="0" w:color="auto"/>
        <w:left w:val="none" w:sz="0" w:space="0" w:color="auto"/>
        <w:bottom w:val="none" w:sz="0" w:space="0" w:color="auto"/>
        <w:right w:val="none" w:sz="0" w:space="0" w:color="auto"/>
      </w:divBdr>
    </w:div>
    <w:div w:id="718936621">
      <w:bodyDiv w:val="1"/>
      <w:marLeft w:val="0"/>
      <w:marRight w:val="0"/>
      <w:marTop w:val="0"/>
      <w:marBottom w:val="0"/>
      <w:divBdr>
        <w:top w:val="none" w:sz="0" w:space="0" w:color="auto"/>
        <w:left w:val="none" w:sz="0" w:space="0" w:color="auto"/>
        <w:bottom w:val="none" w:sz="0" w:space="0" w:color="auto"/>
        <w:right w:val="none" w:sz="0" w:space="0" w:color="auto"/>
      </w:divBdr>
    </w:div>
    <w:div w:id="797798656">
      <w:bodyDiv w:val="1"/>
      <w:marLeft w:val="0"/>
      <w:marRight w:val="0"/>
      <w:marTop w:val="0"/>
      <w:marBottom w:val="0"/>
      <w:divBdr>
        <w:top w:val="none" w:sz="0" w:space="0" w:color="auto"/>
        <w:left w:val="none" w:sz="0" w:space="0" w:color="auto"/>
        <w:bottom w:val="none" w:sz="0" w:space="0" w:color="auto"/>
        <w:right w:val="none" w:sz="0" w:space="0" w:color="auto"/>
      </w:divBdr>
    </w:div>
    <w:div w:id="838617130">
      <w:bodyDiv w:val="1"/>
      <w:marLeft w:val="0"/>
      <w:marRight w:val="0"/>
      <w:marTop w:val="0"/>
      <w:marBottom w:val="0"/>
      <w:divBdr>
        <w:top w:val="none" w:sz="0" w:space="0" w:color="auto"/>
        <w:left w:val="none" w:sz="0" w:space="0" w:color="auto"/>
        <w:bottom w:val="none" w:sz="0" w:space="0" w:color="auto"/>
        <w:right w:val="none" w:sz="0" w:space="0" w:color="auto"/>
      </w:divBdr>
    </w:div>
    <w:div w:id="854999635">
      <w:bodyDiv w:val="1"/>
      <w:marLeft w:val="0"/>
      <w:marRight w:val="0"/>
      <w:marTop w:val="0"/>
      <w:marBottom w:val="0"/>
      <w:divBdr>
        <w:top w:val="none" w:sz="0" w:space="0" w:color="auto"/>
        <w:left w:val="none" w:sz="0" w:space="0" w:color="auto"/>
        <w:bottom w:val="none" w:sz="0" w:space="0" w:color="auto"/>
        <w:right w:val="none" w:sz="0" w:space="0" w:color="auto"/>
      </w:divBdr>
    </w:div>
    <w:div w:id="877665019">
      <w:bodyDiv w:val="1"/>
      <w:marLeft w:val="0"/>
      <w:marRight w:val="0"/>
      <w:marTop w:val="0"/>
      <w:marBottom w:val="0"/>
      <w:divBdr>
        <w:top w:val="none" w:sz="0" w:space="0" w:color="auto"/>
        <w:left w:val="none" w:sz="0" w:space="0" w:color="auto"/>
        <w:bottom w:val="none" w:sz="0" w:space="0" w:color="auto"/>
        <w:right w:val="none" w:sz="0" w:space="0" w:color="auto"/>
      </w:divBdr>
    </w:div>
    <w:div w:id="955911330">
      <w:bodyDiv w:val="1"/>
      <w:marLeft w:val="0"/>
      <w:marRight w:val="0"/>
      <w:marTop w:val="0"/>
      <w:marBottom w:val="0"/>
      <w:divBdr>
        <w:top w:val="none" w:sz="0" w:space="0" w:color="auto"/>
        <w:left w:val="none" w:sz="0" w:space="0" w:color="auto"/>
        <w:bottom w:val="none" w:sz="0" w:space="0" w:color="auto"/>
        <w:right w:val="none" w:sz="0" w:space="0" w:color="auto"/>
      </w:divBdr>
    </w:div>
    <w:div w:id="971714992">
      <w:bodyDiv w:val="1"/>
      <w:marLeft w:val="0"/>
      <w:marRight w:val="0"/>
      <w:marTop w:val="0"/>
      <w:marBottom w:val="0"/>
      <w:divBdr>
        <w:top w:val="none" w:sz="0" w:space="0" w:color="auto"/>
        <w:left w:val="none" w:sz="0" w:space="0" w:color="auto"/>
        <w:bottom w:val="none" w:sz="0" w:space="0" w:color="auto"/>
        <w:right w:val="none" w:sz="0" w:space="0" w:color="auto"/>
      </w:divBdr>
    </w:div>
    <w:div w:id="978263949">
      <w:bodyDiv w:val="1"/>
      <w:marLeft w:val="0"/>
      <w:marRight w:val="0"/>
      <w:marTop w:val="0"/>
      <w:marBottom w:val="0"/>
      <w:divBdr>
        <w:top w:val="none" w:sz="0" w:space="0" w:color="auto"/>
        <w:left w:val="none" w:sz="0" w:space="0" w:color="auto"/>
        <w:bottom w:val="none" w:sz="0" w:space="0" w:color="auto"/>
        <w:right w:val="none" w:sz="0" w:space="0" w:color="auto"/>
      </w:divBdr>
    </w:div>
    <w:div w:id="1150365388">
      <w:bodyDiv w:val="1"/>
      <w:marLeft w:val="0"/>
      <w:marRight w:val="0"/>
      <w:marTop w:val="0"/>
      <w:marBottom w:val="0"/>
      <w:divBdr>
        <w:top w:val="none" w:sz="0" w:space="0" w:color="auto"/>
        <w:left w:val="none" w:sz="0" w:space="0" w:color="auto"/>
        <w:bottom w:val="none" w:sz="0" w:space="0" w:color="auto"/>
        <w:right w:val="none" w:sz="0" w:space="0" w:color="auto"/>
      </w:divBdr>
    </w:div>
    <w:div w:id="1209487900">
      <w:bodyDiv w:val="1"/>
      <w:marLeft w:val="0"/>
      <w:marRight w:val="0"/>
      <w:marTop w:val="0"/>
      <w:marBottom w:val="0"/>
      <w:divBdr>
        <w:top w:val="none" w:sz="0" w:space="0" w:color="auto"/>
        <w:left w:val="none" w:sz="0" w:space="0" w:color="auto"/>
        <w:bottom w:val="none" w:sz="0" w:space="0" w:color="auto"/>
        <w:right w:val="none" w:sz="0" w:space="0" w:color="auto"/>
      </w:divBdr>
    </w:div>
    <w:div w:id="1286962729">
      <w:bodyDiv w:val="1"/>
      <w:marLeft w:val="0"/>
      <w:marRight w:val="0"/>
      <w:marTop w:val="0"/>
      <w:marBottom w:val="0"/>
      <w:divBdr>
        <w:top w:val="none" w:sz="0" w:space="0" w:color="auto"/>
        <w:left w:val="none" w:sz="0" w:space="0" w:color="auto"/>
        <w:bottom w:val="none" w:sz="0" w:space="0" w:color="auto"/>
        <w:right w:val="none" w:sz="0" w:space="0" w:color="auto"/>
      </w:divBdr>
    </w:div>
    <w:div w:id="1354846259">
      <w:bodyDiv w:val="1"/>
      <w:marLeft w:val="0"/>
      <w:marRight w:val="0"/>
      <w:marTop w:val="0"/>
      <w:marBottom w:val="0"/>
      <w:divBdr>
        <w:top w:val="none" w:sz="0" w:space="0" w:color="auto"/>
        <w:left w:val="none" w:sz="0" w:space="0" w:color="auto"/>
        <w:bottom w:val="none" w:sz="0" w:space="0" w:color="auto"/>
        <w:right w:val="none" w:sz="0" w:space="0" w:color="auto"/>
      </w:divBdr>
    </w:div>
    <w:div w:id="1357347822">
      <w:bodyDiv w:val="1"/>
      <w:marLeft w:val="0"/>
      <w:marRight w:val="0"/>
      <w:marTop w:val="0"/>
      <w:marBottom w:val="0"/>
      <w:divBdr>
        <w:top w:val="none" w:sz="0" w:space="0" w:color="auto"/>
        <w:left w:val="none" w:sz="0" w:space="0" w:color="auto"/>
        <w:bottom w:val="none" w:sz="0" w:space="0" w:color="auto"/>
        <w:right w:val="none" w:sz="0" w:space="0" w:color="auto"/>
      </w:divBdr>
    </w:div>
    <w:div w:id="1463495158">
      <w:bodyDiv w:val="1"/>
      <w:marLeft w:val="0"/>
      <w:marRight w:val="0"/>
      <w:marTop w:val="0"/>
      <w:marBottom w:val="0"/>
      <w:divBdr>
        <w:top w:val="none" w:sz="0" w:space="0" w:color="auto"/>
        <w:left w:val="none" w:sz="0" w:space="0" w:color="auto"/>
        <w:bottom w:val="none" w:sz="0" w:space="0" w:color="auto"/>
        <w:right w:val="none" w:sz="0" w:space="0" w:color="auto"/>
      </w:divBdr>
    </w:div>
    <w:div w:id="1649699574">
      <w:bodyDiv w:val="1"/>
      <w:marLeft w:val="0"/>
      <w:marRight w:val="0"/>
      <w:marTop w:val="0"/>
      <w:marBottom w:val="0"/>
      <w:divBdr>
        <w:top w:val="none" w:sz="0" w:space="0" w:color="auto"/>
        <w:left w:val="none" w:sz="0" w:space="0" w:color="auto"/>
        <w:bottom w:val="none" w:sz="0" w:space="0" w:color="auto"/>
        <w:right w:val="none" w:sz="0" w:space="0" w:color="auto"/>
      </w:divBdr>
    </w:div>
    <w:div w:id="1943880088">
      <w:bodyDiv w:val="1"/>
      <w:marLeft w:val="0"/>
      <w:marRight w:val="0"/>
      <w:marTop w:val="0"/>
      <w:marBottom w:val="0"/>
      <w:divBdr>
        <w:top w:val="none" w:sz="0" w:space="0" w:color="auto"/>
        <w:left w:val="none" w:sz="0" w:space="0" w:color="auto"/>
        <w:bottom w:val="none" w:sz="0" w:space="0" w:color="auto"/>
        <w:right w:val="none" w:sz="0" w:space="0" w:color="auto"/>
      </w:divBdr>
    </w:div>
    <w:div w:id="2003002569">
      <w:bodyDiv w:val="1"/>
      <w:marLeft w:val="0"/>
      <w:marRight w:val="0"/>
      <w:marTop w:val="0"/>
      <w:marBottom w:val="0"/>
      <w:divBdr>
        <w:top w:val="none" w:sz="0" w:space="0" w:color="auto"/>
        <w:left w:val="none" w:sz="0" w:space="0" w:color="auto"/>
        <w:bottom w:val="none" w:sz="0" w:space="0" w:color="auto"/>
        <w:right w:val="none" w:sz="0" w:space="0" w:color="auto"/>
      </w:divBdr>
    </w:div>
    <w:div w:id="2100758984">
      <w:bodyDiv w:val="1"/>
      <w:marLeft w:val="0"/>
      <w:marRight w:val="0"/>
      <w:marTop w:val="0"/>
      <w:marBottom w:val="0"/>
      <w:divBdr>
        <w:top w:val="none" w:sz="0" w:space="0" w:color="auto"/>
        <w:left w:val="none" w:sz="0" w:space="0" w:color="auto"/>
        <w:bottom w:val="none" w:sz="0" w:space="0" w:color="auto"/>
        <w:right w:val="none" w:sz="0" w:space="0" w:color="auto"/>
      </w:divBdr>
    </w:div>
    <w:div w:id="2108502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www.nytimes.com/2009/02/23/us/politics/23governors.html?pagewanted=all&amp;_r=0" TargetMode="External"/><Relationship Id="rId21" Type="http://schemas.openxmlformats.org/officeDocument/2006/relationships/hyperlink" Target="http://crain.co/nme" TargetMode="External"/><Relationship Id="rId22" Type="http://schemas.openxmlformats.org/officeDocument/2006/relationships/hyperlink" Target="http://crain.co/compress" TargetMode="External"/><Relationship Id="rId23" Type="http://schemas.openxmlformats.org/officeDocument/2006/relationships/hyperlink" Target="http://dx.doi.org/10.1515/1540-8884.1501" TargetMode="External"/><Relationship Id="rId24" Type="http://schemas.openxmlformats.org/officeDocument/2006/relationships/hyperlink" Target="http://blog.heritage.org/2013/04/24/10-myths-about-the-obamacare-medicaid-expansion/" TargetMode="External"/><Relationship Id="rId25" Type="http://schemas.openxmlformats.org/officeDocument/2006/relationships/hyperlink" Target="http://aspe.hhs.gov/health/reports/2012/UninsuredInTheUS/ib.shtml"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image" Target="media/image1.emf"/><Relationship Id="rId29" Type="http://schemas.openxmlformats.org/officeDocument/2006/relationships/image" Target="media/image2.emf"/><Relationship Id="rId30" Type="http://schemas.openxmlformats.org/officeDocument/2006/relationships/image" Target="media/image3.emf"/><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mailto:cbarrilleaux@fsu.edu" TargetMode="External"/><Relationship Id="rId11" Type="http://schemas.openxmlformats.org/officeDocument/2006/relationships/hyperlink" Target="mailto:rcrainey@buffalo.edu" TargetMode="External"/><Relationship Id="rId12" Type="http://schemas.openxmlformats.org/officeDocument/2006/relationships/hyperlink" Target="http://www.nejm.org/doi/full/10.1056/NEJMsa1212321" TargetMode="External"/><Relationship Id="rId13" Type="http://schemas.openxmlformats.org/officeDocument/2006/relationships/hyperlink" Target="http://www.washingtonpost.com/wp-dyn/content/article/2010/11/02/AR2010110207506.html" TargetMode="External"/><Relationship Id="rId14" Type="http://schemas.openxmlformats.org/officeDocument/2006/relationships/hyperlink" Target="http://jcr.sagepub.com/content/early/2013/12/06/0022002713499718" TargetMode="External"/><Relationship Id="rId15" Type="http://schemas.openxmlformats.org/officeDocument/2006/relationships/hyperlink" Target="http://www.realclearpolicy.com/articles/2013/06/21/fix_medicaid_dont_expand_it_541.html" TargetMode="External"/><Relationship Id="rId16" Type="http://schemas.openxmlformats.org/officeDocument/2006/relationships/hyperlink" Target="http://www.publicintegrity.org/2013/08/09/13144/obamacares-hidden-battle-insurance-agents-push-state-regulation-guides-new" TargetMode="External"/><Relationship Id="rId17" Type="http://schemas.openxmlformats.org/officeDocument/2006/relationships/hyperlink" Target="http://www.lewin.com/~/media/Lewin/Site_Sections/Publications/OptumInsight_LewinGroup_Mging_Medicaid_Surge_WP_6-13-11.pdf" TargetMode="External"/><Relationship Id="rId18" Type="http://schemas.openxmlformats.org/officeDocument/2006/relationships/hyperlink" Target="http://kaiserfamilyfoundation.files.wordpress.com/2013/01/8210.pdf" TargetMode="External"/><Relationship Id="rId19" Type="http://schemas.openxmlformats.org/officeDocument/2006/relationships/hyperlink" Target="http://www.nasbo.org/sites/default/files/State%20Expenditure%20Report_1.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cbarrilleaux@fsu.edu" TargetMode="External"/><Relationship Id="rId2" Type="http://schemas.openxmlformats.org/officeDocument/2006/relationships/hyperlink" Target="mailto:rcrainey@buffalo.edu" TargetMode="External"/><Relationship Id="rId3" Type="http://schemas.openxmlformats.org/officeDocument/2006/relationships/hyperlink" Target="https://github.com/carlislerainey/N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02A42-D2F7-D44A-AED8-92AF6E24C985}">
  <ds:schemaRefs>
    <ds:schemaRef ds:uri="http://schemas.openxmlformats.org/officeDocument/2006/bibliography"/>
  </ds:schemaRefs>
</ds:datastoreItem>
</file>

<file path=customXml/itemProps2.xml><?xml version="1.0" encoding="utf-8"?>
<ds:datastoreItem xmlns:ds="http://schemas.openxmlformats.org/officeDocument/2006/customXml" ds:itemID="{79119BB2-87A8-CA40-9E47-18978776B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39</Pages>
  <Words>9262</Words>
  <Characters>52799</Characters>
  <Application>Microsoft Macintosh Word</Application>
  <DocSecurity>0</DocSecurity>
  <Lines>439</Lines>
  <Paragraphs>123</Paragraphs>
  <ScaleCrop>false</ScaleCrop>
  <Company/>
  <LinksUpToDate>false</LinksUpToDate>
  <CharactersWithSpaces>61938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J Barrilleaux</dc:creator>
  <cp:keywords/>
  <dc:description/>
  <cp:lastModifiedBy>Meredith</cp:lastModifiedBy>
  <cp:revision>7</cp:revision>
  <cp:lastPrinted>2014-05-14T21:20:00Z</cp:lastPrinted>
  <dcterms:created xsi:type="dcterms:W3CDTF">2014-05-29T23:11:00Z</dcterms:created>
  <dcterms:modified xsi:type="dcterms:W3CDTF">2014-05-30T01:13:00Z</dcterms:modified>
</cp:coreProperties>
</file>