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B7EC575" w14:textId="77777777" w:rsidR="00AB09E9" w:rsidRDefault="00E84356" w:rsidP="00142409">
      <w:pPr>
        <w:pStyle w:val="Title"/>
      </w:pPr>
      <w:r>
        <w:t>Technical Appendix</w:t>
      </w:r>
    </w:p>
    <w:p w14:paraId="5969F1D8" w14:textId="77777777" w:rsidR="009907A4" w:rsidRDefault="009907A4" w:rsidP="005B7ACA">
      <w:pPr>
        <w:pStyle w:val="AppendixHeading1"/>
      </w:pPr>
      <w:r>
        <w:t>Mathematical Representation of the Statistical Model</w:t>
      </w:r>
    </w:p>
    <w:p w14:paraId="506FCB3A" w14:textId="342BDEBE" w:rsidR="009907A4" w:rsidRPr="00733218" w:rsidRDefault="009907A4" w:rsidP="009907A4">
      <w:pPr>
        <w:pStyle w:val="AppendixText"/>
        <w:rPr>
          <w:sz w:val="24"/>
        </w:rPr>
      </w:pPr>
      <w:r w:rsidRPr="00733218">
        <w:rPr>
          <w:sz w:val="24"/>
        </w:rPr>
        <w:t xml:space="preserve">Let </w:t>
      </w:r>
      <m:oMath>
        <m:r>
          <w:rPr>
            <w:rFonts w:ascii="Cambria Math" w:hAnsi="Cambria Math"/>
          </w:rPr>
          <m:t>y_i</m:t>
        </m:r>
      </m:oMath>
      <w:r w:rsidRPr="00733218">
        <w:rPr>
          <w:sz w:val="24"/>
        </w:rPr>
        <w:t xml:space="preserve"> be an indicator that equals one if the governor of state </w:t>
      </w:r>
      <w:proofErr w:type="spellStart"/>
      <w:r w:rsidRPr="00733218">
        <w:rPr>
          <w:i/>
          <w:sz w:val="24"/>
        </w:rPr>
        <w:t>i</w:t>
      </w:r>
      <w:proofErr w:type="spellEnd"/>
      <w:r w:rsidRPr="00733218">
        <w:rPr>
          <w:sz w:val="24"/>
        </w:rPr>
        <w:t xml:space="preserve"> opposes the Medicaid expansion and zero otherwise. Then we model the probability of opposition as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func>
        <m:r>
          <w:rPr>
            <w:rFonts w:ascii="Cambria Math" w:hAnsi="Cambria Math"/>
          </w:rPr>
          <m:t xml:space="preserve">= </m:t>
        </m:r>
        <m:r>
          <m:rPr>
            <m:sty m:val="p"/>
          </m:rPr>
          <w:rPr>
            <w:rFonts w:ascii="Cambria Math" w:hAnsi="Cambria Math"/>
          </w:rPr>
          <m:t>logi</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oMath>
      <w:r>
        <w:t>,</w:t>
      </w:r>
      <w:r w:rsidRPr="00733218">
        <w:rPr>
          <w:sz w:val="24"/>
        </w:rPr>
        <w:t xml:space="preserve"> where</w:t>
      </w:r>
    </w:p>
    <w:p w14:paraId="6BD44F27" w14:textId="77777777" w:rsidR="009907A4" w:rsidRPr="003A5C39" w:rsidRDefault="00C47B2F" w:rsidP="009907A4">
      <w:pPr>
        <w:pStyle w:val="AppendixText"/>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cons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GOP gov.</m:t>
              </m:r>
            </m:sub>
          </m:sSub>
          <m:r>
            <m:rPr>
              <m:sty m:val="p"/>
            </m:rPr>
            <w:rPr>
              <w:rFonts w:ascii="Cambria Math" w:hAnsi="Cambria Math"/>
            </w:rPr>
            <m:t xml:space="preserve">GOP </m:t>
          </m:r>
          <m:sSub>
            <m:sSubPr>
              <m:ctrlPr>
                <w:rPr>
                  <w:rFonts w:ascii="Cambria Math" w:hAnsi="Cambria Math"/>
                </w:rPr>
              </m:ctrlPr>
            </m:sSubPr>
            <m:e>
              <m:r>
                <m:rPr>
                  <m:sty m:val="p"/>
                </m:rPr>
                <w:rPr>
                  <w:rFonts w:ascii="Cambria Math" w:hAnsi="Cambria Math"/>
                </w:rPr>
                <m:t>Governor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opinion</m:t>
              </m:r>
            </m:sub>
          </m:sSub>
          <m:sSub>
            <m:sSubPr>
              <m:ctrlPr>
                <w:rPr>
                  <w:rFonts w:ascii="Cambria Math" w:hAnsi="Cambria Math"/>
                </w:rPr>
              </m:ctrlPr>
            </m:sSubPr>
            <m:e>
              <m:r>
                <m:rPr>
                  <m:sty m:val="p"/>
                </m:rPr>
                <w:rPr>
                  <w:rFonts w:ascii="Cambria Math" w:hAnsi="Cambria Math"/>
                </w:rPr>
                <m:t>Opinion</m:t>
              </m:r>
            </m:e>
            <m:sub>
              <m:r>
                <w:rPr>
                  <w:rFonts w:ascii="Cambria Math" w:hAnsi="Cambria Math"/>
                </w:rPr>
                <m:t>i</m:t>
              </m:r>
            </m:sub>
          </m:sSub>
          <m:r>
            <m:rPr>
              <m:sty m:val="p"/>
            </m:rP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GOP leg.</m:t>
              </m:r>
            </m:sub>
          </m:sSub>
          <m:r>
            <m:rPr>
              <m:sty m:val="p"/>
            </m:rPr>
            <w:rPr>
              <w:rFonts w:ascii="Cambria Math" w:hAnsi="Cambria Math"/>
            </w:rPr>
            <m:t xml:space="preserve">GOP </m:t>
          </m:r>
          <m:sSub>
            <m:sSubPr>
              <m:ctrlPr>
                <w:rPr>
                  <w:rFonts w:ascii="Cambria Math" w:hAnsi="Cambria Math"/>
                </w:rPr>
              </m:ctrlPr>
            </m:sSubPr>
            <m:e>
              <m:r>
                <m:rPr>
                  <m:sty m:val="p"/>
                </m:rPr>
                <w:rPr>
                  <w:rFonts w:ascii="Cambria Math" w:hAnsi="Cambria Math"/>
                </w:rPr>
                <m:t>Legislature</m:t>
              </m:r>
            </m:e>
            <m:sub>
              <m:r>
                <w:rPr>
                  <w:rFonts w:ascii="Cambria Math" w:hAnsi="Cambria Math"/>
                </w:rPr>
                <m:t>i</m:t>
              </m:r>
            </m:sub>
          </m:sSub>
          <m:r>
            <m:rPr>
              <m:sty m:val="p"/>
              <m:brk m:alnAt="1"/>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uninsured</m:t>
              </m:r>
            </m:sub>
          </m:sSub>
          <m:r>
            <m:rPr>
              <m:sty m:val="p"/>
            </m:rPr>
            <w:rPr>
              <w:rFonts w:ascii="Cambria Math" w:hAnsi="Cambria Math"/>
            </w:rPr>
            <m:t xml:space="preserve">Percent </m:t>
          </m:r>
          <m:sSub>
            <m:sSubPr>
              <m:ctrlPr>
                <w:rPr>
                  <w:rFonts w:ascii="Cambria Math" w:hAnsi="Cambria Math"/>
                </w:rPr>
              </m:ctrlPr>
            </m:sSubPr>
            <m:e>
              <m:r>
                <m:rPr>
                  <m:sty m:val="p"/>
                </m:rPr>
                <w:rPr>
                  <w:rFonts w:ascii="Cambria Math" w:hAnsi="Cambria Math"/>
                </w:rPr>
                <m:t>Uninsured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income</m:t>
              </m:r>
            </m:sub>
          </m:sSub>
          <m:sSub>
            <m:sSubPr>
              <m:ctrlPr>
                <w:rPr>
                  <w:rFonts w:ascii="Cambria Math" w:hAnsi="Cambria Math"/>
                </w:rPr>
              </m:ctrlPr>
            </m:sSubPr>
            <m:e>
              <m:r>
                <m:rPr>
                  <m:sty m:val="p"/>
                </m:rPr>
                <w:rPr>
                  <w:rFonts w:ascii="Cambria Math" w:hAnsi="Cambria Math"/>
                </w:rPr>
                <m:t>Income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nonwhite</m:t>
              </m:r>
            </m:sub>
          </m:sSub>
          <m:r>
            <m:rPr>
              <m:sty m:val="p"/>
            </m:rPr>
            <w:rPr>
              <w:rFonts w:ascii="Cambria Math" w:hAnsi="Cambria Math"/>
            </w:rPr>
            <m:t xml:space="preserve">Percent </m:t>
          </m:r>
          <m:sSub>
            <m:sSubPr>
              <m:ctrlPr>
                <w:rPr>
                  <w:rFonts w:ascii="Cambria Math" w:hAnsi="Cambria Math"/>
                </w:rPr>
              </m:ctrlPr>
            </m:sSubPr>
            <m:e>
              <m:r>
                <m:rPr>
                  <m:sty m:val="p"/>
                </m:rPr>
                <w:rPr>
                  <w:rFonts w:ascii="Cambria Math" w:hAnsi="Cambria Math"/>
                </w:rPr>
                <m:t>Nonwhite</m:t>
              </m:r>
            </m:e>
            <m:sub>
              <m:r>
                <w:rPr>
                  <w:rFonts w:ascii="Cambria Math" w:hAnsi="Cambria Math"/>
                </w:rPr>
                <m:t>i</m:t>
              </m:r>
            </m:sub>
          </m:sSub>
          <m:r>
            <m:rPr>
              <m:brk m:alnAt="1"/>
            </m:rP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metro</m:t>
              </m:r>
            </m:sub>
          </m:sSub>
          <m:r>
            <m:rPr>
              <m:sty m:val="p"/>
            </m:rPr>
            <w:rPr>
              <w:rFonts w:ascii="Cambria Math" w:hAnsi="Cambria Math"/>
            </w:rPr>
            <m:t xml:space="preserve">Percent </m:t>
          </m:r>
          <m:sSub>
            <m:sSubPr>
              <m:ctrlPr>
                <w:rPr>
                  <w:rFonts w:ascii="Cambria Math" w:hAnsi="Cambria Math"/>
                </w:rPr>
              </m:ctrlPr>
            </m:sSubPr>
            <m:e>
              <m:r>
                <m:rPr>
                  <m:sty m:val="p"/>
                </m:rPr>
                <w:rPr>
                  <w:rFonts w:ascii="Cambria Math" w:hAnsi="Cambria Math"/>
                </w:rPr>
                <m:t>Metropolitan</m:t>
              </m:r>
            </m:e>
            <m:sub>
              <m:r>
                <w:rPr>
                  <w:rFonts w:ascii="Cambria Math" w:hAnsi="Cambria Math"/>
                </w:rPr>
                <m:t>i</m:t>
              </m:r>
            </m:sub>
          </m:sSub>
        </m:oMath>
      </m:oMathPara>
    </w:p>
    <w:p w14:paraId="11B3EB3D" w14:textId="4125A840" w:rsidR="003A5C39" w:rsidRPr="00CE7C31" w:rsidRDefault="003A5C39" w:rsidP="009907A4">
      <w:pPr>
        <w:pStyle w:val="AppendixText"/>
      </w:pPr>
      <w:proofErr w:type="gramStart"/>
      <w:r w:rsidRPr="00733218">
        <w:rPr>
          <w:sz w:val="24"/>
        </w:rPr>
        <w:t>and</w:t>
      </w:r>
      <w:proofErr w:type="gramEnd"/>
      <w:r w:rsidRPr="00733218">
        <w:rPr>
          <w:sz w:val="24"/>
        </w:rPr>
        <w:t xml:space="preserve"> </w:t>
      </w:r>
      <w:r w:rsidR="005B7ACA" w:rsidRPr="00733218">
        <w:rPr>
          <w:sz w:val="24"/>
        </w:rPr>
        <w:t>Cauchy(2.5) priors are placed on the coefficients and a Cauchy(10) prior is placed on the intercept.</w:t>
      </w:r>
    </w:p>
    <w:p w14:paraId="4AED7843" w14:textId="7E35F43F" w:rsidR="009907A4" w:rsidRPr="00CE7C31" w:rsidRDefault="005B7ACA" w:rsidP="009907A4">
      <w:pPr>
        <w:pStyle w:val="AppendixText"/>
        <w:rPr>
          <w:sz w:val="24"/>
        </w:rPr>
      </w:pPr>
      <w:r w:rsidRPr="00CE7C31">
        <w:rPr>
          <w:sz w:val="24"/>
        </w:rPr>
        <w:tab/>
      </w:r>
      <w:r w:rsidR="009907A4" w:rsidRPr="00CE7C31">
        <w:rPr>
          <w:sz w:val="24"/>
        </w:rPr>
        <w:t xml:space="preserve">The variables are defined as follows: </w:t>
      </w:r>
      <w:r w:rsidR="009907A4" w:rsidRPr="00CE7C31">
        <w:rPr>
          <w:i/>
          <w:sz w:val="24"/>
        </w:rPr>
        <w:t>GOP Governor</w:t>
      </w:r>
      <w:r w:rsidR="009907A4" w:rsidRPr="00CE7C31">
        <w:rPr>
          <w:sz w:val="24"/>
        </w:rPr>
        <w:t xml:space="preserve"> is an indicator that equals one if the governor is a Republican and zero if the governor is a Democrat; </w:t>
      </w:r>
      <w:r w:rsidR="009907A4" w:rsidRPr="00CE7C31">
        <w:rPr>
          <w:i/>
          <w:sz w:val="24"/>
        </w:rPr>
        <w:t>Opinion</w:t>
      </w:r>
      <w:r w:rsidR="009907A4" w:rsidRPr="00CE7C31">
        <w:rPr>
          <w:sz w:val="24"/>
        </w:rPr>
        <w:t xml:space="preserve"> is an estimate of the proportion of a state’s population that has a favorable opinion o</w:t>
      </w:r>
      <w:r w:rsidR="00B82901" w:rsidRPr="00CE7C31">
        <w:rPr>
          <w:sz w:val="24"/>
        </w:rPr>
        <w:t>f the Affordable Care act (see Section 2</w:t>
      </w:r>
      <w:r w:rsidR="009907A4" w:rsidRPr="00CE7C31">
        <w:rPr>
          <w:sz w:val="24"/>
        </w:rPr>
        <w:t xml:space="preserve"> of this Appendix for the details); </w:t>
      </w:r>
      <w:r w:rsidR="009907A4" w:rsidRPr="00CE7C31">
        <w:rPr>
          <w:i/>
          <w:sz w:val="24"/>
        </w:rPr>
        <w:t>GOP Legislature</w:t>
      </w:r>
      <w:r w:rsidR="009907A4" w:rsidRPr="00CE7C31">
        <w:rPr>
          <w:sz w:val="24"/>
        </w:rPr>
        <w:t xml:space="preserve"> is an indicator variable that equals one if Republicans control both branches of the state legislature and zero otherwise; </w:t>
      </w:r>
      <w:r w:rsidR="009907A4" w:rsidRPr="00CE7C31">
        <w:rPr>
          <w:i/>
        </w:rPr>
        <w:t>Income</w:t>
      </w:r>
      <w:r w:rsidR="009907A4" w:rsidRPr="00CE7C31">
        <w:rPr>
          <w:sz w:val="24"/>
        </w:rPr>
        <w:t xml:space="preserve"> is the total personal income in the state per capita; </w:t>
      </w:r>
      <w:r w:rsidR="009907A4" w:rsidRPr="00CE7C31">
        <w:rPr>
          <w:i/>
          <w:sz w:val="24"/>
        </w:rPr>
        <w:t>Percent Nonwhite</w:t>
      </w:r>
      <w:r w:rsidR="009907A4" w:rsidRPr="00CE7C31">
        <w:rPr>
          <w:sz w:val="24"/>
        </w:rPr>
        <w:t xml:space="preserve"> is the fraction of the state’s population that identify as non-white Hispanic or African-American; </w:t>
      </w:r>
      <w:r w:rsidR="009907A4" w:rsidRPr="00CE7C31">
        <w:rPr>
          <w:i/>
          <w:sz w:val="24"/>
        </w:rPr>
        <w:t>Percent Metropolitan</w:t>
      </w:r>
      <w:r w:rsidR="009907A4" w:rsidRPr="00CE7C31">
        <w:rPr>
          <w:sz w:val="24"/>
        </w:rPr>
        <w:t xml:space="preserve"> is the percent of the state that resides in a metropolitan area.</w:t>
      </w:r>
      <w:r w:rsidR="00C35485" w:rsidRPr="00CE7C31">
        <w:rPr>
          <w:sz w:val="24"/>
        </w:rPr>
        <w:t xml:space="preserve"> </w:t>
      </w:r>
      <w:r w:rsidR="00EE67C9" w:rsidRPr="00CE7C31">
        <w:rPr>
          <w:sz w:val="24"/>
        </w:rPr>
        <w:t>Prior to estimation, the continuous variables are standardized by subtracting the mean and div</w:t>
      </w:r>
      <w:r w:rsidR="00283AFC" w:rsidRPr="00CE7C31">
        <w:rPr>
          <w:sz w:val="24"/>
        </w:rPr>
        <w:t>iding by two standard deviations and binary variables are centered by subtracting the mean</w:t>
      </w:r>
      <w:r w:rsidR="00BA4346" w:rsidRPr="00CE7C31">
        <w:rPr>
          <w:sz w:val="24"/>
        </w:rPr>
        <w:t xml:space="preserve"> (</w:t>
      </w:r>
      <w:proofErr w:type="spellStart"/>
      <w:r w:rsidR="00BA4346" w:rsidRPr="00CE7C31">
        <w:rPr>
          <w:sz w:val="24"/>
        </w:rPr>
        <w:t>Gelman</w:t>
      </w:r>
      <w:proofErr w:type="spellEnd"/>
      <w:r w:rsidR="00BA4346" w:rsidRPr="00CE7C31">
        <w:rPr>
          <w:sz w:val="24"/>
        </w:rPr>
        <w:t xml:space="preserve"> 2008). </w:t>
      </w:r>
    </w:p>
    <w:p w14:paraId="132B8E2A" w14:textId="31BE7770" w:rsidR="009907A4" w:rsidRPr="00CE7C31" w:rsidRDefault="009907A4" w:rsidP="009907A4">
      <w:pPr>
        <w:pStyle w:val="AppendixText"/>
        <w:rPr>
          <w:sz w:val="24"/>
        </w:rPr>
      </w:pPr>
      <w:r w:rsidRPr="00CE7C31">
        <w:rPr>
          <w:sz w:val="24"/>
        </w:rPr>
        <w:tab/>
        <w:t xml:space="preserve">We place weakly informative </w:t>
      </w:r>
      <w:proofErr w:type="gramStart"/>
      <w:r w:rsidRPr="00CE7C31">
        <w:rPr>
          <w:sz w:val="24"/>
        </w:rPr>
        <w:t>Cauchy(</w:t>
      </w:r>
      <w:proofErr w:type="gramEnd"/>
      <w:r w:rsidRPr="00CE7C31">
        <w:rPr>
          <w:sz w:val="24"/>
        </w:rPr>
        <w:t xml:space="preserve">2.5) prior distributions on the coefficients for the </w:t>
      </w:r>
      <w:r w:rsidR="00BA4346" w:rsidRPr="00CE7C31">
        <w:rPr>
          <w:sz w:val="24"/>
        </w:rPr>
        <w:t xml:space="preserve">(standardized) </w:t>
      </w:r>
      <w:r w:rsidRPr="00CE7C31">
        <w:rPr>
          <w:sz w:val="24"/>
        </w:rPr>
        <w:t xml:space="preserve">explanatory variables and </w:t>
      </w:r>
      <w:r w:rsidR="00420446" w:rsidRPr="00CE7C31">
        <w:rPr>
          <w:sz w:val="24"/>
        </w:rPr>
        <w:t xml:space="preserve">a </w:t>
      </w:r>
      <w:r w:rsidRPr="00CE7C31">
        <w:rPr>
          <w:sz w:val="24"/>
        </w:rPr>
        <w:t>more diffuse Cauchy(10) prior on the intercept. We use JAGS called through R to perform a 50,000 iteration burn-in and 50,000 additional posterior simulations for three MCMC chains. We combined these simulations to perform the inferences.</w:t>
      </w:r>
    </w:p>
    <w:p w14:paraId="08F9A359" w14:textId="77777777" w:rsidR="009907A4" w:rsidRDefault="009907A4" w:rsidP="005B7ACA">
      <w:pPr>
        <w:pStyle w:val="AppendixHeading1"/>
      </w:pPr>
      <w:r>
        <w:t>State-Level Estimates of ACA Favorability</w:t>
      </w:r>
    </w:p>
    <w:p w14:paraId="6BFC48BF" w14:textId="46FE493E" w:rsidR="009907A4" w:rsidRPr="00CE7C31" w:rsidRDefault="00BE1686" w:rsidP="009907A4">
      <w:pPr>
        <w:pStyle w:val="AppendixText"/>
        <w:rPr>
          <w:sz w:val="24"/>
        </w:rPr>
      </w:pPr>
      <w:r w:rsidRPr="00CE7C31">
        <w:rPr>
          <w:sz w:val="24"/>
        </w:rPr>
        <w:t>In the main text, we rely on a state-level estimate of the favorability of the 2010 Affordable Care Act as our measure of public opinion. As robustness checks, we also use state-level estimates of support for the Medicaid expansion and support for the Tea Party. The</w:t>
      </w:r>
      <w:r w:rsidR="009907A4" w:rsidRPr="00CE7C31">
        <w:rPr>
          <w:sz w:val="24"/>
        </w:rPr>
        <w:t xml:space="preserve"> estimate state-level public opinion on the Affordabl</w:t>
      </w:r>
      <w:r w:rsidR="00420446" w:rsidRPr="00CE7C31">
        <w:rPr>
          <w:sz w:val="24"/>
        </w:rPr>
        <w:t>e Care Act, we use multilevel</w:t>
      </w:r>
      <w:r w:rsidR="009907A4" w:rsidRPr="00CE7C31">
        <w:rPr>
          <w:sz w:val="24"/>
        </w:rPr>
        <w:t xml:space="preserve"> regression with post-stratification (</w:t>
      </w:r>
      <w:r w:rsidR="00420446" w:rsidRPr="00CE7C31">
        <w:rPr>
          <w:sz w:val="24"/>
        </w:rPr>
        <w:t xml:space="preserve">MRP; </w:t>
      </w:r>
      <w:r w:rsidR="009907A4" w:rsidRPr="00CE7C31">
        <w:rPr>
          <w:sz w:val="24"/>
        </w:rPr>
        <w:t xml:space="preserve">Lax and Phillips 2009) to combine </w:t>
      </w:r>
      <w:r w:rsidR="00B82901" w:rsidRPr="00CE7C31">
        <w:rPr>
          <w:sz w:val="24"/>
        </w:rPr>
        <w:t>the Kaiser Family Foundation Health Tracking Poll</w:t>
      </w:r>
      <w:r w:rsidR="00F001E1" w:rsidRPr="00CE7C31">
        <w:rPr>
          <w:sz w:val="24"/>
        </w:rPr>
        <w:t>s</w:t>
      </w:r>
      <w:r w:rsidR="00B82901" w:rsidRPr="00CE7C31">
        <w:rPr>
          <w:sz w:val="24"/>
        </w:rPr>
        <w:t xml:space="preserve"> from </w:t>
      </w:r>
      <w:r w:rsidRPr="00CE7C31">
        <w:rPr>
          <w:sz w:val="24"/>
        </w:rPr>
        <w:t>January to November of 2013</w:t>
      </w:r>
      <w:r w:rsidR="009907A4" w:rsidRPr="00CE7C31">
        <w:rPr>
          <w:sz w:val="24"/>
        </w:rPr>
        <w:t xml:space="preserve"> with census data</w:t>
      </w:r>
      <w:r w:rsidRPr="00CE7C31">
        <w:rPr>
          <w:sz w:val="24"/>
        </w:rPr>
        <w:t xml:space="preserve"> from 2000 (with 2008 weights).</w:t>
      </w:r>
      <w:r w:rsidRPr="00CE7C31">
        <w:rPr>
          <w:rStyle w:val="FootnoteReference"/>
          <w:sz w:val="24"/>
        </w:rPr>
        <w:footnoteReference w:id="2"/>
      </w:r>
      <w:r w:rsidRPr="00CE7C31">
        <w:rPr>
          <w:sz w:val="24"/>
        </w:rPr>
        <w:t xml:space="preserve"> Where </w:t>
      </w:r>
      <m:oMath>
        <m:r>
          <w:rPr>
            <w:rFonts w:ascii="Cambria Math" w:hAnsi="Cambria Math"/>
          </w:rPr>
          <m:t>y_i</m:t>
        </m:r>
      </m:oMath>
      <w:r w:rsidRPr="00CE7C31">
        <w:rPr>
          <w:sz w:val="24"/>
        </w:rPr>
        <w:t xml:space="preserve"> is an indicator for whether the respondent views the ACA favorably, supports the Medicaid expansion, or supports the Tea Party, </w:t>
      </w:r>
    </w:p>
    <w:p w14:paraId="487FC92A" w14:textId="2D0CDAD2" w:rsidR="009907A4" w:rsidRPr="0099718A" w:rsidRDefault="00C47B2F" w:rsidP="009907A4">
      <w:pPr>
        <w:pStyle w:val="AppendixText"/>
        <w:rPr>
          <w:sz w:val="18"/>
          <w:szCs w:val="18"/>
        </w:rPr>
      </w:pPr>
      <m:oMathPara>
        <m:oMathParaPr>
          <m:jc m:val="center"/>
        </m:oMathParaPr>
        <m:oMath>
          <m:func>
            <m:funcPr>
              <m:ctrlPr>
                <w:rPr>
                  <w:rFonts w:ascii="Cambria Math" w:hAnsi="Cambria Math"/>
                  <w:i/>
                  <w:sz w:val="18"/>
                  <w:szCs w:val="18"/>
                </w:rPr>
              </m:ctrlPr>
            </m:funcPr>
            <m:fName>
              <m:r>
                <m:rPr>
                  <m:sty m:val="p"/>
                </m:rPr>
                <w:rPr>
                  <w:rFonts w:ascii="Cambria Math" w:hAnsi="Cambria Math"/>
                  <w:sz w:val="18"/>
                  <w:szCs w:val="18"/>
                </w:rPr>
                <m:t>Pr</m:t>
              </m:r>
            </m:fName>
            <m:e>
              <m:d>
                <m:dPr>
                  <m:ctrlPr>
                    <w:rPr>
                      <w:rFonts w:ascii="Cambria Math" w:hAnsi="Cambria Math"/>
                      <w:i/>
                      <w:sz w:val="18"/>
                      <w:szCs w:val="18"/>
                    </w:rPr>
                  </m:ctrlPr>
                </m:dPr>
                <m:e>
                  <m:sSub>
                    <m:sSubPr>
                      <m:ctrlPr>
                        <w:rPr>
                          <w:rFonts w:ascii="Cambria Math" w:hAnsi="Cambria Math"/>
                          <w:sz w:val="18"/>
                          <w:szCs w:val="18"/>
                        </w:rPr>
                      </m:ctrlPr>
                    </m:sSubPr>
                    <m:e>
                      <m:r>
                        <m:rPr>
                          <m:sty m:val="p"/>
                        </m:rPr>
                        <w:rPr>
                          <w:rFonts w:ascii="Cambria Math" w:hAnsi="Cambria Math"/>
                          <w:sz w:val="18"/>
                          <w:szCs w:val="18"/>
                        </w:rPr>
                        <m:t>y</m:t>
                      </m:r>
                    </m:e>
                    <m:sub>
                      <m:r>
                        <m:rPr>
                          <m:sty m:val="p"/>
                        </m:rPr>
                        <w:rPr>
                          <w:rFonts w:ascii="Cambria Math" w:hAnsi="Cambria Math"/>
                          <w:sz w:val="18"/>
                          <w:szCs w:val="18"/>
                        </w:rPr>
                        <m:t>i</m:t>
                      </m:r>
                    </m:sub>
                  </m:sSub>
                  <m:r>
                    <w:rPr>
                      <w:rFonts w:ascii="Cambria Math" w:hAnsi="Cambria Math"/>
                      <w:sz w:val="18"/>
                      <w:szCs w:val="18"/>
                    </w:rPr>
                    <m:t>=1</m:t>
                  </m:r>
                </m:e>
              </m:d>
            </m:e>
          </m:func>
          <m:r>
            <w:rPr>
              <w:rFonts w:ascii="Cambria Math" w:hAnsi="Cambria Math"/>
              <w:sz w:val="18"/>
              <w:szCs w:val="18"/>
            </w:rPr>
            <m:t xml:space="preserve">= </m:t>
          </m:r>
          <m:r>
            <m:rPr>
              <m:sty m:val="p"/>
            </m:rPr>
            <w:rPr>
              <w:rFonts w:ascii="Cambria Math" w:hAnsi="Cambria Math"/>
              <w:sz w:val="18"/>
              <w:szCs w:val="18"/>
            </w:rPr>
            <m:t>logi</m:t>
          </m:r>
          <m:sSup>
            <m:sSupPr>
              <m:ctrlPr>
                <w:rPr>
                  <w:rFonts w:ascii="Cambria Math" w:hAnsi="Cambria Math"/>
                  <w:sz w:val="18"/>
                  <w:szCs w:val="18"/>
                </w:rPr>
              </m:ctrlPr>
            </m:sSupPr>
            <m:e>
              <m:r>
                <m:rPr>
                  <m:sty m:val="p"/>
                </m:rPr>
                <w:rPr>
                  <w:rFonts w:ascii="Cambria Math" w:hAnsi="Cambria Math"/>
                  <w:sz w:val="18"/>
                  <w:szCs w:val="18"/>
                </w:rPr>
                <m:t>t</m:t>
              </m:r>
            </m:e>
            <m:sup>
              <m:r>
                <m:rPr>
                  <m:sty m:val="p"/>
                </m:rPr>
                <w:rPr>
                  <w:rFonts w:ascii="Cambria Math" w:hAnsi="Cambria Math"/>
                  <w:sz w:val="18"/>
                  <w:szCs w:val="18"/>
                </w:rPr>
                <m:t>-1</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α</m:t>
              </m:r>
            </m:e>
            <m:sup>
              <m:r>
                <w:rPr>
                  <w:rFonts w:ascii="Cambria Math" w:hAnsi="Cambria Math"/>
                  <w:sz w:val="18"/>
                  <w:szCs w:val="18"/>
                </w:rPr>
                <m:t>cons</m:t>
              </m:r>
            </m:sup>
          </m:sSup>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j</m:t>
              </m:r>
              <m:d>
                <m:dPr>
                  <m:begChr m:val="["/>
                  <m:endChr m:val="]"/>
                  <m:ctrlPr>
                    <w:rPr>
                      <w:rFonts w:ascii="Cambria Math" w:hAnsi="Cambria Math"/>
                      <w:i/>
                      <w:sz w:val="18"/>
                      <w:szCs w:val="18"/>
                    </w:rPr>
                  </m:ctrlPr>
                </m:dPr>
                <m:e>
                  <m:r>
                    <w:rPr>
                      <w:rFonts w:ascii="Cambria Math" w:hAnsi="Cambria Math"/>
                      <w:sz w:val="18"/>
                      <w:szCs w:val="18"/>
                    </w:rPr>
                    <m:t>i</m:t>
                  </m:r>
                </m:e>
              </m:d>
            </m:sub>
            <m:sup>
              <m:r>
                <w:rPr>
                  <w:rFonts w:ascii="Cambria Math" w:hAnsi="Cambria Math"/>
                  <w:sz w:val="18"/>
                  <w:szCs w:val="18"/>
                </w:rPr>
                <m:t>race</m:t>
              </m:r>
            </m:sup>
          </m:sSubSup>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k</m:t>
              </m:r>
              <m:d>
                <m:dPr>
                  <m:begChr m:val="["/>
                  <m:endChr m:val="]"/>
                  <m:ctrlPr>
                    <w:rPr>
                      <w:rFonts w:ascii="Cambria Math" w:hAnsi="Cambria Math"/>
                      <w:i/>
                      <w:sz w:val="18"/>
                      <w:szCs w:val="18"/>
                    </w:rPr>
                  </m:ctrlPr>
                </m:dPr>
                <m:e>
                  <m:r>
                    <w:rPr>
                      <w:rFonts w:ascii="Cambria Math" w:hAnsi="Cambria Math"/>
                      <w:sz w:val="18"/>
                      <w:szCs w:val="18"/>
                    </w:rPr>
                    <m:t>i</m:t>
                  </m:r>
                </m:e>
              </m:d>
            </m:sub>
            <m:sup>
              <m:r>
                <w:rPr>
                  <w:rFonts w:ascii="Cambria Math" w:hAnsi="Cambria Math"/>
                  <w:sz w:val="18"/>
                  <w:szCs w:val="18"/>
                </w:rPr>
                <m:t>gender</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l</m:t>
              </m:r>
              <m:d>
                <m:dPr>
                  <m:begChr m:val="["/>
                  <m:endChr m:val="]"/>
                  <m:ctrlPr>
                    <w:rPr>
                      <w:rFonts w:ascii="Cambria Math" w:hAnsi="Cambria Math"/>
                      <w:i/>
                      <w:sz w:val="18"/>
                      <w:szCs w:val="18"/>
                    </w:rPr>
                  </m:ctrlPr>
                </m:dPr>
                <m:e>
                  <m:r>
                    <w:rPr>
                      <w:rFonts w:ascii="Cambria Math" w:hAnsi="Cambria Math"/>
                      <w:sz w:val="18"/>
                      <w:szCs w:val="18"/>
                    </w:rPr>
                    <m:t>i</m:t>
                  </m:r>
                </m:e>
              </m:d>
            </m:sub>
            <m:sup>
              <m:r>
                <w:rPr>
                  <w:rFonts w:ascii="Cambria Math" w:hAnsi="Cambria Math"/>
                  <w:sz w:val="18"/>
                  <w:szCs w:val="18"/>
                </w:rPr>
                <m:t>race ×gender</m:t>
              </m:r>
            </m:sup>
          </m:sSubSup>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m</m:t>
              </m:r>
              <m:d>
                <m:dPr>
                  <m:begChr m:val="["/>
                  <m:endChr m:val="]"/>
                  <m:ctrlPr>
                    <w:rPr>
                      <w:rFonts w:ascii="Cambria Math" w:hAnsi="Cambria Math"/>
                      <w:i/>
                      <w:sz w:val="18"/>
                      <w:szCs w:val="18"/>
                    </w:rPr>
                  </m:ctrlPr>
                </m:dPr>
                <m:e>
                  <m:r>
                    <w:rPr>
                      <w:rFonts w:ascii="Cambria Math" w:hAnsi="Cambria Math"/>
                      <w:sz w:val="18"/>
                      <w:szCs w:val="18"/>
                    </w:rPr>
                    <m:t>i</m:t>
                  </m:r>
                </m:e>
              </m:d>
            </m:sub>
            <m:sup>
              <m:r>
                <w:rPr>
                  <w:rFonts w:ascii="Cambria Math" w:hAnsi="Cambria Math"/>
                  <w:sz w:val="18"/>
                  <w:szCs w:val="18"/>
                </w:rPr>
                <m:t>age</m:t>
              </m:r>
            </m:sup>
          </m:sSubSup>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p</m:t>
              </m:r>
              <m:d>
                <m:dPr>
                  <m:begChr m:val="["/>
                  <m:endChr m:val="]"/>
                  <m:ctrlPr>
                    <w:rPr>
                      <w:rFonts w:ascii="Cambria Math" w:hAnsi="Cambria Math"/>
                      <w:i/>
                      <w:sz w:val="18"/>
                      <w:szCs w:val="18"/>
                    </w:rPr>
                  </m:ctrlPr>
                </m:dPr>
                <m:e>
                  <m:r>
                    <w:rPr>
                      <w:rFonts w:ascii="Cambria Math" w:hAnsi="Cambria Math"/>
                      <w:sz w:val="18"/>
                      <w:szCs w:val="18"/>
                    </w:rPr>
                    <m:t>i</m:t>
                  </m:r>
                </m:e>
              </m:d>
            </m:sub>
            <m:sup>
              <m:r>
                <w:rPr>
                  <w:rFonts w:ascii="Cambria Math" w:hAnsi="Cambria Math"/>
                  <w:sz w:val="18"/>
                  <w:szCs w:val="18"/>
                </w:rPr>
                <m:t>income</m:t>
              </m:r>
            </m:sup>
          </m:sSubSup>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q</m:t>
              </m:r>
              <m:d>
                <m:dPr>
                  <m:begChr m:val="["/>
                  <m:endChr m:val="]"/>
                  <m:ctrlPr>
                    <w:rPr>
                      <w:rFonts w:ascii="Cambria Math" w:hAnsi="Cambria Math"/>
                      <w:i/>
                      <w:sz w:val="18"/>
                      <w:szCs w:val="18"/>
                    </w:rPr>
                  </m:ctrlPr>
                </m:dPr>
                <m:e>
                  <m:r>
                    <w:rPr>
                      <w:rFonts w:ascii="Cambria Math" w:hAnsi="Cambria Math"/>
                      <w:sz w:val="18"/>
                      <w:szCs w:val="18"/>
                    </w:rPr>
                    <m:t>i</m:t>
                  </m:r>
                </m:e>
              </m:d>
            </m:sub>
            <m:sup>
              <m:r>
                <w:rPr>
                  <w:rFonts w:ascii="Cambria Math" w:hAnsi="Cambria Math"/>
                  <w:sz w:val="18"/>
                  <w:szCs w:val="18"/>
                </w:rPr>
                <m:t>education</m:t>
              </m:r>
            </m:sup>
          </m:sSubSup>
          <m:r>
            <w:rPr>
              <w:rFonts w:ascii="Cambria Math" w:hAnsi="Cambria Math"/>
              <w:sz w:val="18"/>
              <w:szCs w:val="18"/>
            </w:rPr>
            <m:t xml:space="preserve">+ + </m:t>
          </m:r>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s[i]</m:t>
              </m:r>
            </m:sub>
            <m:sup>
              <m:r>
                <w:rPr>
                  <w:rFonts w:ascii="Cambria Math" w:hAnsi="Cambria Math"/>
                  <w:sz w:val="18"/>
                  <w:szCs w:val="18"/>
                </w:rPr>
                <m:t>state</m:t>
              </m:r>
            </m:sup>
          </m:sSubSup>
          <m:r>
            <w:rPr>
              <w:rFonts w:ascii="Cambria Math" w:hAnsi="Cambria Math"/>
              <w:sz w:val="18"/>
              <w:szCs w:val="18"/>
            </w:rPr>
            <m:t>)</m:t>
          </m:r>
        </m:oMath>
      </m:oMathPara>
    </w:p>
    <w:p w14:paraId="0DC73FAE" w14:textId="3BF8DA9B" w:rsidR="000A48AF" w:rsidRPr="00CE7C31" w:rsidRDefault="009907A4" w:rsidP="009907A4">
      <w:pPr>
        <w:pStyle w:val="AppendixText"/>
      </w:pPr>
      <w:r w:rsidRPr="00CE7C31">
        <w:rPr>
          <w:sz w:val="24"/>
        </w:rPr>
        <w:t xml:space="preserve">In our model, </w:t>
      </w:r>
      <m:oMath>
        <m:sSup>
          <m:sSupPr>
            <m:ctrlPr>
              <w:rPr>
                <w:rFonts w:ascii="Cambria Math" w:hAnsi="Cambria Math"/>
                <w:i/>
              </w:rPr>
            </m:ctrlPr>
          </m:sSupPr>
          <m:e>
            <m:r>
              <w:rPr>
                <w:rFonts w:ascii="Cambria Math" w:hAnsi="Cambria Math"/>
              </w:rPr>
              <m:t>α</m:t>
            </m:r>
          </m:e>
          <m:sup>
            <m:r>
              <w:rPr>
                <w:rFonts w:ascii="Cambria Math" w:hAnsi="Cambria Math"/>
              </w:rPr>
              <m:t>cons</m:t>
            </m:r>
          </m:sup>
        </m:sSup>
      </m:oMath>
      <w:r w:rsidRPr="00CE7C31">
        <w:rPr>
          <w:sz w:val="24"/>
        </w:rPr>
        <w:t xml:space="preserve"> is a fixed intercept; </w:t>
      </w:r>
      <m:oMath>
        <m:sSubSup>
          <m:sSubSupPr>
            <m:ctrlPr>
              <w:rPr>
                <w:rFonts w:ascii="Cambria Math" w:hAnsi="Cambria Math"/>
                <w:i/>
              </w:rPr>
            </m:ctrlPr>
          </m:sSubSupPr>
          <m:e>
            <m:r>
              <w:rPr>
                <w:rFonts w:ascii="Cambria Math" w:hAnsi="Cambria Math"/>
              </w:rPr>
              <m:t>α</m:t>
            </m:r>
          </m:e>
          <m:sub>
            <m:r>
              <w:rPr>
                <w:rFonts w:ascii="Cambria Math" w:hAnsi="Cambria Math"/>
              </w:rPr>
              <m:t>j</m:t>
            </m:r>
          </m:sub>
          <m:sup>
            <m:r>
              <w:rPr>
                <w:rFonts w:ascii="Cambria Math" w:hAnsi="Cambria Math"/>
              </w:rPr>
              <m:t>race</m:t>
            </m:r>
          </m:sup>
        </m:sSubSup>
      </m:oMath>
      <w:r w:rsidRPr="00D10B75">
        <w:t xml:space="preserve">, </w:t>
      </w:r>
      <m:oMath>
        <m:sSubSup>
          <m:sSubSupPr>
            <m:ctrlPr>
              <w:rPr>
                <w:rFonts w:ascii="Cambria Math" w:hAnsi="Cambria Math"/>
                <w:i/>
              </w:rPr>
            </m:ctrlPr>
          </m:sSubSupPr>
          <m:e>
            <m:r>
              <w:rPr>
                <w:rFonts w:ascii="Cambria Math" w:hAnsi="Cambria Math"/>
              </w:rPr>
              <m:t>α</m:t>
            </m:r>
          </m:e>
          <m:sub>
            <m:r>
              <w:rPr>
                <w:rFonts w:ascii="Cambria Math" w:hAnsi="Cambria Math"/>
              </w:rPr>
              <m:t>j</m:t>
            </m:r>
          </m:sub>
          <m:sup>
            <m:r>
              <w:rPr>
                <w:rFonts w:ascii="Cambria Math" w:hAnsi="Cambria Math"/>
              </w:rPr>
              <m:t>gender</m:t>
            </m:r>
          </m:sup>
        </m:sSubSup>
      </m:oMath>
      <w:r w:rsidRPr="00D10B75">
        <w:t xml:space="preserve">, </w:t>
      </w:r>
      <m:oMath>
        <m:sSubSup>
          <m:sSubSupPr>
            <m:ctrlPr>
              <w:rPr>
                <w:rFonts w:ascii="Cambria Math" w:hAnsi="Cambria Math"/>
                <w:i/>
              </w:rPr>
            </m:ctrlPr>
          </m:sSubSupPr>
          <m:e>
            <m:r>
              <w:rPr>
                <w:rFonts w:ascii="Cambria Math" w:hAnsi="Cambria Math"/>
              </w:rPr>
              <m:t>α</m:t>
            </m:r>
          </m:e>
          <m:sub>
            <m:r>
              <w:rPr>
                <w:rFonts w:ascii="Cambria Math" w:hAnsi="Cambria Math"/>
              </w:rPr>
              <m:t>j</m:t>
            </m:r>
          </m:sub>
          <m:sup>
            <m:r>
              <w:rPr>
                <w:rFonts w:ascii="Cambria Math" w:hAnsi="Cambria Math"/>
              </w:rPr>
              <m:t>race ×gnder</m:t>
            </m:r>
          </m:sup>
        </m:sSubSup>
      </m:oMath>
      <w:r w:rsidRPr="00D10B75">
        <w:t xml:space="preserve">, </w:t>
      </w:r>
      <m:oMath>
        <m:sSubSup>
          <m:sSubSupPr>
            <m:ctrlPr>
              <w:rPr>
                <w:rFonts w:ascii="Cambria Math" w:hAnsi="Cambria Math"/>
                <w:i/>
              </w:rPr>
            </m:ctrlPr>
          </m:sSubSupPr>
          <m:e>
            <m:r>
              <w:rPr>
                <w:rFonts w:ascii="Cambria Math" w:hAnsi="Cambria Math"/>
              </w:rPr>
              <m:t>α</m:t>
            </m:r>
          </m:e>
          <m:sub>
            <m:r>
              <w:rPr>
                <w:rFonts w:ascii="Cambria Math" w:hAnsi="Cambria Math"/>
              </w:rPr>
              <m:t>j</m:t>
            </m:r>
          </m:sub>
          <m:sup>
            <m:r>
              <w:rPr>
                <w:rFonts w:ascii="Cambria Math" w:hAnsi="Cambria Math"/>
              </w:rPr>
              <m:t>age</m:t>
            </m:r>
          </m:sup>
        </m:sSubSup>
      </m:oMath>
      <w:r w:rsidRPr="00D10B75">
        <w:t xml:space="preserve">, </w:t>
      </w:r>
      <m:oMath>
        <m:sSubSup>
          <m:sSubSupPr>
            <m:ctrlPr>
              <w:rPr>
                <w:rFonts w:ascii="Cambria Math" w:hAnsi="Cambria Math"/>
                <w:i/>
              </w:rPr>
            </m:ctrlPr>
          </m:sSubSupPr>
          <m:e>
            <m:r>
              <w:rPr>
                <w:rFonts w:ascii="Cambria Math" w:hAnsi="Cambria Math"/>
              </w:rPr>
              <m:t>α</m:t>
            </m:r>
          </m:e>
          <m:sub>
            <m:r>
              <w:rPr>
                <w:rFonts w:ascii="Cambria Math" w:hAnsi="Cambria Math"/>
              </w:rPr>
              <m:t>j</m:t>
            </m:r>
          </m:sub>
          <m:sup>
            <m:r>
              <w:rPr>
                <w:rFonts w:ascii="Cambria Math" w:hAnsi="Cambria Math"/>
              </w:rPr>
              <m:t>income</m:t>
            </m:r>
          </m:sup>
        </m:sSubSup>
      </m:oMath>
      <w:r w:rsidRPr="00D10B75">
        <w:t>,</w:t>
      </w:r>
      <w:r w:rsidRPr="00CE7C31">
        <w:rPr>
          <w:sz w:val="24"/>
        </w:rPr>
        <w:t xml:space="preserve"> and </w:t>
      </w:r>
      <m:oMath>
        <m:sSubSup>
          <m:sSubSupPr>
            <m:ctrlPr>
              <w:rPr>
                <w:rFonts w:ascii="Cambria Math" w:hAnsi="Cambria Math"/>
                <w:i/>
              </w:rPr>
            </m:ctrlPr>
          </m:sSubSupPr>
          <m:e>
            <m:r>
              <w:rPr>
                <w:rFonts w:ascii="Cambria Math" w:hAnsi="Cambria Math"/>
              </w:rPr>
              <m:t>α</m:t>
            </m:r>
          </m:e>
          <m:sub>
            <m:r>
              <w:rPr>
                <w:rFonts w:ascii="Cambria Math" w:hAnsi="Cambria Math"/>
              </w:rPr>
              <m:t>j</m:t>
            </m:r>
          </m:sub>
          <m:sup>
            <m:r>
              <w:rPr>
                <w:rFonts w:ascii="Cambria Math" w:hAnsi="Cambria Math"/>
              </w:rPr>
              <m:t>education</m:t>
            </m:r>
          </m:sup>
        </m:sSubSup>
      </m:oMath>
      <w:r w:rsidRPr="00CE7C31">
        <w:rPr>
          <w:sz w:val="24"/>
        </w:rPr>
        <w:t xml:space="preserve">are </w:t>
      </w:r>
      <w:r w:rsidRPr="00CE7C31">
        <w:rPr>
          <w:sz w:val="24"/>
        </w:rPr>
        <w:lastRenderedPageBreak/>
        <w:t>unmodeled random intercepts by the (categorical) variables indicated by the superscripts</w:t>
      </w:r>
      <w:r w:rsidR="002527BB" w:rsidRPr="00CE7C31">
        <w:t xml:space="preserve"> and shown in Table 4</w:t>
      </w:r>
      <w:r w:rsidRPr="00CE7C31">
        <w:rPr>
          <w:sz w:val="24"/>
        </w:rPr>
        <w:t xml:space="preserve">; </w:t>
      </w:r>
      <w:proofErr w:type="gramStart"/>
      <w:r w:rsidRPr="00CE7C31">
        <w:rPr>
          <w:sz w:val="24"/>
        </w:rPr>
        <w:t xml:space="preserve">and  </w:t>
      </w:r>
      <w:proofErr w:type="gramEnd"/>
      <m:oMath>
        <m:sSubSup>
          <m:sSubSupPr>
            <m:ctrlPr>
              <w:rPr>
                <w:rFonts w:ascii="Cambria Math" w:hAnsi="Cambria Math"/>
                <w:i/>
              </w:rPr>
            </m:ctrlPr>
          </m:sSubSupPr>
          <m:e>
            <m:r>
              <w:rPr>
                <w:rFonts w:ascii="Cambria Math" w:hAnsi="Cambria Math"/>
              </w:rPr>
              <m:t>α</m:t>
            </m:r>
          </m:e>
          <m:sub>
            <m:r>
              <w:rPr>
                <w:rFonts w:ascii="Cambria Math" w:hAnsi="Cambria Math"/>
              </w:rPr>
              <m:t>s</m:t>
            </m:r>
          </m:sub>
          <m:sup>
            <m:r>
              <w:rPr>
                <w:rFonts w:ascii="Cambria Math" w:hAnsi="Cambria Math"/>
              </w:rPr>
              <m:t>state</m:t>
            </m:r>
          </m:sup>
        </m:sSubSup>
      </m:oMath>
      <w:r w:rsidRPr="00CE7C31">
        <w:rPr>
          <w:sz w:val="24"/>
        </w:rPr>
        <w:t xml:space="preserve"> is a </w:t>
      </w:r>
      <w:r w:rsidR="001E4189" w:rsidRPr="00CE7C31">
        <w:rPr>
          <w:sz w:val="24"/>
        </w:rPr>
        <w:t xml:space="preserve">random intercept modeled as </w:t>
      </w:r>
      <m:oMath>
        <m:sSubSup>
          <m:sSubSupPr>
            <m:ctrlPr>
              <w:rPr>
                <w:rFonts w:ascii="Cambria Math" w:hAnsi="Cambria Math"/>
                <w:i/>
              </w:rPr>
            </m:ctrlPr>
          </m:sSubSupPr>
          <m:e>
            <m:r>
              <w:rPr>
                <w:rFonts w:ascii="Cambria Math" w:hAnsi="Cambria Math"/>
              </w:rPr>
              <m:t>α</m:t>
            </m:r>
          </m:e>
          <m:sub>
            <m:r>
              <w:rPr>
                <w:rFonts w:ascii="Cambria Math" w:hAnsi="Cambria Math"/>
              </w:rPr>
              <m:t>s</m:t>
            </m:r>
          </m:sub>
          <m:sup>
            <m:r>
              <w:rPr>
                <w:rFonts w:ascii="Cambria Math" w:hAnsi="Cambria Math"/>
              </w:rPr>
              <m:t>state</m:t>
            </m:r>
          </m:sup>
        </m:sSubSup>
        <m:r>
          <w:rPr>
            <w:rFonts w:ascii="Cambria Math" w:hAnsi="Cambria Math"/>
          </w:rPr>
          <m:t>∼N(</m:t>
        </m:r>
        <m:sSubSup>
          <m:sSubSupPr>
            <m:ctrlPr>
              <w:rPr>
                <w:rFonts w:ascii="Cambria Math" w:hAnsi="Cambria Math"/>
                <w:i/>
              </w:rPr>
            </m:ctrlPr>
          </m:sSubSupPr>
          <m:e>
            <m:r>
              <w:rPr>
                <w:rFonts w:ascii="Cambria Math" w:hAnsi="Cambria Math"/>
              </w:rPr>
              <m:t>α</m:t>
            </m:r>
          </m:e>
          <m:sub>
            <m:r>
              <w:rPr>
                <w:rFonts w:ascii="Cambria Math" w:hAnsi="Cambria Math"/>
              </w:rPr>
              <m:t>r</m:t>
            </m:r>
            <m:d>
              <m:dPr>
                <m:begChr m:val="["/>
                <m:endChr m:val="]"/>
                <m:ctrlPr>
                  <w:rPr>
                    <w:rFonts w:ascii="Cambria Math" w:hAnsi="Cambria Math"/>
                    <w:i/>
                  </w:rPr>
                </m:ctrlPr>
              </m:dPr>
              <m:e>
                <m:r>
                  <w:rPr>
                    <w:rFonts w:ascii="Cambria Math" w:hAnsi="Cambria Math"/>
                  </w:rPr>
                  <m:t>s</m:t>
                </m:r>
              </m:e>
            </m:d>
          </m:sub>
          <m:sup>
            <m:r>
              <w:rPr>
                <w:rFonts w:ascii="Cambria Math" w:hAnsi="Cambria Math"/>
              </w:rPr>
              <m:t>region</m:t>
            </m:r>
          </m:sup>
        </m:sSubSup>
        <m:r>
          <w:rPr>
            <w:rFonts w:ascii="Cambria Math" w:hAnsi="Cambria Math"/>
          </w:rPr>
          <m:t xml:space="preserve">+ </m:t>
        </m:r>
        <m:sSup>
          <m:sSupPr>
            <m:ctrlPr>
              <w:rPr>
                <w:rFonts w:ascii="Cambria Math" w:hAnsi="Cambria Math"/>
                <w:i/>
              </w:rPr>
            </m:ctrlPr>
          </m:sSupPr>
          <m:e>
            <m:r>
              <w:rPr>
                <w:rFonts w:ascii="Cambria Math" w:hAnsi="Cambria Math"/>
              </w:rPr>
              <m:t>α</m:t>
            </m:r>
          </m:e>
          <m:sup>
            <m:r>
              <w:rPr>
                <w:rFonts w:ascii="Cambria Math" w:hAnsi="Cambria Math"/>
              </w:rPr>
              <m:t>Obama</m:t>
            </m:r>
          </m:sup>
        </m:sSup>
        <m:r>
          <m:rPr>
            <m:sty m:val="p"/>
          </m:rPr>
          <w:rPr>
            <w:rFonts w:ascii="Cambria Math" w:hAnsi="Cambria Math"/>
          </w:rPr>
          <m:t xml:space="preserve">Obama Vote Share in </m:t>
        </m:r>
        <m:sSub>
          <m:sSubPr>
            <m:ctrlPr>
              <w:rPr>
                <w:rFonts w:ascii="Cambria Math" w:hAnsi="Cambria Math"/>
                <w:i/>
              </w:rPr>
            </m:ctrlPr>
          </m:sSubPr>
          <m:e>
            <m:r>
              <w:rPr>
                <w:rFonts w:ascii="Cambria Math" w:hAnsi="Cambria Math"/>
              </w:rPr>
              <m:t>2012</m:t>
            </m:r>
          </m:e>
          <m:sub>
            <m:r>
              <w:rPr>
                <w:rFonts w:ascii="Cambria Math" w:hAnsi="Cambria Math"/>
              </w:rPr>
              <m:t>s</m:t>
            </m:r>
          </m:sub>
        </m:sSub>
        <m:r>
          <w:rPr>
            <w:rFonts w:ascii="Cambria Math" w:hAnsi="Cambria Math"/>
          </w:rPr>
          <m:t>)</m:t>
        </m:r>
      </m:oMath>
      <w:r w:rsidR="001E4189" w:rsidRPr="00D10B75">
        <w:t>,</w:t>
      </w:r>
      <w:r w:rsidR="001E4189" w:rsidRPr="00CE7C31">
        <w:rPr>
          <w:sz w:val="24"/>
        </w:rPr>
        <w:t xml:space="preserve"> where </w:t>
      </w:r>
      <m:oMath>
        <m:sSubSup>
          <m:sSubSupPr>
            <m:ctrlPr>
              <w:rPr>
                <w:rFonts w:ascii="Cambria Math" w:hAnsi="Cambria Math"/>
                <w:i/>
              </w:rPr>
            </m:ctrlPr>
          </m:sSubSupPr>
          <m:e>
            <m:r>
              <w:rPr>
                <w:rFonts w:ascii="Cambria Math" w:hAnsi="Cambria Math"/>
              </w:rPr>
              <m:t>α</m:t>
            </m:r>
          </m:e>
          <m:sub>
            <m:r>
              <w:rPr>
                <w:rFonts w:ascii="Cambria Math" w:hAnsi="Cambria Math"/>
              </w:rPr>
              <m:t>r</m:t>
            </m:r>
            <m:d>
              <m:dPr>
                <m:begChr m:val="["/>
                <m:endChr m:val="]"/>
                <m:ctrlPr>
                  <w:rPr>
                    <w:rFonts w:ascii="Cambria Math" w:hAnsi="Cambria Math"/>
                    <w:i/>
                  </w:rPr>
                </m:ctrlPr>
              </m:dPr>
              <m:e>
                <m:r>
                  <w:rPr>
                    <w:rFonts w:ascii="Cambria Math" w:hAnsi="Cambria Math"/>
                  </w:rPr>
                  <m:t>s</m:t>
                </m:r>
              </m:e>
            </m:d>
          </m:sub>
          <m:sup>
            <m:r>
              <w:rPr>
                <w:rFonts w:ascii="Cambria Math" w:hAnsi="Cambria Math"/>
              </w:rPr>
              <m:t>region</m:t>
            </m:r>
          </m:sup>
        </m:sSubSup>
      </m:oMath>
      <w:r w:rsidR="001E4189" w:rsidRPr="00CE7C31">
        <w:rPr>
          <w:sz w:val="24"/>
        </w:rPr>
        <w:t xml:space="preserve"> is an unmodeled random effect  and </w:t>
      </w:r>
      <m:oMath>
        <m:sSup>
          <m:sSupPr>
            <m:ctrlPr>
              <w:rPr>
                <w:rFonts w:ascii="Cambria Math" w:hAnsi="Cambria Math"/>
                <w:i/>
              </w:rPr>
            </m:ctrlPr>
          </m:sSupPr>
          <m:e>
            <m:r>
              <w:rPr>
                <w:rFonts w:ascii="Cambria Math" w:hAnsi="Cambria Math"/>
              </w:rPr>
              <m:t>α</m:t>
            </m:r>
          </m:e>
          <m:sup>
            <m:r>
              <w:rPr>
                <w:rFonts w:ascii="Cambria Math" w:hAnsi="Cambria Math"/>
              </w:rPr>
              <m:t>Obama</m:t>
            </m:r>
          </m:sup>
        </m:sSup>
      </m:oMath>
      <w:r w:rsidR="001E4189" w:rsidRPr="00CE7C31">
        <w:rPr>
          <w:sz w:val="24"/>
        </w:rPr>
        <w:t xml:space="preserve"> is a fixed effect.</w:t>
      </w:r>
      <w:r w:rsidR="001E4189" w:rsidRPr="00CE7C31">
        <w:t xml:space="preserve"> </w:t>
      </w:r>
      <w:r w:rsidR="000A48AF" w:rsidRPr="00CE7C31">
        <w:t xml:space="preserve">We fit the model and performed the </w:t>
      </w:r>
      <w:proofErr w:type="spellStart"/>
      <w:r w:rsidR="000A48AF" w:rsidRPr="00CE7C31">
        <w:t>poststratification</w:t>
      </w:r>
      <w:proofErr w:type="spellEnd"/>
      <w:r w:rsidR="000A48AF" w:rsidRPr="00CE7C31">
        <w:t xml:space="preserve"> in R using the MRP package available at https://github.com/malecki/mrp.  </w:t>
      </w:r>
      <w:r w:rsidR="007F31EC" w:rsidRPr="00CE7C31">
        <w:t>Our</w:t>
      </w:r>
      <w:r w:rsidR="000A48AF" w:rsidRPr="00CE7C31">
        <w:t xml:space="preserve"> state-level estimates are given below in </w:t>
      </w:r>
      <w:r w:rsidR="000A48AF" w:rsidRPr="00CE7C31">
        <w:fldChar w:fldCharType="begin"/>
      </w:r>
      <w:r w:rsidR="000A48AF" w:rsidRPr="00CE7C31">
        <w:instrText xml:space="preserve"> REF _Ref261527996 \h </w:instrText>
      </w:r>
      <w:r w:rsidR="000A48AF" w:rsidRPr="00CE7C31">
        <w:fldChar w:fldCharType="separate"/>
      </w:r>
      <w:r w:rsidR="008A68F6" w:rsidRPr="00CE7C31">
        <w:t xml:space="preserve">Figure </w:t>
      </w:r>
      <w:r w:rsidR="00B84D0A" w:rsidRPr="00447FDB">
        <w:rPr>
          <w:noProof/>
          <w:sz w:val="24"/>
        </w:rPr>
        <w:t>4</w:t>
      </w:r>
      <w:r w:rsidR="000A48AF" w:rsidRPr="00CE7C31">
        <w:fldChar w:fldCharType="end"/>
      </w:r>
      <w:r w:rsidR="000A48AF" w:rsidRPr="00CE7C31">
        <w:t xml:space="preserve"> and available for download at</w:t>
      </w:r>
      <w:r w:rsidR="00DA3926" w:rsidRPr="00CE7C31">
        <w:t xml:space="preserve"> https://github.com/carlislerainey</w:t>
      </w:r>
      <w:r w:rsidR="000D3B7D" w:rsidRPr="00CE7C31">
        <w:t>/ACA_Opinion.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3060"/>
      </w:tblGrid>
      <w:tr w:rsidR="009907A4" w:rsidRPr="00D10B75" w14:paraId="2B85ACBA" w14:textId="77777777" w:rsidTr="00496E4F">
        <w:trPr>
          <w:jc w:val="center"/>
        </w:trPr>
        <w:tc>
          <w:tcPr>
            <w:tcW w:w="2628" w:type="dxa"/>
            <w:shd w:val="clear" w:color="auto" w:fill="auto"/>
          </w:tcPr>
          <w:p w14:paraId="00F26D24" w14:textId="77777777" w:rsidR="009907A4" w:rsidRPr="00733218" w:rsidRDefault="009907A4" w:rsidP="005B37E9">
            <w:pPr>
              <w:pStyle w:val="AppendixText"/>
              <w:keepNext/>
              <w:keepLines/>
              <w:spacing w:after="0"/>
              <w:jc w:val="center"/>
              <w:rPr>
                <w:b/>
              </w:rPr>
            </w:pPr>
            <w:r w:rsidRPr="00733218">
              <w:rPr>
                <w:b/>
              </w:rPr>
              <w:t>Variable</w:t>
            </w:r>
          </w:p>
        </w:tc>
        <w:tc>
          <w:tcPr>
            <w:tcW w:w="3060" w:type="dxa"/>
            <w:shd w:val="clear" w:color="auto" w:fill="auto"/>
          </w:tcPr>
          <w:p w14:paraId="6F51ADCE" w14:textId="77777777" w:rsidR="009907A4" w:rsidRPr="00EB3A1B" w:rsidRDefault="009907A4" w:rsidP="005B37E9">
            <w:pPr>
              <w:pStyle w:val="AppendixText"/>
              <w:keepNext/>
              <w:keepLines/>
              <w:spacing w:after="0"/>
              <w:jc w:val="center"/>
              <w:rPr>
                <w:b/>
              </w:rPr>
            </w:pPr>
            <w:r w:rsidRPr="00EB3A1B">
              <w:rPr>
                <w:b/>
              </w:rPr>
              <w:t>Categories</w:t>
            </w:r>
          </w:p>
        </w:tc>
      </w:tr>
      <w:tr w:rsidR="009907A4" w:rsidRPr="00D10B75" w14:paraId="1AE30992" w14:textId="77777777" w:rsidTr="00496E4F">
        <w:trPr>
          <w:jc w:val="center"/>
        </w:trPr>
        <w:tc>
          <w:tcPr>
            <w:tcW w:w="2628" w:type="dxa"/>
            <w:shd w:val="clear" w:color="auto" w:fill="auto"/>
          </w:tcPr>
          <w:p w14:paraId="4240285F" w14:textId="77777777" w:rsidR="009907A4" w:rsidRPr="00733218" w:rsidRDefault="009907A4" w:rsidP="005B37E9">
            <w:pPr>
              <w:pStyle w:val="AppendixText"/>
              <w:keepNext/>
              <w:keepLines/>
              <w:spacing w:after="0"/>
              <w:jc w:val="center"/>
            </w:pPr>
            <w:r w:rsidRPr="00733218">
              <w:t>Race</w:t>
            </w:r>
          </w:p>
        </w:tc>
        <w:tc>
          <w:tcPr>
            <w:tcW w:w="3060" w:type="dxa"/>
            <w:shd w:val="clear" w:color="auto" w:fill="auto"/>
          </w:tcPr>
          <w:p w14:paraId="3259A552" w14:textId="77777777" w:rsidR="009907A4" w:rsidRPr="00EB3A1B" w:rsidRDefault="009907A4" w:rsidP="005B37E9">
            <w:pPr>
              <w:pStyle w:val="AppendixText"/>
              <w:keepNext/>
              <w:keepLines/>
              <w:numPr>
                <w:ilvl w:val="0"/>
                <w:numId w:val="19"/>
              </w:numPr>
              <w:spacing w:after="0"/>
            </w:pPr>
            <w:r w:rsidRPr="00EB3A1B">
              <w:t>White</w:t>
            </w:r>
          </w:p>
          <w:p w14:paraId="34280857" w14:textId="77777777" w:rsidR="009907A4" w:rsidRPr="00CE7C31" w:rsidRDefault="009907A4" w:rsidP="005B37E9">
            <w:pPr>
              <w:pStyle w:val="AppendixText"/>
              <w:keepNext/>
              <w:keepLines/>
              <w:numPr>
                <w:ilvl w:val="0"/>
                <w:numId w:val="19"/>
              </w:numPr>
              <w:spacing w:after="0"/>
            </w:pPr>
            <w:r w:rsidRPr="00CE7C31">
              <w:t>Black</w:t>
            </w:r>
          </w:p>
          <w:p w14:paraId="7ED4CB5E" w14:textId="77777777" w:rsidR="009907A4" w:rsidRPr="00CE7C31" w:rsidRDefault="009907A4" w:rsidP="005B37E9">
            <w:pPr>
              <w:pStyle w:val="AppendixText"/>
              <w:keepNext/>
              <w:keepLines/>
              <w:numPr>
                <w:ilvl w:val="0"/>
                <w:numId w:val="19"/>
              </w:numPr>
              <w:spacing w:after="0"/>
            </w:pPr>
            <w:r w:rsidRPr="00CE7C31">
              <w:t>Hispanic</w:t>
            </w:r>
          </w:p>
          <w:p w14:paraId="448AC637" w14:textId="77777777" w:rsidR="009907A4" w:rsidRPr="00CE7C31" w:rsidRDefault="009907A4" w:rsidP="005B37E9">
            <w:pPr>
              <w:pStyle w:val="AppendixText"/>
              <w:keepNext/>
              <w:keepLines/>
              <w:numPr>
                <w:ilvl w:val="0"/>
                <w:numId w:val="19"/>
              </w:numPr>
              <w:spacing w:after="0"/>
            </w:pPr>
            <w:r w:rsidRPr="00CE7C31">
              <w:t>Other</w:t>
            </w:r>
          </w:p>
        </w:tc>
      </w:tr>
      <w:tr w:rsidR="009907A4" w:rsidRPr="00D10B75" w14:paraId="09AD9D99" w14:textId="77777777" w:rsidTr="00496E4F">
        <w:trPr>
          <w:jc w:val="center"/>
        </w:trPr>
        <w:tc>
          <w:tcPr>
            <w:tcW w:w="2628" w:type="dxa"/>
            <w:shd w:val="clear" w:color="auto" w:fill="auto"/>
          </w:tcPr>
          <w:p w14:paraId="12F2D47F" w14:textId="77777777" w:rsidR="009907A4" w:rsidRPr="00733218" w:rsidRDefault="009907A4" w:rsidP="005B37E9">
            <w:pPr>
              <w:pStyle w:val="AppendixText"/>
              <w:keepNext/>
              <w:keepLines/>
              <w:spacing w:after="0"/>
              <w:jc w:val="center"/>
            </w:pPr>
            <w:r w:rsidRPr="00733218">
              <w:t>Gender</w:t>
            </w:r>
          </w:p>
        </w:tc>
        <w:tc>
          <w:tcPr>
            <w:tcW w:w="3060" w:type="dxa"/>
            <w:shd w:val="clear" w:color="auto" w:fill="auto"/>
          </w:tcPr>
          <w:p w14:paraId="08CED74B" w14:textId="77777777" w:rsidR="009907A4" w:rsidRPr="00EB3A1B" w:rsidRDefault="009907A4" w:rsidP="005B37E9">
            <w:pPr>
              <w:pStyle w:val="AppendixText"/>
              <w:keepNext/>
              <w:keepLines/>
              <w:numPr>
                <w:ilvl w:val="0"/>
                <w:numId w:val="19"/>
              </w:numPr>
              <w:spacing w:after="0"/>
            </w:pPr>
            <w:r w:rsidRPr="00EB3A1B">
              <w:t>Male</w:t>
            </w:r>
          </w:p>
          <w:p w14:paraId="022612D8" w14:textId="77777777" w:rsidR="009907A4" w:rsidRPr="00CE7C31" w:rsidRDefault="009907A4" w:rsidP="005B37E9">
            <w:pPr>
              <w:pStyle w:val="AppendixText"/>
              <w:keepNext/>
              <w:keepLines/>
              <w:numPr>
                <w:ilvl w:val="0"/>
                <w:numId w:val="19"/>
              </w:numPr>
              <w:spacing w:after="0"/>
            </w:pPr>
            <w:r w:rsidRPr="00CE7C31">
              <w:t>Female</w:t>
            </w:r>
          </w:p>
        </w:tc>
      </w:tr>
      <w:tr w:rsidR="009907A4" w:rsidRPr="00D10B75" w14:paraId="42CD13D0" w14:textId="77777777" w:rsidTr="00496E4F">
        <w:trPr>
          <w:jc w:val="center"/>
        </w:trPr>
        <w:tc>
          <w:tcPr>
            <w:tcW w:w="2628" w:type="dxa"/>
            <w:shd w:val="clear" w:color="auto" w:fill="auto"/>
          </w:tcPr>
          <w:p w14:paraId="6483A1BE" w14:textId="77777777" w:rsidR="009907A4" w:rsidRPr="00733218" w:rsidRDefault="009907A4" w:rsidP="005B37E9">
            <w:pPr>
              <w:pStyle w:val="AppendixText"/>
              <w:keepNext/>
              <w:keepLines/>
              <w:spacing w:after="0"/>
              <w:jc w:val="center"/>
            </w:pPr>
            <w:r w:rsidRPr="00733218">
              <w:t>Race and Gender Interaction</w:t>
            </w:r>
          </w:p>
        </w:tc>
        <w:tc>
          <w:tcPr>
            <w:tcW w:w="3060" w:type="dxa"/>
            <w:shd w:val="clear" w:color="auto" w:fill="auto"/>
          </w:tcPr>
          <w:p w14:paraId="28E0D879" w14:textId="77777777" w:rsidR="009907A4" w:rsidRPr="00EB3A1B" w:rsidRDefault="009907A4" w:rsidP="005B37E9">
            <w:pPr>
              <w:pStyle w:val="AppendixText"/>
              <w:keepNext/>
              <w:keepLines/>
              <w:numPr>
                <w:ilvl w:val="0"/>
                <w:numId w:val="19"/>
              </w:numPr>
              <w:spacing w:after="0"/>
            </w:pPr>
            <w:r w:rsidRPr="00EB3A1B">
              <w:t>White male</w:t>
            </w:r>
          </w:p>
          <w:p w14:paraId="54DD5812" w14:textId="77777777" w:rsidR="009907A4" w:rsidRPr="00CE7C31" w:rsidRDefault="009907A4" w:rsidP="005B37E9">
            <w:pPr>
              <w:pStyle w:val="AppendixText"/>
              <w:keepNext/>
              <w:keepLines/>
              <w:numPr>
                <w:ilvl w:val="0"/>
                <w:numId w:val="19"/>
              </w:numPr>
              <w:spacing w:after="0"/>
            </w:pPr>
            <w:r w:rsidRPr="00CE7C31">
              <w:t>White female</w:t>
            </w:r>
          </w:p>
          <w:p w14:paraId="4A889AA2" w14:textId="77777777" w:rsidR="009907A4" w:rsidRPr="00CE7C31" w:rsidRDefault="009907A4" w:rsidP="005B37E9">
            <w:pPr>
              <w:pStyle w:val="AppendixText"/>
              <w:keepNext/>
              <w:keepLines/>
              <w:numPr>
                <w:ilvl w:val="0"/>
                <w:numId w:val="19"/>
              </w:numPr>
              <w:spacing w:after="0"/>
            </w:pPr>
            <w:r w:rsidRPr="00CE7C31">
              <w:t>Black male</w:t>
            </w:r>
          </w:p>
          <w:p w14:paraId="75A1087F" w14:textId="77777777" w:rsidR="009907A4" w:rsidRPr="00CE7C31" w:rsidRDefault="009907A4" w:rsidP="005B37E9">
            <w:pPr>
              <w:pStyle w:val="AppendixText"/>
              <w:keepNext/>
              <w:keepLines/>
              <w:numPr>
                <w:ilvl w:val="0"/>
                <w:numId w:val="19"/>
              </w:numPr>
              <w:spacing w:after="0"/>
            </w:pPr>
            <w:r w:rsidRPr="00CE7C31">
              <w:t>Black female</w:t>
            </w:r>
          </w:p>
          <w:p w14:paraId="3DCFF390" w14:textId="77777777" w:rsidR="009907A4" w:rsidRPr="00CE7C31" w:rsidRDefault="009907A4" w:rsidP="005B37E9">
            <w:pPr>
              <w:pStyle w:val="AppendixText"/>
              <w:keepNext/>
              <w:keepLines/>
              <w:numPr>
                <w:ilvl w:val="0"/>
                <w:numId w:val="19"/>
              </w:numPr>
              <w:spacing w:after="0"/>
            </w:pPr>
            <w:r w:rsidRPr="00CE7C31">
              <w:t>Hispanic male</w:t>
            </w:r>
          </w:p>
          <w:p w14:paraId="6DBFA5DD" w14:textId="77777777" w:rsidR="009907A4" w:rsidRPr="00CE7C31" w:rsidRDefault="009907A4" w:rsidP="005B37E9">
            <w:pPr>
              <w:pStyle w:val="AppendixText"/>
              <w:keepNext/>
              <w:keepLines/>
              <w:numPr>
                <w:ilvl w:val="0"/>
                <w:numId w:val="19"/>
              </w:numPr>
              <w:spacing w:after="0"/>
            </w:pPr>
            <w:r w:rsidRPr="00CE7C31">
              <w:t>Hispanic female</w:t>
            </w:r>
          </w:p>
          <w:p w14:paraId="6C4B0538" w14:textId="77777777" w:rsidR="009907A4" w:rsidRPr="00CE7C31" w:rsidRDefault="009907A4" w:rsidP="005B37E9">
            <w:pPr>
              <w:pStyle w:val="AppendixText"/>
              <w:keepNext/>
              <w:keepLines/>
              <w:numPr>
                <w:ilvl w:val="0"/>
                <w:numId w:val="19"/>
              </w:numPr>
              <w:spacing w:after="0"/>
            </w:pPr>
            <w:r w:rsidRPr="00CE7C31">
              <w:t>Other male</w:t>
            </w:r>
          </w:p>
          <w:p w14:paraId="151431F4" w14:textId="77777777" w:rsidR="009907A4" w:rsidRPr="00CE7C31" w:rsidRDefault="009907A4" w:rsidP="005B37E9">
            <w:pPr>
              <w:pStyle w:val="AppendixText"/>
              <w:keepNext/>
              <w:keepLines/>
              <w:numPr>
                <w:ilvl w:val="0"/>
                <w:numId w:val="19"/>
              </w:numPr>
              <w:spacing w:after="0"/>
            </w:pPr>
            <w:r w:rsidRPr="00CE7C31">
              <w:t>Other female</w:t>
            </w:r>
          </w:p>
        </w:tc>
      </w:tr>
      <w:tr w:rsidR="009907A4" w:rsidRPr="00D10B75" w14:paraId="6B4319BC" w14:textId="77777777" w:rsidTr="00496E4F">
        <w:trPr>
          <w:jc w:val="center"/>
        </w:trPr>
        <w:tc>
          <w:tcPr>
            <w:tcW w:w="2628" w:type="dxa"/>
            <w:shd w:val="clear" w:color="auto" w:fill="auto"/>
          </w:tcPr>
          <w:p w14:paraId="507DF8EA" w14:textId="77777777" w:rsidR="009907A4" w:rsidRPr="00733218" w:rsidRDefault="009907A4" w:rsidP="005B37E9">
            <w:pPr>
              <w:pStyle w:val="AppendixText"/>
              <w:keepNext/>
              <w:keepLines/>
              <w:spacing w:after="0"/>
              <w:jc w:val="center"/>
            </w:pPr>
            <w:r w:rsidRPr="00733218">
              <w:t>Age</w:t>
            </w:r>
          </w:p>
        </w:tc>
        <w:tc>
          <w:tcPr>
            <w:tcW w:w="3060" w:type="dxa"/>
            <w:shd w:val="clear" w:color="auto" w:fill="auto"/>
          </w:tcPr>
          <w:p w14:paraId="0BC3077F" w14:textId="77777777" w:rsidR="009907A4" w:rsidRPr="00EB3A1B" w:rsidRDefault="009907A4" w:rsidP="005B37E9">
            <w:pPr>
              <w:pStyle w:val="AppendixText"/>
              <w:keepNext/>
              <w:keepLines/>
              <w:numPr>
                <w:ilvl w:val="0"/>
                <w:numId w:val="19"/>
              </w:numPr>
              <w:spacing w:after="0"/>
            </w:pPr>
            <w:r w:rsidRPr="00EB3A1B">
              <w:t>18-29</w:t>
            </w:r>
          </w:p>
          <w:p w14:paraId="5403487C" w14:textId="77777777" w:rsidR="009907A4" w:rsidRPr="00CE7C31" w:rsidRDefault="009907A4" w:rsidP="005B37E9">
            <w:pPr>
              <w:pStyle w:val="AppendixText"/>
              <w:keepNext/>
              <w:keepLines/>
              <w:numPr>
                <w:ilvl w:val="0"/>
                <w:numId w:val="19"/>
              </w:numPr>
              <w:spacing w:after="0"/>
            </w:pPr>
            <w:r w:rsidRPr="00CE7C31">
              <w:t>30-44</w:t>
            </w:r>
          </w:p>
          <w:p w14:paraId="1D00A37A" w14:textId="77777777" w:rsidR="009907A4" w:rsidRPr="00CE7C31" w:rsidRDefault="009907A4" w:rsidP="005B37E9">
            <w:pPr>
              <w:pStyle w:val="AppendixText"/>
              <w:keepNext/>
              <w:keepLines/>
              <w:numPr>
                <w:ilvl w:val="0"/>
                <w:numId w:val="19"/>
              </w:numPr>
              <w:spacing w:after="0"/>
            </w:pPr>
            <w:r w:rsidRPr="00CE7C31">
              <w:t>45-64</w:t>
            </w:r>
          </w:p>
          <w:p w14:paraId="3C8C3E69" w14:textId="77777777" w:rsidR="009907A4" w:rsidRPr="00CE7C31" w:rsidRDefault="009907A4" w:rsidP="005B37E9">
            <w:pPr>
              <w:pStyle w:val="AppendixText"/>
              <w:keepNext/>
              <w:keepLines/>
              <w:numPr>
                <w:ilvl w:val="0"/>
                <w:numId w:val="19"/>
              </w:numPr>
              <w:spacing w:after="0"/>
            </w:pPr>
            <w:r w:rsidRPr="00CE7C31">
              <w:t>65+</w:t>
            </w:r>
          </w:p>
        </w:tc>
      </w:tr>
      <w:tr w:rsidR="009907A4" w:rsidRPr="00D10B75" w14:paraId="7627D300" w14:textId="77777777" w:rsidTr="00496E4F">
        <w:trPr>
          <w:jc w:val="center"/>
        </w:trPr>
        <w:tc>
          <w:tcPr>
            <w:tcW w:w="2628" w:type="dxa"/>
            <w:shd w:val="clear" w:color="auto" w:fill="auto"/>
          </w:tcPr>
          <w:p w14:paraId="083F281A" w14:textId="77777777" w:rsidR="009907A4" w:rsidRPr="00733218" w:rsidRDefault="009907A4" w:rsidP="005B37E9">
            <w:pPr>
              <w:pStyle w:val="AppendixText"/>
              <w:keepNext/>
              <w:keepLines/>
              <w:spacing w:after="0"/>
              <w:jc w:val="center"/>
            </w:pPr>
            <w:r w:rsidRPr="00733218">
              <w:t>Income</w:t>
            </w:r>
          </w:p>
        </w:tc>
        <w:tc>
          <w:tcPr>
            <w:tcW w:w="3060" w:type="dxa"/>
            <w:shd w:val="clear" w:color="auto" w:fill="auto"/>
          </w:tcPr>
          <w:p w14:paraId="79F22903" w14:textId="77777777" w:rsidR="009907A4" w:rsidRPr="00EB3A1B" w:rsidRDefault="009907A4" w:rsidP="005B37E9">
            <w:pPr>
              <w:pStyle w:val="AppendixText"/>
              <w:keepNext/>
              <w:keepLines/>
              <w:numPr>
                <w:ilvl w:val="0"/>
                <w:numId w:val="19"/>
              </w:numPr>
              <w:spacing w:after="0"/>
            </w:pPr>
            <w:r w:rsidRPr="00EB3A1B">
              <w:t>Less than $20,000</w:t>
            </w:r>
          </w:p>
          <w:p w14:paraId="5A1C4170" w14:textId="77777777" w:rsidR="009907A4" w:rsidRPr="00CE7C31" w:rsidRDefault="009907A4" w:rsidP="005B37E9">
            <w:pPr>
              <w:pStyle w:val="AppendixText"/>
              <w:keepNext/>
              <w:keepLines/>
              <w:numPr>
                <w:ilvl w:val="0"/>
                <w:numId w:val="19"/>
              </w:numPr>
              <w:spacing w:after="0"/>
            </w:pPr>
            <w:r w:rsidRPr="00CE7C31">
              <w:t>$20,000 to $40,000</w:t>
            </w:r>
          </w:p>
          <w:p w14:paraId="09074E84" w14:textId="77777777" w:rsidR="009907A4" w:rsidRPr="00CE7C31" w:rsidRDefault="009907A4" w:rsidP="005B37E9">
            <w:pPr>
              <w:pStyle w:val="AppendixText"/>
              <w:keepNext/>
              <w:keepLines/>
              <w:numPr>
                <w:ilvl w:val="0"/>
                <w:numId w:val="19"/>
              </w:numPr>
              <w:spacing w:after="0"/>
            </w:pPr>
            <w:r w:rsidRPr="00CE7C31">
              <w:t>$40,000 to $75,000</w:t>
            </w:r>
          </w:p>
          <w:p w14:paraId="785BD5D9" w14:textId="77777777" w:rsidR="009907A4" w:rsidRPr="00CE7C31" w:rsidRDefault="009907A4" w:rsidP="005B37E9">
            <w:pPr>
              <w:pStyle w:val="AppendixText"/>
              <w:keepNext/>
              <w:keepLines/>
              <w:numPr>
                <w:ilvl w:val="0"/>
                <w:numId w:val="19"/>
              </w:numPr>
              <w:spacing w:after="0"/>
            </w:pPr>
            <w:r w:rsidRPr="00CE7C31">
              <w:t>$75,000+</w:t>
            </w:r>
          </w:p>
        </w:tc>
      </w:tr>
      <w:tr w:rsidR="009907A4" w:rsidRPr="00D10B75" w14:paraId="12D3D534" w14:textId="77777777" w:rsidTr="00496E4F">
        <w:trPr>
          <w:jc w:val="center"/>
        </w:trPr>
        <w:tc>
          <w:tcPr>
            <w:tcW w:w="2628" w:type="dxa"/>
            <w:shd w:val="clear" w:color="auto" w:fill="auto"/>
          </w:tcPr>
          <w:p w14:paraId="70D699DD" w14:textId="77777777" w:rsidR="009907A4" w:rsidRPr="00733218" w:rsidRDefault="009907A4" w:rsidP="005B37E9">
            <w:pPr>
              <w:pStyle w:val="AppendixText"/>
              <w:keepNext/>
              <w:keepLines/>
              <w:spacing w:after="0"/>
              <w:jc w:val="center"/>
            </w:pPr>
            <w:r w:rsidRPr="00733218">
              <w:t>Education</w:t>
            </w:r>
          </w:p>
        </w:tc>
        <w:tc>
          <w:tcPr>
            <w:tcW w:w="3060" w:type="dxa"/>
            <w:shd w:val="clear" w:color="auto" w:fill="auto"/>
          </w:tcPr>
          <w:p w14:paraId="73D99EA8" w14:textId="77777777" w:rsidR="009907A4" w:rsidRPr="00EB3A1B" w:rsidRDefault="009907A4" w:rsidP="005B37E9">
            <w:pPr>
              <w:pStyle w:val="AppendixText"/>
              <w:keepNext/>
              <w:keepLines/>
              <w:numPr>
                <w:ilvl w:val="0"/>
                <w:numId w:val="19"/>
              </w:numPr>
              <w:spacing w:after="0"/>
            </w:pPr>
            <w:r w:rsidRPr="00EB3A1B">
              <w:t>Less than high school</w:t>
            </w:r>
          </w:p>
          <w:p w14:paraId="7EA8781B" w14:textId="77777777" w:rsidR="009907A4" w:rsidRPr="00CE7C31" w:rsidRDefault="009907A4" w:rsidP="005B37E9">
            <w:pPr>
              <w:pStyle w:val="AppendixText"/>
              <w:keepNext/>
              <w:keepLines/>
              <w:numPr>
                <w:ilvl w:val="0"/>
                <w:numId w:val="19"/>
              </w:numPr>
              <w:spacing w:after="0"/>
            </w:pPr>
            <w:r w:rsidRPr="00CE7C31">
              <w:t>High school graduate</w:t>
            </w:r>
          </w:p>
          <w:p w14:paraId="2014A55D" w14:textId="77777777" w:rsidR="009907A4" w:rsidRPr="00CE7C31" w:rsidRDefault="009907A4" w:rsidP="005B37E9">
            <w:pPr>
              <w:pStyle w:val="AppendixText"/>
              <w:keepNext/>
              <w:keepLines/>
              <w:numPr>
                <w:ilvl w:val="0"/>
                <w:numId w:val="19"/>
              </w:numPr>
              <w:spacing w:after="0"/>
            </w:pPr>
            <w:r w:rsidRPr="00CE7C31">
              <w:t>Some college</w:t>
            </w:r>
          </w:p>
          <w:p w14:paraId="53189682" w14:textId="77777777" w:rsidR="009907A4" w:rsidRPr="00CE7C31" w:rsidRDefault="009907A4" w:rsidP="005B37E9">
            <w:pPr>
              <w:pStyle w:val="AppendixText"/>
              <w:keepNext/>
              <w:keepLines/>
              <w:numPr>
                <w:ilvl w:val="0"/>
                <w:numId w:val="19"/>
              </w:numPr>
              <w:spacing w:after="0"/>
            </w:pPr>
            <w:r w:rsidRPr="00CE7C31">
              <w:t>College graduate</w:t>
            </w:r>
          </w:p>
          <w:p w14:paraId="7152DC21" w14:textId="77777777" w:rsidR="009907A4" w:rsidRPr="00CE7C31" w:rsidRDefault="009907A4" w:rsidP="005B37E9">
            <w:pPr>
              <w:pStyle w:val="AppendixText"/>
              <w:keepNext/>
              <w:keepLines/>
              <w:numPr>
                <w:ilvl w:val="0"/>
                <w:numId w:val="19"/>
              </w:numPr>
              <w:spacing w:after="0"/>
            </w:pPr>
            <w:r w:rsidRPr="00CE7C31">
              <w:t>Postgraduate</w:t>
            </w:r>
          </w:p>
        </w:tc>
      </w:tr>
      <w:tr w:rsidR="009907A4" w:rsidRPr="00D10B75" w14:paraId="0ACAAC1F" w14:textId="77777777" w:rsidTr="00496E4F">
        <w:trPr>
          <w:jc w:val="center"/>
        </w:trPr>
        <w:tc>
          <w:tcPr>
            <w:tcW w:w="2628" w:type="dxa"/>
            <w:shd w:val="clear" w:color="auto" w:fill="auto"/>
          </w:tcPr>
          <w:p w14:paraId="63A6DF11" w14:textId="77777777" w:rsidR="009907A4" w:rsidRPr="00733218" w:rsidRDefault="009907A4" w:rsidP="005B37E9">
            <w:pPr>
              <w:pStyle w:val="AppendixText"/>
              <w:keepNext/>
              <w:keepLines/>
              <w:spacing w:after="0"/>
              <w:jc w:val="center"/>
            </w:pPr>
            <w:r w:rsidRPr="00733218">
              <w:t>State</w:t>
            </w:r>
          </w:p>
        </w:tc>
        <w:tc>
          <w:tcPr>
            <w:tcW w:w="3060" w:type="dxa"/>
            <w:shd w:val="clear" w:color="auto" w:fill="auto"/>
          </w:tcPr>
          <w:p w14:paraId="13C86B57" w14:textId="77777777" w:rsidR="009907A4" w:rsidRPr="00EB3A1B" w:rsidRDefault="009907A4" w:rsidP="005B37E9">
            <w:pPr>
              <w:pStyle w:val="AppendixText"/>
              <w:keepNext/>
              <w:keepLines/>
              <w:spacing w:after="0"/>
            </w:pPr>
            <w:r w:rsidRPr="00EB3A1B">
              <w:t>50 states plus the District of Columbia, though the latter is not included in our model of gubernatorial opposition.</w:t>
            </w:r>
          </w:p>
        </w:tc>
      </w:tr>
      <w:tr w:rsidR="009907A4" w:rsidRPr="00D10B75" w14:paraId="6B3BCB21" w14:textId="77777777" w:rsidTr="00496E4F">
        <w:trPr>
          <w:trHeight w:val="962"/>
          <w:jc w:val="center"/>
        </w:trPr>
        <w:tc>
          <w:tcPr>
            <w:tcW w:w="2628" w:type="dxa"/>
            <w:shd w:val="clear" w:color="auto" w:fill="auto"/>
          </w:tcPr>
          <w:p w14:paraId="1C39C7A1" w14:textId="77777777" w:rsidR="009907A4" w:rsidRPr="00733218" w:rsidRDefault="009907A4" w:rsidP="005B37E9">
            <w:pPr>
              <w:pStyle w:val="AppendixText"/>
              <w:keepNext/>
              <w:keepLines/>
              <w:spacing w:after="0"/>
              <w:jc w:val="center"/>
            </w:pPr>
            <w:r w:rsidRPr="00733218">
              <w:t>Region</w:t>
            </w:r>
          </w:p>
        </w:tc>
        <w:tc>
          <w:tcPr>
            <w:tcW w:w="3060" w:type="dxa"/>
            <w:shd w:val="clear" w:color="auto" w:fill="auto"/>
          </w:tcPr>
          <w:p w14:paraId="6FAC1EF6" w14:textId="77777777" w:rsidR="009907A4" w:rsidRPr="00EB3A1B" w:rsidRDefault="009907A4" w:rsidP="005B37E9">
            <w:pPr>
              <w:pStyle w:val="AppendixText"/>
              <w:keepNext/>
              <w:keepLines/>
              <w:numPr>
                <w:ilvl w:val="0"/>
                <w:numId w:val="19"/>
              </w:numPr>
              <w:spacing w:after="0"/>
            </w:pPr>
            <w:r w:rsidRPr="00EB3A1B">
              <w:t>South</w:t>
            </w:r>
          </w:p>
          <w:p w14:paraId="392CBB67" w14:textId="77777777" w:rsidR="009907A4" w:rsidRPr="00CE7C31" w:rsidRDefault="009907A4" w:rsidP="005B37E9">
            <w:pPr>
              <w:pStyle w:val="AppendixText"/>
              <w:keepNext/>
              <w:keepLines/>
              <w:numPr>
                <w:ilvl w:val="0"/>
                <w:numId w:val="19"/>
              </w:numPr>
              <w:spacing w:after="0"/>
            </w:pPr>
            <w:r w:rsidRPr="00CE7C31">
              <w:t>Northeast</w:t>
            </w:r>
          </w:p>
          <w:p w14:paraId="041E37F6" w14:textId="77777777" w:rsidR="009907A4" w:rsidRPr="00CE7C31" w:rsidRDefault="009907A4" w:rsidP="005B37E9">
            <w:pPr>
              <w:pStyle w:val="AppendixText"/>
              <w:keepNext/>
              <w:keepLines/>
              <w:numPr>
                <w:ilvl w:val="0"/>
                <w:numId w:val="19"/>
              </w:numPr>
              <w:spacing w:after="0"/>
            </w:pPr>
            <w:r w:rsidRPr="00CE7C31">
              <w:t>Midwest</w:t>
            </w:r>
          </w:p>
          <w:p w14:paraId="16558E2B" w14:textId="77777777" w:rsidR="009907A4" w:rsidRPr="00CE7C31" w:rsidRDefault="009907A4" w:rsidP="00C47B2F">
            <w:pPr>
              <w:pStyle w:val="AppendixText"/>
              <w:keepNext/>
              <w:keepLines/>
              <w:numPr>
                <w:ilvl w:val="0"/>
                <w:numId w:val="19"/>
              </w:numPr>
              <w:spacing w:after="0"/>
            </w:pPr>
            <w:r w:rsidRPr="00CE7C31">
              <w:t>West</w:t>
            </w:r>
          </w:p>
        </w:tc>
      </w:tr>
    </w:tbl>
    <w:p w14:paraId="645F6D1A" w14:textId="38CD0C69" w:rsidR="009907A4" w:rsidRPr="009907A4" w:rsidRDefault="00C47B2F" w:rsidP="00C47B2F">
      <w:pPr>
        <w:pStyle w:val="Caption"/>
      </w:pPr>
      <w:r>
        <w:t xml:space="preserve">Table </w:t>
      </w:r>
      <w:fldSimple w:instr=" SEQ Table \* ARABIC ">
        <w:r>
          <w:rPr>
            <w:noProof/>
          </w:rPr>
          <w:t>1</w:t>
        </w:r>
      </w:fldSimple>
      <w:r>
        <w:t xml:space="preserve">: </w:t>
      </w:r>
      <w:r>
        <w:t>This table provides individual-level categorical variables used in the MRP process to estimate ACA favorability in the states.</w:t>
      </w:r>
    </w:p>
    <w:p w14:paraId="0E23C0A6" w14:textId="77777777" w:rsidR="00C47B2F" w:rsidRDefault="000A48AF" w:rsidP="00C47B2F">
      <w:pPr>
        <w:pStyle w:val="Caption"/>
        <w:keepNext/>
        <w:jc w:val="center"/>
      </w:pPr>
      <w:r>
        <w:rPr>
          <w:noProof/>
        </w:rPr>
        <w:lastRenderedPageBreak/>
        <w:drawing>
          <wp:inline distT="0" distB="0" distL="0" distR="0" wp14:anchorId="64950057" wp14:editId="0465D8B7">
            <wp:extent cx="2479792" cy="3471710"/>
            <wp:effectExtent l="0" t="0" r="9525" b="0"/>
            <wp:docPr id="1" name="mrp_est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p_ests.emf"/>
                    <pic:cNvPicPr/>
                  </pic:nvPicPr>
                  <pic:blipFill>
                    <a:blip r:embed="rId10">
                      <a:extLst>
                        <a:ext uri="{28A0092B-C50C-407E-A947-70E740481C1C}">
                          <a14:useLocalDpi xmlns:a14="http://schemas.microsoft.com/office/drawing/2010/main" val="0"/>
                        </a:ext>
                      </a:extLst>
                    </a:blip>
                    <a:stretch>
                      <a:fillRect/>
                    </a:stretch>
                  </pic:blipFill>
                  <pic:spPr>
                    <a:xfrm>
                      <a:off x="0" y="0"/>
                      <a:ext cx="2479792" cy="3471710"/>
                    </a:xfrm>
                    <a:prstGeom prst="rect">
                      <a:avLst/>
                    </a:prstGeom>
                  </pic:spPr>
                </pic:pic>
              </a:graphicData>
            </a:graphic>
          </wp:inline>
        </w:drawing>
      </w:r>
    </w:p>
    <w:p w14:paraId="13B26F93" w14:textId="5AF838BC" w:rsidR="00496E4F" w:rsidRDefault="00C47B2F" w:rsidP="00C47B2F">
      <w:pPr>
        <w:pStyle w:val="Caption"/>
        <w:jc w:val="center"/>
      </w:pPr>
      <w:r>
        <w:t xml:space="preserve">Figure </w:t>
      </w:r>
      <w:fldSimple w:instr=" SEQ Figure \* ARABIC ">
        <w:r>
          <w:rPr>
            <w:noProof/>
          </w:rPr>
          <w:t>1</w:t>
        </w:r>
      </w:fldSimple>
      <w:r>
        <w:t xml:space="preserve">: </w:t>
      </w:r>
      <w:r>
        <w:t>This figures shows the estimates</w:t>
      </w:r>
      <w:r w:rsidRPr="00CE7C31">
        <w:t xml:space="preserve"> of ACA </w:t>
      </w:r>
      <w:r>
        <w:t>favorability</w:t>
      </w:r>
      <w:r w:rsidRPr="00CE7C31">
        <w:t xml:space="preserve"> by </w:t>
      </w:r>
      <w:r>
        <w:t>state used</w:t>
      </w:r>
      <w:r w:rsidRPr="00CE7C31">
        <w:t xml:space="preserve"> in the </w:t>
      </w:r>
      <w:r>
        <w:t>main analysis.</w:t>
      </w:r>
      <w:bookmarkStart w:id="0" w:name="_GoBack"/>
      <w:bookmarkEnd w:id="0"/>
    </w:p>
    <w:p w14:paraId="673E1603" w14:textId="77777777" w:rsidR="00496E4F" w:rsidRDefault="00496E4F">
      <w:pPr>
        <w:widowControl/>
        <w:tabs>
          <w:tab w:val="clear" w:pos="360"/>
          <w:tab w:val="clear" w:pos="709"/>
        </w:tabs>
        <w:suppressAutoHyphens w:val="0"/>
        <w:spacing w:line="240" w:lineRule="auto"/>
        <w:rPr>
          <w:sz w:val="18"/>
        </w:rPr>
      </w:pPr>
      <w:r>
        <w:br w:type="page"/>
      </w:r>
    </w:p>
    <w:p w14:paraId="782DF7C7" w14:textId="77777777" w:rsidR="000A48AF" w:rsidRPr="00CE7C31" w:rsidRDefault="000A48AF" w:rsidP="00CE7C31">
      <w:pPr>
        <w:pStyle w:val="Caption"/>
        <w:jc w:val="center"/>
      </w:pPr>
    </w:p>
    <w:p w14:paraId="242EADEA" w14:textId="2EBCD1B9" w:rsidR="005B7ACA" w:rsidRDefault="005B7ACA" w:rsidP="005B7ACA">
      <w:pPr>
        <w:pStyle w:val="AppendixHeading1"/>
      </w:pPr>
      <w:r>
        <w:t>Robustness Check</w:t>
      </w:r>
      <w:r w:rsidR="005B37E9">
        <w:t>s</w:t>
      </w:r>
    </w:p>
    <w:p w14:paraId="2DD2A5E1" w14:textId="20143AEF" w:rsidR="005B7ACA" w:rsidRDefault="005B7ACA" w:rsidP="00265A4B">
      <w:pPr>
        <w:pStyle w:val="AppendixText"/>
      </w:pPr>
      <w:r>
        <w:t>We examine a variety of robustness checks, including the choice of prior scale for the Cauchy family, the choice of prior family, the choice of estimation technique, model specification, and case selection.</w:t>
      </w:r>
    </w:p>
    <w:p w14:paraId="2D11D48F" w14:textId="05399F27" w:rsidR="005B7ACA" w:rsidRDefault="005B7ACA" w:rsidP="00265A4B">
      <w:pPr>
        <w:pStyle w:val="AppendixHeading2"/>
      </w:pPr>
      <w:r>
        <w:t>Prior Scale</w:t>
      </w:r>
    </w:p>
    <w:p w14:paraId="6EEC067B" w14:textId="53DF62AE" w:rsidR="00292652" w:rsidRDefault="00447FDB" w:rsidP="00496E4F">
      <w:pPr>
        <w:pStyle w:val="AppendixText"/>
      </w:pPr>
      <w:r>
        <w:tab/>
      </w:r>
      <w:r w:rsidR="00265A4B">
        <w:t xml:space="preserve">First, we demonstrate that the substantive conclusions are similar regardless of the prior scale. We </w:t>
      </w:r>
      <w:r w:rsidR="005B37E9">
        <w:t>re</w:t>
      </w:r>
      <w:r w:rsidR="0074567C">
        <w:t>-e</w:t>
      </w:r>
      <w:r w:rsidR="005B37E9">
        <w:t xml:space="preserve">stimated the main </w:t>
      </w:r>
      <w:r w:rsidR="0074567C">
        <w:t xml:space="preserve">model with an alternative prior specifications to the default </w:t>
      </w:r>
      <w:proofErr w:type="gramStart"/>
      <w:r w:rsidR="0074567C">
        <w:t>Cauchy(</w:t>
      </w:r>
      <w:proofErr w:type="gramEnd"/>
      <w:r w:rsidR="0074567C">
        <w:t xml:space="preserve">2.5) prior specification suggested by </w:t>
      </w:r>
      <w:proofErr w:type="spellStart"/>
      <w:r w:rsidR="0074567C">
        <w:t>Gelman</w:t>
      </w:r>
      <w:proofErr w:type="spellEnd"/>
      <w:r w:rsidR="0074567C">
        <w:t xml:space="preserve"> et al. </w:t>
      </w:r>
      <w:r w:rsidR="00EC0827">
        <w:t>(</w:t>
      </w:r>
      <w:r w:rsidR="0074567C">
        <w:t>2008</w:t>
      </w:r>
      <w:r w:rsidR="00EC0827">
        <w:t>)</w:t>
      </w:r>
      <w:r w:rsidR="0074567C">
        <w:t xml:space="preserve">. </w:t>
      </w:r>
      <w:r w:rsidR="00414423">
        <w:fldChar w:fldCharType="begin"/>
      </w:r>
      <w:r w:rsidR="00414423">
        <w:instrText xml:space="preserve"> REF _Ref261523307 \h </w:instrText>
      </w:r>
      <w:r w:rsidR="00414423">
        <w:fldChar w:fldCharType="separate"/>
      </w:r>
      <w:r w:rsidR="00733218" w:rsidRPr="00CE7C31">
        <w:t xml:space="preserve">Figure </w:t>
      </w:r>
      <w:r w:rsidR="00733218">
        <w:rPr>
          <w:noProof/>
        </w:rPr>
        <w:t>4</w:t>
      </w:r>
      <w:r w:rsidR="00414423">
        <w:fldChar w:fldCharType="end"/>
      </w:r>
      <w:r w:rsidR="00414423">
        <w:t xml:space="preserve"> shows the posterior medians and 90% credible intervals. Notice </w:t>
      </w:r>
      <w:r w:rsidR="0074567C">
        <w:t xml:space="preserve">that the substantively conclusions do not change as the prior scale varies. Notice, though, that the prior scale mainly affects the upper bound of the 90% credible interval for the constant term and the coefficient for </w:t>
      </w:r>
      <w:r w:rsidR="0074567C" w:rsidRPr="0074567C">
        <w:rPr>
          <w:i/>
        </w:rPr>
        <w:t>GOP Governor</w:t>
      </w:r>
      <w:r w:rsidR="0074567C">
        <w:t xml:space="preserve">. This makes sense, as the likelihood is highly informative that the coefficient for </w:t>
      </w:r>
      <w:r w:rsidR="0074567C">
        <w:rPr>
          <w:i/>
        </w:rPr>
        <w:t>GOP Governor</w:t>
      </w:r>
      <w:r w:rsidR="0074567C">
        <w:t xml:space="preserve"> is “not negative” but the prior is required to provide the information that the coefficient is “not positive infinity.”</w:t>
      </w:r>
    </w:p>
    <w:p w14:paraId="79DC20A3" w14:textId="77777777" w:rsidR="00C47B2F" w:rsidRDefault="005B37E9" w:rsidP="00C47B2F">
      <w:pPr>
        <w:pStyle w:val="AppendixText"/>
        <w:keepNext/>
      </w:pPr>
      <w:r>
        <w:rPr>
          <w:noProof/>
        </w:rPr>
        <w:drawing>
          <wp:inline distT="0" distB="0" distL="0" distR="0" wp14:anchorId="6054BBCE" wp14:editId="37F03925">
            <wp:extent cx="5939730" cy="2375892"/>
            <wp:effectExtent l="0" t="0" r="4445" b="0"/>
            <wp:docPr id="2" name="rc_prior_scal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prior_scale.emf"/>
                    <pic:cNvPicPr/>
                  </pic:nvPicPr>
                  <pic:blipFill>
                    <a:blip r:embed="rId11">
                      <a:extLst>
                        <a:ext uri="{28A0092B-C50C-407E-A947-70E740481C1C}">
                          <a14:useLocalDpi xmlns:a14="http://schemas.microsoft.com/office/drawing/2010/main" val="0"/>
                        </a:ext>
                      </a:extLst>
                    </a:blip>
                    <a:stretch>
                      <a:fillRect/>
                    </a:stretch>
                  </pic:blipFill>
                  <pic:spPr>
                    <a:xfrm>
                      <a:off x="0" y="0"/>
                      <a:ext cx="5939730" cy="2375892"/>
                    </a:xfrm>
                    <a:prstGeom prst="rect">
                      <a:avLst/>
                    </a:prstGeom>
                  </pic:spPr>
                </pic:pic>
              </a:graphicData>
            </a:graphic>
          </wp:inline>
        </w:drawing>
      </w:r>
    </w:p>
    <w:p w14:paraId="1CC6690C" w14:textId="7C16ED9B" w:rsidR="005B37E9" w:rsidRDefault="00C47B2F" w:rsidP="00C47B2F">
      <w:pPr>
        <w:pStyle w:val="Caption"/>
      </w:pPr>
      <w:r>
        <w:t xml:space="preserve">Figure </w:t>
      </w:r>
      <w:fldSimple w:instr=" SEQ Figure \* ARABIC ">
        <w:r>
          <w:rPr>
            <w:noProof/>
          </w:rPr>
          <w:t>2</w:t>
        </w:r>
      </w:fldSimple>
      <w:r>
        <w:t>:</w:t>
      </w:r>
      <w:r w:rsidRPr="00C47B2F">
        <w:t xml:space="preserve"> </w:t>
      </w:r>
      <w:r>
        <w:t>This figure shows how the inferences change as the scale on the Cauchy family of prior distributions changes. Notice that while the uncertainty around the estimate increases (mainly the upper bound), the substantive conclusions remain relatively unaffected.</w:t>
      </w:r>
    </w:p>
    <w:p w14:paraId="72118C94" w14:textId="5A804449" w:rsidR="005948D7" w:rsidRDefault="005948D7" w:rsidP="005948D7">
      <w:pPr>
        <w:pStyle w:val="AppendixHeading2"/>
      </w:pPr>
      <w:r>
        <w:t>Prior Family</w:t>
      </w:r>
    </w:p>
    <w:p w14:paraId="1F297370" w14:textId="22627A4A" w:rsidR="005948D7" w:rsidRPr="005948D7" w:rsidRDefault="005948D7" w:rsidP="005948D7">
      <w:pPr>
        <w:pStyle w:val="AppendixText"/>
      </w:pPr>
      <w:r w:rsidRPr="00CE7C31">
        <w:t xml:space="preserve">In addition to the results being robust to the prior </w:t>
      </w:r>
      <w:r w:rsidRPr="00CE7C31">
        <w:rPr>
          <w:i/>
        </w:rPr>
        <w:t>scale</w:t>
      </w:r>
      <w:r w:rsidRPr="00CE7C31">
        <w:t xml:space="preserve">, they are also robust to the prior </w:t>
      </w:r>
      <w:r w:rsidRPr="00CE7C31">
        <w:rPr>
          <w:i/>
        </w:rPr>
        <w:t>family</w:t>
      </w:r>
      <w:r w:rsidRPr="00CE7C31">
        <w:t xml:space="preserve">. To demonstrate this, we considered two alternative prior families, the normal and the </w:t>
      </w:r>
      <m:oMath>
        <m:sSub>
          <m:sSubPr>
            <m:ctrlPr>
              <w:rPr>
                <w:rFonts w:ascii="Cambria Math" w:hAnsi="Cambria Math"/>
                <w:i/>
              </w:rPr>
            </m:ctrlPr>
          </m:sSubPr>
          <m:e>
            <m:r>
              <w:rPr>
                <w:rFonts w:ascii="Cambria Math" w:hAnsi="Cambria Math"/>
              </w:rPr>
              <m:t>t</m:t>
            </m:r>
          </m:e>
          <m:sub>
            <m:r>
              <w:rPr>
                <w:rFonts w:ascii="Cambria Math" w:hAnsi="Cambria Math"/>
              </w:rPr>
              <m:t>10</m:t>
            </m:r>
          </m:sub>
        </m:sSub>
      </m:oMath>
      <w:r>
        <w:t>.</w:t>
      </w:r>
      <w:r w:rsidRPr="00CE7C31">
        <w:t xml:space="preserve"> We use the normal family because of its familiarity and the </w:t>
      </w:r>
      <m:oMath>
        <m:sSub>
          <m:sSubPr>
            <m:ctrlPr>
              <w:rPr>
                <w:rFonts w:ascii="Cambria Math" w:hAnsi="Cambria Math"/>
                <w:i/>
              </w:rPr>
            </m:ctrlPr>
          </m:sSubPr>
          <m:e>
            <m:r>
              <w:rPr>
                <w:rFonts w:ascii="Cambria Math" w:hAnsi="Cambria Math"/>
              </w:rPr>
              <m:t>t</m:t>
            </m:r>
          </m:e>
          <m:sub>
            <m:r>
              <w:rPr>
                <w:rFonts w:ascii="Cambria Math" w:hAnsi="Cambria Math"/>
              </w:rPr>
              <m:t>10</m:t>
            </m:r>
          </m:sub>
        </m:sSub>
      </m:oMath>
      <w:r w:rsidRPr="00CE7C31">
        <w:t xml:space="preserve"> because the </w:t>
      </w:r>
      <m:oMath>
        <m:sSub>
          <m:sSubPr>
            <m:ctrlPr>
              <w:rPr>
                <w:rFonts w:ascii="Cambria Math" w:hAnsi="Cambria Math"/>
                <w:i/>
              </w:rPr>
            </m:ctrlPr>
          </m:sSubPr>
          <m:e>
            <m:r>
              <w:rPr>
                <w:rFonts w:ascii="Cambria Math" w:hAnsi="Cambria Math"/>
              </w:rPr>
              <m:t>t</m:t>
            </m:r>
          </m:e>
          <m:sub>
            <m:r>
              <w:rPr>
                <w:rFonts w:ascii="Cambria Math" w:hAnsi="Cambria Math"/>
              </w:rPr>
              <m:t>10</m:t>
            </m:r>
          </m:sub>
        </m:sSub>
      </m:oMath>
      <w:r w:rsidRPr="00CE7C31">
        <w:t xml:space="preserve"> with scale 2.5 made the most sense to us as an informative prior based </w:t>
      </w:r>
      <w:r w:rsidR="00EC0827" w:rsidRPr="00CE7C31">
        <w:t>on a simple heuristic analysis.</w:t>
      </w:r>
      <w:r w:rsidR="00EC0827" w:rsidRPr="00CE7C31">
        <w:rPr>
          <w:rStyle w:val="FootnoteReference"/>
        </w:rPr>
        <w:footnoteReference w:id="3"/>
      </w:r>
      <w:r w:rsidR="00414423" w:rsidRPr="00CE7C31">
        <w:t xml:space="preserve"> </w:t>
      </w:r>
      <w:r w:rsidR="00414423" w:rsidRPr="00CE7C31">
        <w:fldChar w:fldCharType="begin"/>
      </w:r>
      <w:r w:rsidR="00414423">
        <w:instrText xml:space="preserve"> REF _Ref261523728 \h </w:instrText>
      </w:r>
      <w:r w:rsidR="00414423" w:rsidRPr="00CE7C31">
        <w:fldChar w:fldCharType="separate"/>
      </w:r>
      <w:r w:rsidR="00733218">
        <w:t xml:space="preserve">Figure </w:t>
      </w:r>
      <w:r w:rsidR="00733218">
        <w:rPr>
          <w:noProof/>
        </w:rPr>
        <w:t>6</w:t>
      </w:r>
      <w:r w:rsidR="00414423" w:rsidRPr="00CE7C31">
        <w:fldChar w:fldCharType="end"/>
      </w:r>
      <w:r w:rsidR="00414423" w:rsidRPr="00CE7C31">
        <w:t xml:space="preserve"> shows the estimated using the normal prior with various scales (standard deviations). Notice that the normal family pools the coefficients much more strongly toward zero, but the results are </w:t>
      </w:r>
      <w:r w:rsidR="00414423">
        <w:t xml:space="preserve">otherwise </w:t>
      </w:r>
      <w:r w:rsidR="00414423" w:rsidRPr="00CE7C31">
        <w:t>similar.</w:t>
      </w:r>
      <w:r w:rsidR="00414423">
        <w:t xml:space="preserve"> </w:t>
      </w:r>
    </w:p>
    <w:p w14:paraId="2DFF5978" w14:textId="77777777" w:rsidR="00414423" w:rsidRDefault="00414423" w:rsidP="00414423">
      <w:pPr>
        <w:pStyle w:val="AppendixHeading1"/>
        <w:keepNext/>
        <w:numPr>
          <w:ilvl w:val="0"/>
          <w:numId w:val="0"/>
        </w:numPr>
        <w:ind w:left="360" w:hanging="360"/>
      </w:pPr>
      <w:r>
        <w:rPr>
          <w:noProof/>
        </w:rPr>
        <w:lastRenderedPageBreak/>
        <w:drawing>
          <wp:inline distT="0" distB="0" distL="0" distR="0" wp14:anchorId="562B665F" wp14:editId="42AF4977">
            <wp:extent cx="5939730" cy="2375892"/>
            <wp:effectExtent l="0" t="0" r="4445" b="0"/>
            <wp:docPr id="7" name="rc_prior_family_norma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prior_family_normal.emf"/>
                    <pic:cNvPicPr/>
                  </pic:nvPicPr>
                  <pic:blipFill>
                    <a:blip r:embed="rId12">
                      <a:extLst>
                        <a:ext uri="{28A0092B-C50C-407E-A947-70E740481C1C}">
                          <a14:useLocalDpi xmlns:a14="http://schemas.microsoft.com/office/drawing/2010/main" val="0"/>
                        </a:ext>
                      </a:extLst>
                    </a:blip>
                    <a:stretch>
                      <a:fillRect/>
                    </a:stretch>
                  </pic:blipFill>
                  <pic:spPr>
                    <a:xfrm>
                      <a:off x="0" y="0"/>
                      <a:ext cx="5939730" cy="2375892"/>
                    </a:xfrm>
                    <a:prstGeom prst="rect">
                      <a:avLst/>
                    </a:prstGeom>
                  </pic:spPr>
                </pic:pic>
              </a:graphicData>
            </a:graphic>
          </wp:inline>
        </w:drawing>
      </w:r>
    </w:p>
    <w:p w14:paraId="63DCC0CB" w14:textId="49349500" w:rsidR="005948D7" w:rsidRDefault="00414423" w:rsidP="00414423">
      <w:pPr>
        <w:pStyle w:val="Caption"/>
      </w:pPr>
      <w:bookmarkStart w:id="1" w:name="_Ref261523728"/>
      <w:r>
        <w:t xml:space="preserve">Figure </w:t>
      </w:r>
      <w:fldSimple w:instr=" SEQ Figure \* ARABIC ">
        <w:r w:rsidR="00C47B2F">
          <w:rPr>
            <w:noProof/>
          </w:rPr>
          <w:t>3</w:t>
        </w:r>
      </w:fldSimple>
      <w:bookmarkEnd w:id="1"/>
      <w:r>
        <w:t xml:space="preserve">: This figure shows how the inferences change as the scale (standard deviation) on the normal family of prior distributions changes. Notice that while the uncertainty around the estimate increases (mainly the upper bound), the substantive conclusions remain relatively unaffected. Compare to </w:t>
      </w:r>
      <w:r>
        <w:fldChar w:fldCharType="begin"/>
      </w:r>
      <w:r>
        <w:instrText xml:space="preserve"> REF _Ref261523307 \h </w:instrText>
      </w:r>
      <w:r>
        <w:fldChar w:fldCharType="separate"/>
      </w:r>
      <w:r w:rsidR="00733218" w:rsidRPr="00CE7C31">
        <w:t xml:space="preserve">Figure </w:t>
      </w:r>
      <w:r w:rsidR="00733218">
        <w:rPr>
          <w:noProof/>
        </w:rPr>
        <w:t>5</w:t>
      </w:r>
      <w:r>
        <w:fldChar w:fldCharType="end"/>
      </w:r>
      <w:r>
        <w:t xml:space="preserve"> to see that while the normal family pools the coefficients more strongly toward zero, the substantive conclusions do not change.</w:t>
      </w:r>
    </w:p>
    <w:p w14:paraId="3B0E3A01" w14:textId="77777777" w:rsidR="00B82901" w:rsidRDefault="00B82901" w:rsidP="00B82901">
      <w:pPr>
        <w:pStyle w:val="Caption"/>
        <w:keepNext/>
      </w:pPr>
      <w:r>
        <w:rPr>
          <w:noProof/>
        </w:rPr>
        <w:drawing>
          <wp:inline distT="0" distB="0" distL="0" distR="0" wp14:anchorId="4F94F243" wp14:editId="3A008829">
            <wp:extent cx="5939730" cy="2375892"/>
            <wp:effectExtent l="0" t="0" r="4445" b="0"/>
            <wp:docPr id="10" name="rc_prior_family_t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prior_family_t10.emf"/>
                    <pic:cNvPicPr/>
                  </pic:nvPicPr>
                  <pic:blipFill>
                    <a:blip r:embed="rId13">
                      <a:extLst>
                        <a:ext uri="{28A0092B-C50C-407E-A947-70E740481C1C}">
                          <a14:useLocalDpi xmlns:a14="http://schemas.microsoft.com/office/drawing/2010/main" val="0"/>
                        </a:ext>
                      </a:extLst>
                    </a:blip>
                    <a:stretch>
                      <a:fillRect/>
                    </a:stretch>
                  </pic:blipFill>
                  <pic:spPr>
                    <a:xfrm>
                      <a:off x="0" y="0"/>
                      <a:ext cx="5939730" cy="2375892"/>
                    </a:xfrm>
                    <a:prstGeom prst="rect">
                      <a:avLst/>
                    </a:prstGeom>
                  </pic:spPr>
                </pic:pic>
              </a:graphicData>
            </a:graphic>
          </wp:inline>
        </w:drawing>
      </w:r>
    </w:p>
    <w:p w14:paraId="1B53272E" w14:textId="5C62A0D7" w:rsidR="00414423" w:rsidRDefault="00B82901" w:rsidP="00B82901">
      <w:pPr>
        <w:pStyle w:val="Caption"/>
      </w:pPr>
      <w:r>
        <w:t xml:space="preserve">Figure </w:t>
      </w:r>
      <w:fldSimple w:instr=" SEQ Figure \* ARABIC ">
        <w:r w:rsidR="00C47B2F">
          <w:rPr>
            <w:noProof/>
          </w:rPr>
          <w:t>4</w:t>
        </w:r>
      </w:fldSimple>
      <w:r>
        <w:t xml:space="preserve">: This figure shows how the inferences change as the scale (standard deviation) on the </w:t>
      </w:r>
      <m:oMath>
        <m:sSub>
          <m:sSubPr>
            <m:ctrlPr>
              <w:rPr>
                <w:rFonts w:ascii="Cambria Math" w:hAnsi="Cambria Math"/>
                <w:i/>
              </w:rPr>
            </m:ctrlPr>
          </m:sSubPr>
          <m:e>
            <m:r>
              <w:rPr>
                <w:rFonts w:ascii="Cambria Math" w:hAnsi="Cambria Math"/>
              </w:rPr>
              <m:t>t</m:t>
            </m:r>
          </m:e>
          <m:sub>
            <m:r>
              <w:rPr>
                <w:rFonts w:ascii="Cambria Math" w:hAnsi="Cambria Math"/>
              </w:rPr>
              <m:t>10</m:t>
            </m:r>
          </m:sub>
        </m:sSub>
      </m:oMath>
      <w:proofErr w:type="gramStart"/>
      <w:r>
        <w:t xml:space="preserve"> family</w:t>
      </w:r>
      <w:proofErr w:type="gramEnd"/>
      <w:r>
        <w:t xml:space="preserve"> of prior distributions changes. Notice that while the uncertainty around the estimate increases (mainly the upper bound) compared to the Cauchy family in </w:t>
      </w:r>
      <w:r>
        <w:fldChar w:fldCharType="begin"/>
      </w:r>
      <w:r>
        <w:instrText xml:space="preserve"> REF _Ref261523307 \h </w:instrText>
      </w:r>
      <w:r>
        <w:fldChar w:fldCharType="separate"/>
      </w:r>
      <w:r w:rsidR="00733218" w:rsidRPr="00CE7C31">
        <w:t xml:space="preserve">Figure </w:t>
      </w:r>
      <w:r w:rsidR="00733218">
        <w:rPr>
          <w:noProof/>
        </w:rPr>
        <w:t>5</w:t>
      </w:r>
      <w:r>
        <w:fldChar w:fldCharType="end"/>
      </w:r>
      <w:r>
        <w:t xml:space="preserve"> and decreases compared to the normal family shown in </w:t>
      </w:r>
      <w:r>
        <w:fldChar w:fldCharType="begin"/>
      </w:r>
      <w:r>
        <w:instrText xml:space="preserve"> REF _Ref261523728 \h </w:instrText>
      </w:r>
      <w:r>
        <w:fldChar w:fldCharType="separate"/>
      </w:r>
      <w:r w:rsidR="008A68F6">
        <w:t xml:space="preserve">Figure </w:t>
      </w:r>
      <w:r>
        <w:fldChar w:fldCharType="end"/>
      </w:r>
      <w:r>
        <w:t>, the substantive conclusions remain relatively unaffected.</w:t>
      </w:r>
    </w:p>
    <w:p w14:paraId="264AF85D" w14:textId="69D20E68" w:rsidR="005948D7" w:rsidRDefault="00B82901" w:rsidP="00B82901">
      <w:pPr>
        <w:pStyle w:val="AppendixHeading2"/>
      </w:pPr>
      <w:r>
        <w:t>Choice of Estimation Technique</w:t>
      </w:r>
    </w:p>
    <w:p w14:paraId="3A7FA6E4" w14:textId="5CE3BE52" w:rsidR="00B82901" w:rsidRDefault="00B82901" w:rsidP="00B82901">
      <w:pPr>
        <w:pStyle w:val="AppendixText"/>
      </w:pPr>
      <w:r>
        <w:t xml:space="preserve">In addition to the key substantive conclusions being robust to a range of prior specifications, they are also robust to several alternative estimation techniques. We consider several here. First, we compute the MLE estimates in spite of the separation. Second, we use Firth’s penalty (Zorn 2005) and compute standard errors using both asymptotic approximations, likelihood profiling, and bootstrapping. We also use </w:t>
      </w:r>
      <w:proofErr w:type="spellStart"/>
      <w:r>
        <w:t>Gelman</w:t>
      </w:r>
      <w:proofErr w:type="spellEnd"/>
      <w:r>
        <w:t xml:space="preserve"> et al.’s (2008) approximation to the posterior mode and asymptotical approximate confidence intervals and bootstrapping. Finally, we compare each of these to our preferred approach of MCMC with a </w:t>
      </w:r>
      <w:proofErr w:type="gramStart"/>
      <w:r>
        <w:t>Cauchy(</w:t>
      </w:r>
      <w:proofErr w:type="gramEnd"/>
      <w:r>
        <w:t>2.5) prior and include the results from the Normal(1) prior as a basis of comparison. The key point to take away from these results is the consistency in the estimated coefficients and uncertainty across the various estimation strategies.</w:t>
      </w:r>
    </w:p>
    <w:p w14:paraId="3878639B" w14:textId="77777777" w:rsidR="00B82901" w:rsidRDefault="00B82901" w:rsidP="00B82901">
      <w:pPr>
        <w:pStyle w:val="AppendixText"/>
        <w:keepNext/>
      </w:pPr>
      <w:r>
        <w:rPr>
          <w:noProof/>
        </w:rPr>
        <w:lastRenderedPageBreak/>
        <w:drawing>
          <wp:inline distT="0" distB="0" distL="0" distR="0" wp14:anchorId="097A3DC7" wp14:editId="713DB0FD">
            <wp:extent cx="5716451" cy="4573160"/>
            <wp:effectExtent l="0" t="0" r="0" b="0"/>
            <wp:docPr id="11" name="rc_alternative_strategie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alternative_strategies.emf"/>
                    <pic:cNvPicPr/>
                  </pic:nvPicPr>
                  <pic:blipFill>
                    <a:blip r:embed="rId14">
                      <a:extLst>
                        <a:ext uri="{28A0092B-C50C-407E-A947-70E740481C1C}">
                          <a14:useLocalDpi xmlns:a14="http://schemas.microsoft.com/office/drawing/2010/main" val="0"/>
                        </a:ext>
                      </a:extLst>
                    </a:blip>
                    <a:stretch>
                      <a:fillRect/>
                    </a:stretch>
                  </pic:blipFill>
                  <pic:spPr>
                    <a:xfrm>
                      <a:off x="0" y="0"/>
                      <a:ext cx="5716451" cy="4573160"/>
                    </a:xfrm>
                    <a:prstGeom prst="rect">
                      <a:avLst/>
                    </a:prstGeom>
                  </pic:spPr>
                </pic:pic>
              </a:graphicData>
            </a:graphic>
          </wp:inline>
        </w:drawing>
      </w:r>
    </w:p>
    <w:p w14:paraId="3C7C07BB" w14:textId="41568407" w:rsidR="00B82901" w:rsidRDefault="00B82901" w:rsidP="00B82901">
      <w:pPr>
        <w:pStyle w:val="Caption"/>
      </w:pPr>
      <w:r>
        <w:t xml:space="preserve">Figure </w:t>
      </w:r>
      <w:fldSimple w:instr=" SEQ Figure \* ARABIC ">
        <w:r w:rsidR="00C47B2F">
          <w:rPr>
            <w:noProof/>
          </w:rPr>
          <w:t>5</w:t>
        </w:r>
      </w:fldSimple>
      <w:r>
        <w:t xml:space="preserve">: </w:t>
      </w:r>
      <w:r w:rsidRPr="00B82901">
        <w:t xml:space="preserve">This figure shows how the inferences change across various estimation procedures for numeric explanatory variables transformed to have mean zero and standard deviation 0.5 and binary explanatory variables simply centered at their mean. </w:t>
      </w:r>
      <w:r w:rsidR="00B60DA1">
        <w:t xml:space="preserve">The intercept is omitted to save space. </w:t>
      </w:r>
      <w:r w:rsidR="009E5EEA">
        <w:t>For the models estimated with M</w:t>
      </w:r>
      <w:r w:rsidR="00712550">
        <w:t xml:space="preserve">CMC, the “x” represents the posterior mean, the circle represents the posterior median, and the dot represents the </w:t>
      </w:r>
      <w:r w:rsidR="0048429A">
        <w:t xml:space="preserve">posterior mode. This distinction is consequential only for highly skewed posterior distributions. </w:t>
      </w:r>
      <w:r w:rsidRPr="00B82901">
        <w:t xml:space="preserve">The substantive effects reported in the main text rely on </w:t>
      </w:r>
      <w:r>
        <w:t>MCMC approach with Cauchy priors</w:t>
      </w:r>
      <w:r w:rsidRPr="00B82901">
        <w:t xml:space="preserve">, but the results do not change if we rely on the analytical standard errors or Firth’s </w:t>
      </w:r>
      <w:r>
        <w:t>penalty</w:t>
      </w:r>
      <w:r w:rsidRPr="00B82901">
        <w:t xml:space="preserve">. Maximum likelihood clearly fails in this case. Though the maximum likelihood estimates depend on the convergence criteria, the default criteria in R suggests that the intercept is about -7.7 with a 90% confidence interval from 1,345 to 1,360. For the coefficient for </w:t>
      </w:r>
      <w:r w:rsidR="000A7B2F">
        <w:t>GOP Governor, the defaults lead</w:t>
      </w:r>
      <w:r w:rsidRPr="00B82901">
        <w:t xml:space="preserve"> to a coefficient estimate of 18.3 and a 90% confidence interval from 1,334 to 1,371. Notice that the</w:t>
      </w:r>
      <w:r w:rsidR="00611B70">
        <w:t xml:space="preserve"> Cauchy prior and Firth's penalty </w:t>
      </w:r>
      <w:r w:rsidRPr="00B82901">
        <w:t xml:space="preserve">regularizes these </w:t>
      </w:r>
      <w:r>
        <w:t>quantities</w:t>
      </w:r>
      <w:r w:rsidRPr="00B82901">
        <w:t>, providing more reasonable estimates.</w:t>
      </w:r>
    </w:p>
    <w:p w14:paraId="20A45ABB" w14:textId="21B22EA1" w:rsidR="00B82901" w:rsidRDefault="00B82901" w:rsidP="00B82901">
      <w:pPr>
        <w:pStyle w:val="AppendixHeading2"/>
      </w:pPr>
      <w:r>
        <w:t>Case Selection</w:t>
      </w:r>
    </w:p>
    <w:p w14:paraId="5C396A5C" w14:textId="58C1478A" w:rsidR="00B82901" w:rsidRDefault="00B82901" w:rsidP="00B82901">
      <w:pPr>
        <w:pStyle w:val="AppendixText"/>
      </w:pPr>
      <w:r>
        <w:t>With such a small number of cases included in the analysis, we leave open the possibility that a particular case drives the results. To address these concerns, we refit the models dropping one state at a time.</w:t>
      </w:r>
      <w:r>
        <w:rPr>
          <w:rStyle w:val="FootnoteReference"/>
        </w:rPr>
        <w:footnoteReference w:id="4"/>
      </w:r>
      <w:r>
        <w:t xml:space="preserve"> </w:t>
      </w:r>
      <w:r>
        <w:fldChar w:fldCharType="begin"/>
      </w:r>
      <w:r>
        <w:instrText xml:space="preserve"> REF _Ref261526104 \h </w:instrText>
      </w:r>
      <w:r>
        <w:fldChar w:fldCharType="separate"/>
      </w:r>
      <w:r w:rsidR="00733218">
        <w:t xml:space="preserve">Figure </w:t>
      </w:r>
      <w:r w:rsidR="00733218">
        <w:rPr>
          <w:noProof/>
        </w:rPr>
        <w:t>9</w:t>
      </w:r>
      <w:r>
        <w:fldChar w:fldCharType="end"/>
      </w:r>
      <w:r>
        <w:t xml:space="preserve"> shows the results. Notice that although some states are more influential than others, the results are similar </w:t>
      </w:r>
      <w:proofErr w:type="gramStart"/>
      <w:r>
        <w:t>regardless</w:t>
      </w:r>
      <w:proofErr w:type="gramEnd"/>
      <w:r>
        <w:t xml:space="preserve"> of which state is dropped from the analysis.</w:t>
      </w:r>
    </w:p>
    <w:p w14:paraId="6E293290" w14:textId="77777777" w:rsidR="00B82901" w:rsidRDefault="00B82901" w:rsidP="00B82901">
      <w:pPr>
        <w:pStyle w:val="AppendixText"/>
        <w:keepNext/>
      </w:pPr>
      <w:r>
        <w:rPr>
          <w:noProof/>
        </w:rPr>
        <w:lastRenderedPageBreak/>
        <w:drawing>
          <wp:inline distT="0" distB="0" distL="0" distR="0" wp14:anchorId="131E5357" wp14:editId="18690557">
            <wp:extent cx="5874106" cy="7342632"/>
            <wp:effectExtent l="0" t="0" r="0" b="0"/>
            <wp:docPr id="12" name="rc_leave.states_ou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leave.states_out.emf"/>
                    <pic:cNvPicPr/>
                  </pic:nvPicPr>
                  <pic:blipFill>
                    <a:blip r:embed="rId15">
                      <a:extLst>
                        <a:ext uri="{28A0092B-C50C-407E-A947-70E740481C1C}">
                          <a14:useLocalDpi xmlns:a14="http://schemas.microsoft.com/office/drawing/2010/main" val="0"/>
                        </a:ext>
                      </a:extLst>
                    </a:blip>
                    <a:stretch>
                      <a:fillRect/>
                    </a:stretch>
                  </pic:blipFill>
                  <pic:spPr>
                    <a:xfrm>
                      <a:off x="0" y="0"/>
                      <a:ext cx="5874106" cy="7342632"/>
                    </a:xfrm>
                    <a:prstGeom prst="rect">
                      <a:avLst/>
                    </a:prstGeom>
                  </pic:spPr>
                </pic:pic>
              </a:graphicData>
            </a:graphic>
          </wp:inline>
        </w:drawing>
      </w:r>
    </w:p>
    <w:p w14:paraId="26005A92" w14:textId="278DC7FA" w:rsidR="00063092" w:rsidRDefault="00B82901" w:rsidP="00ED4E41">
      <w:pPr>
        <w:pStyle w:val="Caption"/>
      </w:pPr>
      <w:bookmarkStart w:id="2" w:name="_Ref261526104"/>
      <w:r>
        <w:t xml:space="preserve">Figure </w:t>
      </w:r>
      <w:fldSimple w:instr=" SEQ Figure \* ARABIC ">
        <w:r w:rsidR="00C47B2F">
          <w:rPr>
            <w:noProof/>
          </w:rPr>
          <w:t>6</w:t>
        </w:r>
      </w:fldSimple>
      <w:bookmarkEnd w:id="2"/>
      <w:r>
        <w:t xml:space="preserve">: </w:t>
      </w:r>
      <w:r w:rsidRPr="00B82901">
        <w:t>This figure shows how the estimates change when each state is removed from the analysis. The top estimate in each panel presents the est</w:t>
      </w:r>
      <w:r>
        <w:t>imate using the full data set. Though sometimes dropping a state causes the confidence interval to overlap zero, n</w:t>
      </w:r>
      <w:r w:rsidRPr="00B82901">
        <w:t>otice how little the estimates ch</w:t>
      </w:r>
      <w:r w:rsidR="001E4189">
        <w:t>ange when each state is dropped. The exception to this pattern is that dropping Alaska, which has a unusual amount of reserves given their spending, dramatically and substantively changes the estimated coefficient of fiscal health. However, this change does not affect the inference about the key variables in our analysis.</w:t>
      </w:r>
    </w:p>
    <w:p w14:paraId="62683153" w14:textId="7C7B0178" w:rsidR="003251F3" w:rsidRDefault="003251F3" w:rsidP="003251F3">
      <w:pPr>
        <w:pStyle w:val="AppendixHeading1"/>
      </w:pPr>
      <w:r>
        <w:lastRenderedPageBreak/>
        <w:t xml:space="preserve">Evaluating the Possibility of </w:t>
      </w:r>
      <w:proofErr w:type="spellStart"/>
      <w:r>
        <w:t>Overfitting</w:t>
      </w:r>
      <w:proofErr w:type="spellEnd"/>
      <w:r w:rsidR="00B82901">
        <w:t xml:space="preserve"> and an Overly Informative Prior</w:t>
      </w:r>
    </w:p>
    <w:p w14:paraId="17A0BC29" w14:textId="5B99D58A" w:rsidR="003251F3" w:rsidRDefault="003251F3" w:rsidP="003251F3">
      <w:pPr>
        <w:pStyle w:val="AppendixText"/>
      </w:pPr>
      <w:r>
        <w:t xml:space="preserve">Related to the robustness checks above, we now demonstrate that (1) the </w:t>
      </w:r>
      <w:proofErr w:type="gramStart"/>
      <w:r>
        <w:t>Cauchy(</w:t>
      </w:r>
      <w:proofErr w:type="gramEnd"/>
      <w:r>
        <w:t xml:space="preserve">2.5) prior is not overly informative and (2) the model does not </w:t>
      </w:r>
      <w:proofErr w:type="spellStart"/>
      <w:r>
        <w:t>overfit</w:t>
      </w:r>
      <w:proofErr w:type="spellEnd"/>
      <w:r>
        <w:t xml:space="preserve"> the data. We do this by showing the more informative priors predict out-of-sample observations slightly better than the prior that we rely on. To do this, we computed Brier scores using leave-one-out cross validation for a range of prior families and scales. The procedure works as follows:</w:t>
      </w:r>
    </w:p>
    <w:p w14:paraId="0C5F3409" w14:textId="77777777" w:rsidR="003251F3" w:rsidRDefault="003251F3" w:rsidP="003251F3">
      <w:pPr>
        <w:pStyle w:val="AppendixText"/>
      </w:pPr>
      <w:r>
        <w:t>1. Start by dropping a single observation (say, Alabama).</w:t>
      </w:r>
    </w:p>
    <w:p w14:paraId="3B5BE728" w14:textId="77777777" w:rsidR="003251F3" w:rsidRDefault="003251F3" w:rsidP="003251F3">
      <w:pPr>
        <w:pStyle w:val="AppendixText"/>
      </w:pPr>
      <w:r>
        <w:t>2. Use the rest of the data (all states except Alabama) to estimate the model and the probability that the governor of the left-out state opposes the expansion. Save the estimated probability.</w:t>
      </w:r>
    </w:p>
    <w:p w14:paraId="4FBFB19D" w14:textId="77777777" w:rsidR="003251F3" w:rsidRDefault="003251F3" w:rsidP="003251F3">
      <w:pPr>
        <w:pStyle w:val="AppendixText"/>
      </w:pPr>
      <w:r>
        <w:t>3. Do this for all 50 states.</w:t>
      </w:r>
    </w:p>
    <w:p w14:paraId="080DA3D6" w14:textId="5F02CB0B" w:rsidR="003251F3" w:rsidRDefault="003251F3" w:rsidP="003251F3">
      <w:pPr>
        <w:pStyle w:val="AppendixText"/>
      </w:pPr>
      <w:r>
        <w:t>4. Calculate the Br</w:t>
      </w:r>
      <w:r w:rsidR="00D17AB2">
        <w:t xml:space="preserve">ier score B using the equation </w:t>
      </w:r>
      <m:oMath>
        <m:r>
          <w:rPr>
            <w:rFonts w:ascii="Cambria Math" w:hAnsi="Cambria Math"/>
          </w:rPr>
          <m:t xml:space="preserve">B= </m:t>
        </m:r>
        <m:nary>
          <m:naryPr>
            <m:chr m:val="∑"/>
            <m:limLoc m:val="undOvr"/>
            <m:ctrlPr>
              <w:rPr>
                <w:rFonts w:ascii="Cambria Math" w:hAnsi="Cambria Math"/>
                <w:i/>
              </w:rPr>
            </m:ctrlPr>
          </m:naryPr>
          <m:sub>
            <m:r>
              <w:rPr>
                <w:rFonts w:ascii="Cambria Math" w:hAnsi="Cambria Math"/>
              </w:rPr>
              <m:t>i=1</m:t>
            </m:r>
          </m:sub>
          <m:sup>
            <m:r>
              <w:rPr>
                <w:rFonts w:ascii="Cambria Math" w:hAnsi="Cambria Math"/>
              </w:rPr>
              <m:t>50</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e>
              <m:sup>
                <m:r>
                  <w:rPr>
                    <w:rFonts w:ascii="Cambria Math" w:hAnsi="Cambria Math"/>
                  </w:rPr>
                  <m:t>2</m:t>
                </m:r>
              </m:sup>
            </m:sSup>
          </m:e>
        </m:nary>
      </m:oMath>
      <w:r>
        <w:t xml:space="preserve"> 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equals one if the governor of state </w:t>
      </w:r>
      <w:proofErr w:type="spellStart"/>
      <w:r w:rsidRPr="003251F3">
        <w:rPr>
          <w:i/>
        </w:rPr>
        <w:t>i</w:t>
      </w:r>
      <w:proofErr w:type="spellEnd"/>
      <w:r>
        <w:t xml:space="preserve"> opposes expansion and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represents the out-of-sample estimated probability that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equals one.</w:t>
      </w:r>
    </w:p>
    <w:p w14:paraId="0E530D61" w14:textId="77777777" w:rsidR="003251F3" w:rsidRDefault="003251F3" w:rsidP="003251F3">
      <w:pPr>
        <w:pStyle w:val="AppendixText"/>
      </w:pPr>
      <w:r>
        <w:t>We repeat the procedure above for a variety of different prior families, including the Cauchy, normal, and t, and vary the scale parameter across each of the distributions. Figure 3 shows how the Brier scores change as the prior family and scale vary.</w:t>
      </w:r>
    </w:p>
    <w:p w14:paraId="7D7C0E5D" w14:textId="77777777" w:rsidR="00B82901" w:rsidRDefault="00B82901" w:rsidP="00B82901">
      <w:pPr>
        <w:pStyle w:val="AppendixText"/>
        <w:keepNext/>
        <w:jc w:val="center"/>
      </w:pPr>
      <w:r>
        <w:rPr>
          <w:noProof/>
        </w:rPr>
        <w:drawing>
          <wp:inline distT="0" distB="0" distL="0" distR="0" wp14:anchorId="10110FB7" wp14:editId="36CD1F5D">
            <wp:extent cx="2933700" cy="1760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brier_score.emf"/>
                    <pic:cNvPicPr/>
                  </pic:nvPicPr>
                  <pic:blipFill>
                    <a:blip r:embed="rId16">
                      <a:extLst>
                        <a:ext uri="{28A0092B-C50C-407E-A947-70E740481C1C}">
                          <a14:useLocalDpi xmlns:a14="http://schemas.microsoft.com/office/drawing/2010/main" val="0"/>
                        </a:ext>
                      </a:extLst>
                    </a:blip>
                    <a:stretch>
                      <a:fillRect/>
                    </a:stretch>
                  </pic:blipFill>
                  <pic:spPr>
                    <a:xfrm>
                      <a:off x="0" y="0"/>
                      <a:ext cx="2933700" cy="1760220"/>
                    </a:xfrm>
                    <a:prstGeom prst="rect">
                      <a:avLst/>
                    </a:prstGeom>
                    <a:extLst>
                      <a:ext uri="{FAA26D3D-D897-4be2-8F04-BA451C77F1D7}">
                        <ma14:placeholderFlag xmlns:ma14="http://schemas.microsoft.com/office/mac/drawingml/2011/main"/>
                      </a:ext>
                    </a:extLst>
                  </pic:spPr>
                </pic:pic>
              </a:graphicData>
            </a:graphic>
          </wp:inline>
        </w:drawing>
      </w:r>
    </w:p>
    <w:p w14:paraId="7718FB59" w14:textId="142E0C46" w:rsidR="00B82901" w:rsidRDefault="00B82901" w:rsidP="00B82901">
      <w:pPr>
        <w:pStyle w:val="Caption"/>
      </w:pPr>
      <w:bookmarkStart w:id="3" w:name="_Ref261524822"/>
      <w:r>
        <w:t xml:space="preserve">Figure </w:t>
      </w:r>
      <w:fldSimple w:instr=" SEQ Figure \* ARABIC ">
        <w:r w:rsidR="00C47B2F">
          <w:rPr>
            <w:noProof/>
          </w:rPr>
          <w:t>7</w:t>
        </w:r>
      </w:fldSimple>
      <w:bookmarkEnd w:id="3"/>
      <w:r w:rsidR="00D55355">
        <w:rPr>
          <w:noProof/>
        </w:rPr>
        <w:t>:</w:t>
      </w:r>
      <w:r w:rsidRPr="00B82901">
        <w:t xml:space="preserve"> T</w:t>
      </w:r>
      <w:r>
        <w:t>his figure shows t</w:t>
      </w:r>
      <w:r w:rsidRPr="00B82901">
        <w:t>he out-of-sample performance of three prior distributions as the scales vary. Lower Brier scores indicate improved out-of-sample predictions. Notice that inf</w:t>
      </w:r>
      <w:r>
        <w:t xml:space="preserve">ormative priors (e.g. </w:t>
      </w:r>
      <w:proofErr w:type="gramStart"/>
      <w:r>
        <w:t>Normal(</w:t>
      </w:r>
      <w:proofErr w:type="gramEnd"/>
      <w:r>
        <w:t>1) and Cauchy(2.</w:t>
      </w:r>
      <w:r w:rsidRPr="00B82901">
        <w:t xml:space="preserve">5)) only slightly outperform weaker prior distributions. Because the more and less informative priors perform similarly, we are not as worried about </w:t>
      </w:r>
      <w:proofErr w:type="spellStart"/>
      <w:r w:rsidRPr="00B82901">
        <w:t>overfitting</w:t>
      </w:r>
      <w:proofErr w:type="spellEnd"/>
      <w:r w:rsidRPr="00B82901">
        <w:t xml:space="preserve"> the data. Because we would rather supply too little prior information than too much, we choose use</w:t>
      </w:r>
      <w:r>
        <w:t xml:space="preserve"> the less informative </w:t>
      </w:r>
      <w:proofErr w:type="gramStart"/>
      <w:r>
        <w:t>Cauchy(</w:t>
      </w:r>
      <w:proofErr w:type="gramEnd"/>
      <w:r w:rsidRPr="00B82901">
        <w:t>2.5) prior distribution in the main analysis.</w:t>
      </w:r>
    </w:p>
    <w:p w14:paraId="23350467" w14:textId="267D188C" w:rsidR="003251F3" w:rsidRDefault="00B82901" w:rsidP="00B82901">
      <w:pPr>
        <w:pStyle w:val="AppendixText"/>
        <w:keepNext/>
      </w:pPr>
      <w:r>
        <w:tab/>
      </w:r>
      <w:r w:rsidR="003251F3">
        <w:t xml:space="preserve">Notice that the Brier scores are lower (i.e. the out-of-sample prediction is better) when the prior is more informative that the prior we rely on. However, the improvement is not </w:t>
      </w:r>
      <w:r>
        <w:t>dramatic</w:t>
      </w:r>
      <w:r w:rsidR="003251F3">
        <w:t xml:space="preserve">, so we prefer to use too little prior information rather than too much. To err on the side of caution, we use the default </w:t>
      </w:r>
      <w:proofErr w:type="gramStart"/>
      <w:r w:rsidR="003251F3">
        <w:t>Cauchy(</w:t>
      </w:r>
      <w:proofErr w:type="gramEnd"/>
      <w:r w:rsidR="003251F3">
        <w:t xml:space="preserve">2.5) prior suggested by </w:t>
      </w:r>
      <w:proofErr w:type="spellStart"/>
      <w:r w:rsidR="003251F3">
        <w:t>Gelman</w:t>
      </w:r>
      <w:proofErr w:type="spellEnd"/>
      <w:r w:rsidR="003251F3">
        <w:t xml:space="preserve"> et al. (2008).</w:t>
      </w:r>
    </w:p>
    <w:p w14:paraId="6674FFA1" w14:textId="3835836A" w:rsidR="003251F3" w:rsidRDefault="003251F3" w:rsidP="003251F3">
      <w:pPr>
        <w:pStyle w:val="AppendixText"/>
      </w:pPr>
      <w:r>
        <w:tab/>
        <w:t xml:space="preserve">Another potential concern with the small sample is that we are over-fitting the data. (The problem of separation that we identify in the main text is just one example of over-fitting.) However, the Brier scores shown in </w:t>
      </w:r>
      <w:r w:rsidR="00B82901">
        <w:fldChar w:fldCharType="begin"/>
      </w:r>
      <w:r w:rsidR="00B82901">
        <w:instrText xml:space="preserve"> REF _Ref261524822 \h </w:instrText>
      </w:r>
      <w:r w:rsidR="00B82901">
        <w:fldChar w:fldCharType="separate"/>
      </w:r>
      <w:r w:rsidR="00733218">
        <w:t xml:space="preserve">Figure </w:t>
      </w:r>
      <w:r w:rsidR="00733218">
        <w:rPr>
          <w:noProof/>
        </w:rPr>
        <w:t>10</w:t>
      </w:r>
      <w:r w:rsidR="00B82901">
        <w:fldChar w:fldCharType="end"/>
      </w:r>
      <w:r>
        <w:t xml:space="preserve">should alleviate any concerns about over-fitting. Notice that the Brier score for our preferred </w:t>
      </w:r>
      <w:proofErr w:type="gramStart"/>
      <w:r>
        <w:t>Cauchy(</w:t>
      </w:r>
      <w:proofErr w:type="gramEnd"/>
      <w:r>
        <w:t xml:space="preserve">2.5) is about 0.17. The lowest Brier score among the parameterizations shown is about 0.15 for the much-more-informative </w:t>
      </w:r>
      <w:proofErr w:type="gramStart"/>
      <w:r>
        <w:t>Normal(</w:t>
      </w:r>
      <w:proofErr w:type="gramEnd"/>
      <w:r>
        <w:t xml:space="preserve">0.8) prior distribution. Slightly better performance from a more informative prior is expected. Indeed, </w:t>
      </w:r>
      <w:proofErr w:type="spellStart"/>
      <w:r>
        <w:t>Gelman</w:t>
      </w:r>
      <w:proofErr w:type="spellEnd"/>
      <w:r>
        <w:t xml:space="preserve"> et al. (2008) find a very similar pattern across their large corpus of data sets (see especially the right panel of their Figure 6). If a more informative prior fit the data substantially better, then over-fitting would be a concern. Howeve</w:t>
      </w:r>
      <w:r w:rsidR="00B82901">
        <w:t xml:space="preserve">r, the pattern shown in </w:t>
      </w:r>
      <w:r w:rsidR="00B82901">
        <w:fldChar w:fldCharType="begin"/>
      </w:r>
      <w:r w:rsidR="00B82901">
        <w:instrText xml:space="preserve"> REF _Ref261524822 \h </w:instrText>
      </w:r>
      <w:r w:rsidR="00B82901">
        <w:fldChar w:fldCharType="separate"/>
      </w:r>
      <w:r w:rsidR="00733218">
        <w:t xml:space="preserve">Figure </w:t>
      </w:r>
      <w:r w:rsidR="00733218">
        <w:rPr>
          <w:noProof/>
        </w:rPr>
        <w:t>10</w:t>
      </w:r>
      <w:r w:rsidR="00B82901">
        <w:fldChar w:fldCharType="end"/>
      </w:r>
      <w:r>
        <w:t xml:space="preserve"> suggests that over-fitting is not a concern.</w:t>
      </w:r>
    </w:p>
    <w:sectPr w:rsidR="003251F3">
      <w:headerReference w:type="default" r:id="rId17"/>
      <w:footerReference w:type="default" r:id="rId18"/>
      <w:pgSz w:w="12240" w:h="15840"/>
      <w:pgMar w:top="1440" w:right="1440" w:bottom="1440" w:left="1440" w:header="720" w:footer="70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E80F54" w14:textId="77777777" w:rsidR="00CB1214" w:rsidRDefault="00CB1214">
      <w:pPr>
        <w:spacing w:line="240" w:lineRule="auto"/>
      </w:pPr>
      <w:r>
        <w:separator/>
      </w:r>
    </w:p>
  </w:endnote>
  <w:endnote w:type="continuationSeparator" w:id="0">
    <w:p w14:paraId="14FA715E" w14:textId="77777777" w:rsidR="00CB1214" w:rsidRDefault="00CB1214">
      <w:pPr>
        <w:spacing w:line="240" w:lineRule="auto"/>
      </w:pPr>
      <w:r>
        <w:continuationSeparator/>
      </w:r>
    </w:p>
  </w:endnote>
  <w:endnote w:type="continuationNotice" w:id="1">
    <w:p w14:paraId="49563F15" w14:textId="77777777" w:rsidR="00CB1214" w:rsidRDefault="00CB121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ill Sans">
    <w:panose1 w:val="020B0502020104020203"/>
    <w:charset w:val="00"/>
    <w:family w:val="auto"/>
    <w:pitch w:val="variable"/>
    <w:sig w:usb0="80000267" w:usb1="00000000" w:usb2="00000000" w:usb3="00000000" w:csb0="000001F7"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DC9B4" w14:textId="77777777" w:rsidR="00CB1214" w:rsidRDefault="00CB1214">
    <w:pPr>
      <w:tabs>
        <w:tab w:val="center" w:pos="4986"/>
        <w:tab w:val="right" w:pos="9972"/>
      </w:tabs>
      <w:spacing w:line="100" w:lineRule="atLeast"/>
      <w:jc w:val="center"/>
    </w:pPr>
    <w:r>
      <w:rPr>
        <w:color w:val="000000"/>
      </w:rPr>
      <w:fldChar w:fldCharType="begin"/>
    </w:r>
    <w:r>
      <w:rPr>
        <w:color w:val="000000"/>
      </w:rPr>
      <w:instrText xml:space="preserve"> PAGE </w:instrText>
    </w:r>
    <w:r>
      <w:rPr>
        <w:color w:val="000000"/>
      </w:rPr>
      <w:fldChar w:fldCharType="separate"/>
    </w:r>
    <w:r w:rsidR="00C47B2F">
      <w:rPr>
        <w:noProof/>
        <w:color w:val="000000"/>
      </w:rPr>
      <w:t>8</w:t>
    </w:r>
    <w:r>
      <w:rPr>
        <w:color w:val="00000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E82001" w14:textId="77777777" w:rsidR="00CB1214" w:rsidRDefault="00CB1214">
      <w:pPr>
        <w:spacing w:line="240" w:lineRule="auto"/>
      </w:pPr>
      <w:r>
        <w:separator/>
      </w:r>
    </w:p>
  </w:footnote>
  <w:footnote w:type="continuationSeparator" w:id="0">
    <w:p w14:paraId="33607204" w14:textId="77777777" w:rsidR="00CB1214" w:rsidRDefault="00CB1214">
      <w:pPr>
        <w:spacing w:line="240" w:lineRule="auto"/>
      </w:pPr>
      <w:r>
        <w:continuationSeparator/>
      </w:r>
    </w:p>
  </w:footnote>
  <w:footnote w:type="continuationNotice" w:id="1">
    <w:p w14:paraId="26A66416" w14:textId="77777777" w:rsidR="00CB1214" w:rsidRDefault="00CB1214">
      <w:pPr>
        <w:spacing w:line="240" w:lineRule="auto"/>
      </w:pPr>
    </w:p>
  </w:footnote>
  <w:footnote w:id="2">
    <w:p w14:paraId="6461A4C8" w14:textId="55E1FA41" w:rsidR="00CB1214" w:rsidRDefault="00CB1214">
      <w:pPr>
        <w:pStyle w:val="FootnoteText"/>
      </w:pPr>
      <w:r>
        <w:rPr>
          <w:rStyle w:val="FootnoteReference"/>
        </w:rPr>
        <w:footnoteRef/>
      </w:r>
      <w:r>
        <w:t xml:space="preserve"> Data for the support for the Medicaid expansion are available only from the July 2012 Tracking Poll.</w:t>
      </w:r>
    </w:p>
  </w:footnote>
  <w:footnote w:id="3">
    <w:p w14:paraId="13B885E5" w14:textId="15FEA15A" w:rsidR="00CB1214" w:rsidRDefault="00CB1214">
      <w:pPr>
        <w:pStyle w:val="FootnoteText"/>
      </w:pPr>
      <w:r>
        <w:rPr>
          <w:rStyle w:val="FootnoteReference"/>
        </w:rPr>
        <w:footnoteRef/>
      </w:r>
      <w:r>
        <w:t xml:space="preserve"> We arrived at the </w:t>
      </w:r>
      <m:oMath>
        <m:sSub>
          <m:sSubPr>
            <m:ctrlPr>
              <w:rPr>
                <w:rFonts w:ascii="Cambria Math" w:hAnsi="Cambria Math"/>
                <w:i/>
              </w:rPr>
            </m:ctrlPr>
          </m:sSubPr>
          <m:e>
            <m:r>
              <w:rPr>
                <w:rFonts w:ascii="Cambria Math" w:hAnsi="Cambria Math"/>
              </w:rPr>
              <m:t>t</m:t>
            </m:r>
          </m:e>
          <m:sub>
            <m:r>
              <w:rPr>
                <w:rFonts w:ascii="Cambria Math" w:hAnsi="Cambria Math"/>
              </w:rPr>
              <m:t>10</m:t>
            </m:r>
          </m:sub>
        </m:sSub>
      </m:oMath>
      <w:r>
        <w:t xml:space="preserve"> with scale 2.5 by simulating from the prior predictive distribution, computing quantities of interest, and choosing the simulations that seem to best reflect the prior uncertainty in the quantity of interest. The </w:t>
      </w:r>
      <w:proofErr w:type="gramStart"/>
      <w:r>
        <w:t>Cauchy(</w:t>
      </w:r>
      <w:proofErr w:type="gramEnd"/>
      <w:r>
        <w:t xml:space="preserve">2.5) treats first differences of nearly one (or nearly negative one) as overly probable. On the other hand, the Normal priors do not give these possibilities enough weight. The </w:t>
      </w:r>
      <m:oMath>
        <m:sSub>
          <m:sSubPr>
            <m:ctrlPr>
              <w:rPr>
                <w:rFonts w:ascii="Cambria Math" w:hAnsi="Cambria Math"/>
                <w:i/>
              </w:rPr>
            </m:ctrlPr>
          </m:sSubPr>
          <m:e>
            <m:r>
              <w:rPr>
                <w:rFonts w:ascii="Cambria Math" w:hAnsi="Cambria Math"/>
              </w:rPr>
              <m:t>t</m:t>
            </m:r>
          </m:e>
          <m:sub>
            <m:r>
              <w:rPr>
                <w:rFonts w:ascii="Cambria Math" w:hAnsi="Cambria Math"/>
              </w:rPr>
              <m:t>10</m:t>
            </m:r>
          </m:sub>
        </m:sSub>
      </m:oMath>
      <w:proofErr w:type="gramStart"/>
      <w:r>
        <w:t xml:space="preserve"> prior</w:t>
      </w:r>
      <w:proofErr w:type="gramEnd"/>
      <w:r>
        <w:t xml:space="preserve"> with scale 2.5 allows these large shifts without placing undue prior weight on them. However, this is not to suggest that the </w:t>
      </w:r>
      <m:oMath>
        <m:sSub>
          <m:sSubPr>
            <m:ctrlPr>
              <w:rPr>
                <w:rFonts w:ascii="Cambria Math" w:hAnsi="Cambria Math"/>
                <w:i/>
              </w:rPr>
            </m:ctrlPr>
          </m:sSubPr>
          <m:e>
            <m:r>
              <w:rPr>
                <w:rFonts w:ascii="Cambria Math" w:hAnsi="Cambria Math"/>
              </w:rPr>
              <m:t>t</m:t>
            </m:r>
          </m:e>
          <m:sub>
            <m:r>
              <w:rPr>
                <w:rFonts w:ascii="Cambria Math" w:hAnsi="Cambria Math"/>
              </w:rPr>
              <m:t>10</m:t>
            </m:r>
          </m:sub>
        </m:sSub>
      </m:oMath>
      <w:r>
        <w:t xml:space="preserve"> with scale 2.5 is the best informative prior distribution, but simply useful as a robustness check.</w:t>
      </w:r>
    </w:p>
  </w:footnote>
  <w:footnote w:id="4">
    <w:p w14:paraId="676FF3B1" w14:textId="1E4A7A6D" w:rsidR="00CB1214" w:rsidRDefault="00CB1214">
      <w:pPr>
        <w:pStyle w:val="FootnoteText"/>
      </w:pPr>
      <w:r>
        <w:rPr>
          <w:rStyle w:val="FootnoteReference"/>
        </w:rPr>
        <w:footnoteRef/>
      </w:r>
      <w:r>
        <w:t xml:space="preserve"> For the sake of computational tractability, we compute these estimates and standard errors using </w:t>
      </w:r>
      <w:proofErr w:type="spellStart"/>
      <w:r>
        <w:t>Gelman</w:t>
      </w:r>
      <w:proofErr w:type="spellEnd"/>
      <w:r>
        <w:t xml:space="preserve"> et al.’s (2008) EM approximation to the posterior mode and asymptotic confidence intervals.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D4522" w14:textId="77777777" w:rsidR="00CB1214" w:rsidRDefault="00CB12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B80BE9"/>
    <w:multiLevelType w:val="hybridMultilevel"/>
    <w:tmpl w:val="500C4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CF6141"/>
    <w:multiLevelType w:val="hybridMultilevel"/>
    <w:tmpl w:val="9B963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323646"/>
    <w:multiLevelType w:val="hybridMultilevel"/>
    <w:tmpl w:val="795401EC"/>
    <w:lvl w:ilvl="0" w:tplc="13481F9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06B73BB"/>
    <w:multiLevelType w:val="hybridMultilevel"/>
    <w:tmpl w:val="6096C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D7255F"/>
    <w:multiLevelType w:val="multilevel"/>
    <w:tmpl w:val="AF10AD0C"/>
    <w:styleLink w:val="AppendixHeadings"/>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6C1DC4"/>
    <w:multiLevelType w:val="multilevel"/>
    <w:tmpl w:val="FFE48A48"/>
    <w:lvl w:ilvl="0">
      <w:start w:val="1"/>
      <w:numFmt w:val="decimal"/>
      <w:pStyle w:val="AppendixHeading1"/>
      <w:lvlText w:val="%1."/>
      <w:lvlJc w:val="left"/>
      <w:pPr>
        <w:ind w:left="360" w:hanging="360"/>
      </w:pPr>
      <w:rPr>
        <w:rFonts w:hint="default"/>
      </w:rPr>
    </w:lvl>
    <w:lvl w:ilvl="1">
      <w:start w:val="1"/>
      <w:numFmt w:val="decimal"/>
      <w:pStyle w:val="Appendix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4274D6F"/>
    <w:multiLevelType w:val="multilevel"/>
    <w:tmpl w:val="19B0CA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25B2B99"/>
    <w:multiLevelType w:val="hybridMultilevel"/>
    <w:tmpl w:val="73226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3DE216F"/>
    <w:multiLevelType w:val="hybridMultilevel"/>
    <w:tmpl w:val="D1E00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82847AD"/>
    <w:multiLevelType w:val="hybridMultilevel"/>
    <w:tmpl w:val="D8E0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BC644C"/>
    <w:multiLevelType w:val="multilevel"/>
    <w:tmpl w:val="211A2B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B724BF2"/>
    <w:multiLevelType w:val="hybridMultilevel"/>
    <w:tmpl w:val="7172B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2E746FE"/>
    <w:multiLevelType w:val="hybridMultilevel"/>
    <w:tmpl w:val="849E0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AD21BD3"/>
    <w:multiLevelType w:val="multilevel"/>
    <w:tmpl w:val="AF10AD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CCF6FF2"/>
    <w:multiLevelType w:val="hybridMultilevel"/>
    <w:tmpl w:val="DB8AE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E9F5FD9"/>
    <w:multiLevelType w:val="hybridMultilevel"/>
    <w:tmpl w:val="7FDEF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14"/>
  </w:num>
  <w:num w:numId="6">
    <w:abstractNumId w:val="10"/>
  </w:num>
  <w:num w:numId="7">
    <w:abstractNumId w:val="6"/>
  </w:num>
  <w:num w:numId="8">
    <w:abstractNumId w:val="4"/>
  </w:num>
  <w:num w:numId="9">
    <w:abstractNumId w:val="18"/>
  </w:num>
  <w:num w:numId="10">
    <w:abstractNumId w:val="3"/>
  </w:num>
  <w:num w:numId="11">
    <w:abstractNumId w:val="11"/>
  </w:num>
  <w:num w:numId="12">
    <w:abstractNumId w:val="17"/>
  </w:num>
  <w:num w:numId="13">
    <w:abstractNumId w:val="9"/>
  </w:num>
  <w:num w:numId="14">
    <w:abstractNumId w:val="16"/>
  </w:num>
  <w:num w:numId="15">
    <w:abstractNumId w:val="7"/>
  </w:num>
  <w:num w:numId="16">
    <w:abstractNumId w:val="13"/>
  </w:num>
  <w:num w:numId="17">
    <w:abstractNumId w:val="8"/>
  </w:num>
  <w:num w:numId="18">
    <w:abstractNumId w:val="8"/>
    <w:lvlOverride w:ilvl="0">
      <w:lvl w:ilvl="0">
        <w:start w:val="1"/>
        <w:numFmt w:val="decimal"/>
        <w:pStyle w:val="AppendixHeading1"/>
        <w:lvlText w:val="%1."/>
        <w:lvlJc w:val="left"/>
        <w:pPr>
          <w:ind w:left="360" w:hanging="360"/>
        </w:pPr>
        <w:rPr>
          <w:rFonts w:hint="default"/>
        </w:rPr>
      </w:lvl>
    </w:lvlOverride>
    <w:lvlOverride w:ilvl="1">
      <w:lvl w:ilvl="1">
        <w:start w:val="1"/>
        <w:numFmt w:val="decimal"/>
        <w:pStyle w:val="AppendixHeading2"/>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hideSpellingErrors/>
  <w:hideGrammaticalError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6E7"/>
    <w:rsid w:val="000023E5"/>
    <w:rsid w:val="000064A6"/>
    <w:rsid w:val="0001697E"/>
    <w:rsid w:val="00025EBF"/>
    <w:rsid w:val="000342F4"/>
    <w:rsid w:val="00034353"/>
    <w:rsid w:val="000402C0"/>
    <w:rsid w:val="00040360"/>
    <w:rsid w:val="00041BAC"/>
    <w:rsid w:val="00047728"/>
    <w:rsid w:val="000547AD"/>
    <w:rsid w:val="000607FD"/>
    <w:rsid w:val="00063092"/>
    <w:rsid w:val="00066064"/>
    <w:rsid w:val="0006714E"/>
    <w:rsid w:val="0009218B"/>
    <w:rsid w:val="000943A5"/>
    <w:rsid w:val="000A0D45"/>
    <w:rsid w:val="000A2761"/>
    <w:rsid w:val="000A48AF"/>
    <w:rsid w:val="000A7B2F"/>
    <w:rsid w:val="000C3E35"/>
    <w:rsid w:val="000C4F7D"/>
    <w:rsid w:val="000C7944"/>
    <w:rsid w:val="000D3B7D"/>
    <w:rsid w:val="000D56E7"/>
    <w:rsid w:val="000D64E1"/>
    <w:rsid w:val="000E42C1"/>
    <w:rsid w:val="000E449E"/>
    <w:rsid w:val="000F6319"/>
    <w:rsid w:val="001005A2"/>
    <w:rsid w:val="0012553C"/>
    <w:rsid w:val="00127ADD"/>
    <w:rsid w:val="00142409"/>
    <w:rsid w:val="0014675F"/>
    <w:rsid w:val="00151027"/>
    <w:rsid w:val="00153AFC"/>
    <w:rsid w:val="0015632D"/>
    <w:rsid w:val="00192EEB"/>
    <w:rsid w:val="001B37D7"/>
    <w:rsid w:val="001D2347"/>
    <w:rsid w:val="001D5C3C"/>
    <w:rsid w:val="001E4189"/>
    <w:rsid w:val="001F05FA"/>
    <w:rsid w:val="001F6647"/>
    <w:rsid w:val="00201F51"/>
    <w:rsid w:val="00210EDC"/>
    <w:rsid w:val="0021128A"/>
    <w:rsid w:val="002147D8"/>
    <w:rsid w:val="00215642"/>
    <w:rsid w:val="0021586F"/>
    <w:rsid w:val="00216277"/>
    <w:rsid w:val="00235054"/>
    <w:rsid w:val="002527BB"/>
    <w:rsid w:val="00253859"/>
    <w:rsid w:val="002568B2"/>
    <w:rsid w:val="002630B9"/>
    <w:rsid w:val="00264CFE"/>
    <w:rsid w:val="0026545D"/>
    <w:rsid w:val="00265A4B"/>
    <w:rsid w:val="0027000E"/>
    <w:rsid w:val="002748F2"/>
    <w:rsid w:val="00283AFC"/>
    <w:rsid w:val="00286D67"/>
    <w:rsid w:val="00292652"/>
    <w:rsid w:val="00296021"/>
    <w:rsid w:val="002B4C4E"/>
    <w:rsid w:val="002C077E"/>
    <w:rsid w:val="002C4D97"/>
    <w:rsid w:val="002D714A"/>
    <w:rsid w:val="002D7DD8"/>
    <w:rsid w:val="002F1221"/>
    <w:rsid w:val="002F4C72"/>
    <w:rsid w:val="00301834"/>
    <w:rsid w:val="00305EC4"/>
    <w:rsid w:val="00311496"/>
    <w:rsid w:val="00312584"/>
    <w:rsid w:val="00315ED5"/>
    <w:rsid w:val="00317BD5"/>
    <w:rsid w:val="003218C1"/>
    <w:rsid w:val="003251F3"/>
    <w:rsid w:val="00325215"/>
    <w:rsid w:val="0033217E"/>
    <w:rsid w:val="00351D97"/>
    <w:rsid w:val="003520C5"/>
    <w:rsid w:val="00355F50"/>
    <w:rsid w:val="0036145F"/>
    <w:rsid w:val="00362002"/>
    <w:rsid w:val="00380242"/>
    <w:rsid w:val="003A48FB"/>
    <w:rsid w:val="003A5C39"/>
    <w:rsid w:val="003B698E"/>
    <w:rsid w:val="003C040B"/>
    <w:rsid w:val="003E2D95"/>
    <w:rsid w:val="003E7235"/>
    <w:rsid w:val="00410405"/>
    <w:rsid w:val="00412505"/>
    <w:rsid w:val="00414423"/>
    <w:rsid w:val="00420446"/>
    <w:rsid w:val="00421784"/>
    <w:rsid w:val="004257DF"/>
    <w:rsid w:val="004326D3"/>
    <w:rsid w:val="00446183"/>
    <w:rsid w:val="00447FDB"/>
    <w:rsid w:val="00450846"/>
    <w:rsid w:val="004550FD"/>
    <w:rsid w:val="004730EE"/>
    <w:rsid w:val="0048429A"/>
    <w:rsid w:val="00496E4F"/>
    <w:rsid w:val="004B0F97"/>
    <w:rsid w:val="004C6F39"/>
    <w:rsid w:val="004E3C97"/>
    <w:rsid w:val="004E6E9D"/>
    <w:rsid w:val="005017C9"/>
    <w:rsid w:val="00506627"/>
    <w:rsid w:val="00506AB4"/>
    <w:rsid w:val="00516E57"/>
    <w:rsid w:val="00520697"/>
    <w:rsid w:val="0052430D"/>
    <w:rsid w:val="005246D7"/>
    <w:rsid w:val="00540D0D"/>
    <w:rsid w:val="00542326"/>
    <w:rsid w:val="0054317E"/>
    <w:rsid w:val="005448A8"/>
    <w:rsid w:val="00562696"/>
    <w:rsid w:val="00576420"/>
    <w:rsid w:val="005948D7"/>
    <w:rsid w:val="00597CB4"/>
    <w:rsid w:val="005A153E"/>
    <w:rsid w:val="005A4176"/>
    <w:rsid w:val="005B37E9"/>
    <w:rsid w:val="005B71EA"/>
    <w:rsid w:val="005B7ACA"/>
    <w:rsid w:val="005C53D7"/>
    <w:rsid w:val="005F39AF"/>
    <w:rsid w:val="005F4E30"/>
    <w:rsid w:val="005F5F74"/>
    <w:rsid w:val="00601270"/>
    <w:rsid w:val="00604A43"/>
    <w:rsid w:val="00605658"/>
    <w:rsid w:val="00611B70"/>
    <w:rsid w:val="00613726"/>
    <w:rsid w:val="00624D87"/>
    <w:rsid w:val="00640321"/>
    <w:rsid w:val="0064265F"/>
    <w:rsid w:val="0065423A"/>
    <w:rsid w:val="0069106C"/>
    <w:rsid w:val="00691461"/>
    <w:rsid w:val="006960F5"/>
    <w:rsid w:val="006A1688"/>
    <w:rsid w:val="006A77C2"/>
    <w:rsid w:val="006B0011"/>
    <w:rsid w:val="006B10A1"/>
    <w:rsid w:val="006C7D58"/>
    <w:rsid w:val="006D6D3C"/>
    <w:rsid w:val="006D7F7A"/>
    <w:rsid w:val="006E2402"/>
    <w:rsid w:val="006E644D"/>
    <w:rsid w:val="00712550"/>
    <w:rsid w:val="00720CAE"/>
    <w:rsid w:val="00733218"/>
    <w:rsid w:val="0074567C"/>
    <w:rsid w:val="0076397B"/>
    <w:rsid w:val="00771D45"/>
    <w:rsid w:val="00771FCF"/>
    <w:rsid w:val="007753DA"/>
    <w:rsid w:val="00783541"/>
    <w:rsid w:val="00783A1B"/>
    <w:rsid w:val="007866BF"/>
    <w:rsid w:val="007939AC"/>
    <w:rsid w:val="007C1F47"/>
    <w:rsid w:val="007C2656"/>
    <w:rsid w:val="007D423C"/>
    <w:rsid w:val="007F31EC"/>
    <w:rsid w:val="007F44A0"/>
    <w:rsid w:val="0081058E"/>
    <w:rsid w:val="00812837"/>
    <w:rsid w:val="0082436D"/>
    <w:rsid w:val="00826BD7"/>
    <w:rsid w:val="00832D94"/>
    <w:rsid w:val="008478F6"/>
    <w:rsid w:val="00861760"/>
    <w:rsid w:val="008935DF"/>
    <w:rsid w:val="008A00A9"/>
    <w:rsid w:val="008A0B72"/>
    <w:rsid w:val="008A444B"/>
    <w:rsid w:val="008A68F6"/>
    <w:rsid w:val="008B576F"/>
    <w:rsid w:val="008D1C49"/>
    <w:rsid w:val="008D5866"/>
    <w:rsid w:val="008E6CCB"/>
    <w:rsid w:val="008E6EB7"/>
    <w:rsid w:val="008F5BD1"/>
    <w:rsid w:val="00920FFB"/>
    <w:rsid w:val="00942965"/>
    <w:rsid w:val="00965594"/>
    <w:rsid w:val="00965EE8"/>
    <w:rsid w:val="009907A4"/>
    <w:rsid w:val="009913F5"/>
    <w:rsid w:val="009A23AD"/>
    <w:rsid w:val="009B135D"/>
    <w:rsid w:val="009C2A82"/>
    <w:rsid w:val="009D353F"/>
    <w:rsid w:val="009D5678"/>
    <w:rsid w:val="009E1523"/>
    <w:rsid w:val="009E5EEA"/>
    <w:rsid w:val="009F114E"/>
    <w:rsid w:val="009F5DBC"/>
    <w:rsid w:val="00A056B0"/>
    <w:rsid w:val="00A211E1"/>
    <w:rsid w:val="00A24421"/>
    <w:rsid w:val="00A26246"/>
    <w:rsid w:val="00A277C5"/>
    <w:rsid w:val="00A32BF8"/>
    <w:rsid w:val="00A37211"/>
    <w:rsid w:val="00A45BD4"/>
    <w:rsid w:val="00A629AB"/>
    <w:rsid w:val="00A65879"/>
    <w:rsid w:val="00A7035E"/>
    <w:rsid w:val="00A83E33"/>
    <w:rsid w:val="00A917CF"/>
    <w:rsid w:val="00AA2048"/>
    <w:rsid w:val="00AB09E9"/>
    <w:rsid w:val="00AB17A7"/>
    <w:rsid w:val="00AB5456"/>
    <w:rsid w:val="00AC241C"/>
    <w:rsid w:val="00AC2514"/>
    <w:rsid w:val="00AD06E7"/>
    <w:rsid w:val="00AD5FB0"/>
    <w:rsid w:val="00AD7486"/>
    <w:rsid w:val="00AF102B"/>
    <w:rsid w:val="00AF4A92"/>
    <w:rsid w:val="00B01C94"/>
    <w:rsid w:val="00B07E5A"/>
    <w:rsid w:val="00B12D0A"/>
    <w:rsid w:val="00B15E03"/>
    <w:rsid w:val="00B17C4E"/>
    <w:rsid w:val="00B21AD2"/>
    <w:rsid w:val="00B22B24"/>
    <w:rsid w:val="00B3328F"/>
    <w:rsid w:val="00B332F7"/>
    <w:rsid w:val="00B428FF"/>
    <w:rsid w:val="00B43628"/>
    <w:rsid w:val="00B53406"/>
    <w:rsid w:val="00B60DA1"/>
    <w:rsid w:val="00B726A1"/>
    <w:rsid w:val="00B74868"/>
    <w:rsid w:val="00B75DF2"/>
    <w:rsid w:val="00B82901"/>
    <w:rsid w:val="00B84D0A"/>
    <w:rsid w:val="00B94F35"/>
    <w:rsid w:val="00B95419"/>
    <w:rsid w:val="00BA3A79"/>
    <w:rsid w:val="00BA4346"/>
    <w:rsid w:val="00BB0027"/>
    <w:rsid w:val="00BB2F35"/>
    <w:rsid w:val="00BB6DE7"/>
    <w:rsid w:val="00BC62FD"/>
    <w:rsid w:val="00BD4EA9"/>
    <w:rsid w:val="00BE1686"/>
    <w:rsid w:val="00BF3383"/>
    <w:rsid w:val="00C0222B"/>
    <w:rsid w:val="00C35485"/>
    <w:rsid w:val="00C36840"/>
    <w:rsid w:val="00C47B2F"/>
    <w:rsid w:val="00C50BA1"/>
    <w:rsid w:val="00C51308"/>
    <w:rsid w:val="00C52746"/>
    <w:rsid w:val="00C61D77"/>
    <w:rsid w:val="00C66BE3"/>
    <w:rsid w:val="00C96AFE"/>
    <w:rsid w:val="00CA1D5E"/>
    <w:rsid w:val="00CB0E66"/>
    <w:rsid w:val="00CB1214"/>
    <w:rsid w:val="00CC4F81"/>
    <w:rsid w:val="00CE2C07"/>
    <w:rsid w:val="00CE41FF"/>
    <w:rsid w:val="00CE7BF0"/>
    <w:rsid w:val="00CE7C31"/>
    <w:rsid w:val="00CF07FD"/>
    <w:rsid w:val="00D17AB2"/>
    <w:rsid w:val="00D27963"/>
    <w:rsid w:val="00D31689"/>
    <w:rsid w:val="00D3655C"/>
    <w:rsid w:val="00D448AC"/>
    <w:rsid w:val="00D52399"/>
    <w:rsid w:val="00D55355"/>
    <w:rsid w:val="00D64CE3"/>
    <w:rsid w:val="00D660A2"/>
    <w:rsid w:val="00D75F8C"/>
    <w:rsid w:val="00D81409"/>
    <w:rsid w:val="00D8395E"/>
    <w:rsid w:val="00D859E5"/>
    <w:rsid w:val="00D86466"/>
    <w:rsid w:val="00D86EFC"/>
    <w:rsid w:val="00D952EB"/>
    <w:rsid w:val="00D955B4"/>
    <w:rsid w:val="00D97BFB"/>
    <w:rsid w:val="00DA15A5"/>
    <w:rsid w:val="00DA3926"/>
    <w:rsid w:val="00DB6F15"/>
    <w:rsid w:val="00DC4EBC"/>
    <w:rsid w:val="00DF038F"/>
    <w:rsid w:val="00E00557"/>
    <w:rsid w:val="00E24800"/>
    <w:rsid w:val="00E34134"/>
    <w:rsid w:val="00E45C86"/>
    <w:rsid w:val="00E5104B"/>
    <w:rsid w:val="00E53D0D"/>
    <w:rsid w:val="00E54BE3"/>
    <w:rsid w:val="00E55F60"/>
    <w:rsid w:val="00E565CD"/>
    <w:rsid w:val="00E8235E"/>
    <w:rsid w:val="00E842B6"/>
    <w:rsid w:val="00E84356"/>
    <w:rsid w:val="00E85013"/>
    <w:rsid w:val="00E90846"/>
    <w:rsid w:val="00EB2F1F"/>
    <w:rsid w:val="00EB2FDF"/>
    <w:rsid w:val="00EB3A1B"/>
    <w:rsid w:val="00EC0827"/>
    <w:rsid w:val="00ED4E41"/>
    <w:rsid w:val="00ED70B1"/>
    <w:rsid w:val="00EE67C9"/>
    <w:rsid w:val="00EF1F15"/>
    <w:rsid w:val="00F001E1"/>
    <w:rsid w:val="00F11C81"/>
    <w:rsid w:val="00F171F7"/>
    <w:rsid w:val="00F2648C"/>
    <w:rsid w:val="00F4232B"/>
    <w:rsid w:val="00F51624"/>
    <w:rsid w:val="00F540BF"/>
    <w:rsid w:val="00F54612"/>
    <w:rsid w:val="00F56536"/>
    <w:rsid w:val="00F573C1"/>
    <w:rsid w:val="00F62428"/>
    <w:rsid w:val="00F74E1B"/>
    <w:rsid w:val="00F80944"/>
    <w:rsid w:val="00F96617"/>
    <w:rsid w:val="00FA1C30"/>
    <w:rsid w:val="00FA4FF0"/>
    <w:rsid w:val="00FA61F4"/>
    <w:rsid w:val="00FB3B21"/>
    <w:rsid w:val="00FB5E70"/>
    <w:rsid w:val="00FD0E24"/>
    <w:rsid w:val="00FD6F6A"/>
    <w:rsid w:val="00FE4C2F"/>
    <w:rsid w:val="00FE7291"/>
    <w:rsid w:val="042270D9"/>
    <w:rsid w:val="1B8C01B4"/>
    <w:rsid w:val="1B928F7B"/>
    <w:rsid w:val="66DC82C5"/>
    <w:rsid w:val="6F3F0B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01656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semiHidden="0" w:uiPriority="35" w:unhideWhenUsed="0"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lsdException w:name="Emphasis" w:semiHidden="0" w:uiPriority="0" w:unhideWhenUsed="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semiHidden="0" w:uiPriority="0" w:unhideWhenUsed="0"/>
  </w:latentStyles>
  <w:style w:type="paragraph" w:default="1" w:styleId="Normal">
    <w:name w:val="Normal"/>
    <w:qFormat/>
    <w:rsid w:val="00192EEB"/>
    <w:pPr>
      <w:widowControl w:val="0"/>
      <w:tabs>
        <w:tab w:val="left" w:pos="360"/>
        <w:tab w:val="left" w:pos="709"/>
      </w:tabs>
      <w:suppressAutoHyphens/>
      <w:spacing w:line="480" w:lineRule="auto"/>
    </w:pPr>
  </w:style>
  <w:style w:type="paragraph" w:styleId="Heading1">
    <w:name w:val="heading 1"/>
    <w:basedOn w:val="Normal"/>
    <w:next w:val="BodyText"/>
    <w:autoRedefine/>
    <w:qFormat/>
    <w:rsid w:val="005B7ACA"/>
    <w:pPr>
      <w:jc w:val="center"/>
      <w:outlineLvl w:val="0"/>
    </w:pPr>
    <w:rPr>
      <w:b/>
      <w:sz w:val="28"/>
    </w:rPr>
  </w:style>
  <w:style w:type="paragraph" w:styleId="Heading2">
    <w:name w:val="heading 2"/>
    <w:basedOn w:val="Normal"/>
    <w:next w:val="BodyText"/>
    <w:qFormat/>
    <w:rsid w:val="009907A4"/>
    <w:pPr>
      <w:numPr>
        <w:ilvl w:val="1"/>
        <w:numId w:val="1"/>
      </w:numPr>
      <w:outlineLvl w:val="1"/>
    </w:pPr>
    <w:rPr>
      <w:i/>
    </w:rPr>
  </w:style>
  <w:style w:type="paragraph" w:styleId="Heading3">
    <w:name w:val="heading 3"/>
    <w:basedOn w:val="Normal"/>
    <w:next w:val="BodyText"/>
    <w:pPr>
      <w:numPr>
        <w:ilvl w:val="2"/>
        <w:numId w:val="1"/>
      </w:numPr>
      <w:outlineLvl w:val="2"/>
    </w:pPr>
  </w:style>
  <w:style w:type="paragraph" w:styleId="Heading4">
    <w:name w:val="heading 4"/>
    <w:basedOn w:val="Normal"/>
    <w:next w:val="BodyText"/>
    <w:pPr>
      <w:numPr>
        <w:ilvl w:val="3"/>
        <w:numId w:val="1"/>
      </w:numPr>
      <w:spacing w:before="240" w:after="40"/>
      <w:outlineLvl w:val="3"/>
    </w:pPr>
  </w:style>
  <w:style w:type="paragraph" w:styleId="Heading5">
    <w:name w:val="heading 5"/>
    <w:basedOn w:val="Normal"/>
    <w:next w:val="BodyText"/>
    <w:pPr>
      <w:numPr>
        <w:ilvl w:val="4"/>
        <w:numId w:val="1"/>
      </w:numPr>
      <w:spacing w:before="220" w:after="40"/>
      <w:outlineLvl w:val="4"/>
    </w:pPr>
  </w:style>
  <w:style w:type="paragraph" w:styleId="Heading6">
    <w:name w:val="heading 6"/>
    <w:basedOn w:val="Normal"/>
    <w:next w:val="BodyText"/>
    <w:pPr>
      <w:numPr>
        <w:ilvl w:val="5"/>
        <w:numId w:val="1"/>
      </w:numPr>
      <w:spacing w:before="200" w:after="4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1z0">
    <w:name w:val="WW8Num1z0"/>
    <w:rPr>
      <w:rFonts w:ascii="Symbol" w:hAnsi="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rPr>
  </w:style>
  <w:style w:type="character" w:customStyle="1" w:styleId="WW-DefaultParagraphFont">
    <w:name w:val="WW-Default Paragraph Font"/>
  </w:style>
  <w:style w:type="character" w:styleId="PlaceholderText">
    <w:name w:val="Placeholder Text"/>
    <w:basedOn w:val="DefaultParagraphFont"/>
    <w:uiPriority w:val="99"/>
    <w:semiHidden/>
    <w:rsid w:val="00235054"/>
    <w:rPr>
      <w:color w:val="808080"/>
    </w:rPr>
  </w:style>
  <w:style w:type="character" w:customStyle="1" w:styleId="CommentReference1">
    <w:name w:val="Comment Reference1"/>
    <w:rPr>
      <w:sz w:val="16"/>
      <w:szCs w:val="16"/>
    </w:rPr>
  </w:style>
  <w:style w:type="character" w:customStyle="1" w:styleId="FootnoteCharacters">
    <w:name w:val="Footnote Characters"/>
  </w:style>
  <w:style w:type="character" w:styleId="FootnoteReference">
    <w:name w:val="footnote reference"/>
    <w:qFormat/>
    <w:rPr>
      <w:vertAlign w:val="superscript"/>
    </w:rPr>
  </w:style>
  <w:style w:type="character" w:customStyle="1" w:styleId="CaptionCharacters">
    <w:name w:val="Caption Characters"/>
  </w:style>
  <w:style w:type="character" w:customStyle="1" w:styleId="NumberingSymbols">
    <w:name w:val="Numbering Symbols"/>
  </w:style>
  <w:style w:type="character" w:styleId="Hyperlink">
    <w:name w:val="Hyperlink"/>
    <w:qFormat/>
    <w:rsid w:val="00733218"/>
    <w:rPr>
      <w:color w:val="C0504D" w:themeColor="accent2"/>
    </w:rPr>
  </w:style>
  <w:style w:type="character" w:styleId="Strong">
    <w:name w:val="Strong"/>
    <w:rPr>
      <w:b/>
      <w:bCs/>
    </w:rPr>
  </w:style>
  <w:style w:type="character" w:styleId="Emphasis">
    <w:name w:val="Emphasis"/>
    <w:rPr>
      <w:i/>
      <w:iCs/>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EndnoteTextChar">
    <w:name w:val="Endnote Text Char"/>
    <w:rPr>
      <w:sz w:val="24"/>
      <w:szCs w:val="24"/>
    </w:rPr>
  </w:style>
  <w:style w:type="character" w:styleId="EndnoteReference">
    <w:name w:val="endnote reference"/>
    <w:rPr>
      <w:vertAlign w:val="superscript"/>
    </w:rPr>
  </w:style>
  <w:style w:type="character" w:customStyle="1" w:styleId="FootnoteTextChar">
    <w:name w:val="Footnote Text Char"/>
  </w:style>
  <w:style w:type="character" w:styleId="FollowedHyperlink">
    <w:name w:val="FollowedHyperlink"/>
  </w:style>
  <w:style w:type="character" w:customStyle="1" w:styleId="BalloonTextChar">
    <w:name w:val="Balloon Text Char"/>
  </w:style>
  <w:style w:type="character" w:customStyle="1" w:styleId="apple-converted-space">
    <w:name w:val="apple-converted-space"/>
    <w:basedOn w:val="DefaultParagraphFont"/>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uiPriority w:val="35"/>
    <w:qFormat/>
    <w:rsid w:val="00B82901"/>
    <w:pPr>
      <w:keepLines/>
      <w:suppressLineNumbers/>
      <w:spacing w:after="200" w:line="240" w:lineRule="auto"/>
    </w:pPr>
    <w:rPr>
      <w:sz w:val="18"/>
    </w:rPr>
  </w:style>
  <w:style w:type="paragraph" w:customStyle="1" w:styleId="Index">
    <w:name w:val="Index"/>
    <w:basedOn w:val="Normal"/>
    <w:pPr>
      <w:suppressLineNumbers/>
    </w:pPr>
  </w:style>
  <w:style w:type="paragraph" w:customStyle="1" w:styleId="NoList1">
    <w:name w:val="No List1"/>
    <w:pPr>
      <w:widowControl w:val="0"/>
      <w:suppressAutoHyphens/>
    </w:pPr>
  </w:style>
  <w:style w:type="paragraph" w:styleId="Title">
    <w:name w:val="Title"/>
    <w:basedOn w:val="Normal"/>
    <w:next w:val="Subtitle"/>
    <w:qFormat/>
    <w:rsid w:val="00E84356"/>
    <w:pPr>
      <w:jc w:val="center"/>
    </w:pPr>
    <w:rPr>
      <w:b/>
      <w:sz w:val="44"/>
    </w:rPr>
  </w:style>
  <w:style w:type="paragraph" w:styleId="Subtitle">
    <w:name w:val="Subtitle"/>
    <w:basedOn w:val="Normal"/>
    <w:next w:val="BodyText"/>
    <w:qFormat/>
    <w:rsid w:val="00E84356"/>
    <w:pPr>
      <w:jc w:val="center"/>
    </w:pPr>
    <w:rPr>
      <w:i/>
      <w:sz w:val="26"/>
    </w:rPr>
  </w:style>
  <w:style w:type="paragraph" w:customStyle="1" w:styleId="FootnoteText1">
    <w:name w:val="Footnote Text1"/>
    <w:basedOn w:val="Normal"/>
  </w:style>
  <w:style w:type="paragraph" w:styleId="Footer">
    <w:name w:val="footer"/>
    <w:basedOn w:val="Normal"/>
    <w:pPr>
      <w:suppressLineNumbers/>
    </w:pPr>
  </w:style>
  <w:style w:type="paragraph" w:customStyle="1" w:styleId="TableContents">
    <w:name w:val="Table Contents"/>
    <w:basedOn w:val="Normal"/>
    <w:pPr>
      <w:suppressLineNumbers/>
      <w:spacing w:line="100" w:lineRule="atLeast"/>
    </w:pPr>
  </w:style>
  <w:style w:type="paragraph" w:styleId="FootnoteText">
    <w:name w:val="footnote text"/>
    <w:basedOn w:val="Normal"/>
    <w:qFormat/>
    <w:rsid w:val="00E84356"/>
    <w:pPr>
      <w:suppressLineNumbers/>
      <w:spacing w:after="144" w:line="100" w:lineRule="atLeast"/>
    </w:pPr>
    <w:rPr>
      <w:sz w:val="18"/>
    </w:rPr>
  </w:style>
  <w:style w:type="paragraph" w:customStyle="1" w:styleId="Figure">
    <w:name w:val="Figure"/>
    <w:basedOn w:val="Caption"/>
    <w:pPr>
      <w:spacing w:line="100" w:lineRule="atLeast"/>
    </w:pPr>
  </w:style>
  <w:style w:type="paragraph" w:styleId="BodyTextFirstIndent">
    <w:name w:val="Body Text First Indent"/>
    <w:basedOn w:val="BodyText"/>
    <w:pPr>
      <w:spacing w:after="0"/>
      <w:ind w:firstLine="283"/>
    </w:pPr>
  </w:style>
  <w:style w:type="paragraph" w:styleId="Header">
    <w:name w:val="header"/>
    <w:basedOn w:val="Normal"/>
    <w:pPr>
      <w:suppressLineNumbers/>
    </w:pPr>
    <w:rPr>
      <w:rFonts w:ascii="Gill Sans" w:hAnsi="Gill Sans"/>
    </w:rPr>
  </w:style>
  <w:style w:type="paragraph" w:customStyle="1" w:styleId="Framecontents">
    <w:name w:val="Frame contents"/>
    <w:basedOn w:val="BodyText"/>
  </w:style>
  <w:style w:type="paragraph" w:customStyle="1" w:styleId="TableHeading">
    <w:name w:val="Table Heading"/>
    <w:basedOn w:val="TableContents"/>
    <w:pPr>
      <w:jc w:val="center"/>
    </w:pPr>
    <w:rPr>
      <w:b/>
      <w:bCs/>
    </w:rPr>
  </w:style>
  <w:style w:type="paragraph" w:customStyle="1" w:styleId="Table">
    <w:name w:val="Table"/>
    <w:basedOn w:val="Caption"/>
    <w:pPr>
      <w:spacing w:line="100" w:lineRule="atLeast"/>
    </w:pPr>
  </w:style>
  <w:style w:type="paragraph" w:customStyle="1" w:styleId="AbstractText">
    <w:name w:val="Abstract Text"/>
    <w:basedOn w:val="Normal"/>
    <w:pPr>
      <w:spacing w:line="100" w:lineRule="atLeast"/>
      <w:ind w:left="1080" w:right="1080"/>
      <w:jc w:val="both"/>
    </w:pPr>
  </w:style>
  <w:style w:type="paragraph" w:customStyle="1" w:styleId="AbstractLabel">
    <w:name w:val="Abstract Label"/>
    <w:basedOn w:val="AbstractText"/>
    <w:pPr>
      <w:spacing w:line="480" w:lineRule="auto"/>
      <w:jc w:val="center"/>
    </w:pPr>
  </w:style>
  <w:style w:type="paragraph" w:styleId="Quote">
    <w:name w:val="Quote"/>
    <w:basedOn w:val="Normal"/>
    <w:pPr>
      <w:ind w:left="1080" w:right="1080"/>
    </w:pPr>
  </w:style>
  <w:style w:type="paragraph" w:customStyle="1" w:styleId="HypothesisText">
    <w:name w:val="Hypothesis Text"/>
    <w:basedOn w:val="Normal"/>
    <w:pPr>
      <w:ind w:left="720" w:right="720"/>
    </w:pPr>
  </w:style>
  <w:style w:type="paragraph" w:customStyle="1" w:styleId="Quotations">
    <w:name w:val="Quotations"/>
    <w:basedOn w:val="Normal"/>
    <w:pPr>
      <w:spacing w:after="283"/>
      <w:ind w:left="567" w:right="567"/>
    </w:pPr>
  </w:style>
  <w:style w:type="paragraph" w:customStyle="1" w:styleId="Affiliation">
    <w:name w:val="Affiliation"/>
    <w:basedOn w:val="Normal"/>
    <w:pPr>
      <w:spacing w:line="100" w:lineRule="atLeast"/>
      <w:jc w:val="center"/>
    </w:pPr>
    <w:rPr>
      <w:sz w:val="21"/>
    </w:rPr>
  </w:style>
  <w:style w:type="paragraph" w:customStyle="1" w:styleId="References">
    <w:name w:val="References"/>
    <w:basedOn w:val="Normal"/>
    <w:qFormat/>
    <w:rsid w:val="003A5C39"/>
    <w:pPr>
      <w:spacing w:after="288" w:line="240" w:lineRule="auto"/>
      <w:ind w:left="720" w:hanging="720"/>
    </w:pPr>
  </w:style>
  <w:style w:type="paragraph" w:styleId="EndnoteText">
    <w:name w:val="endnote text"/>
    <w:basedOn w:val="Normal"/>
  </w:style>
  <w:style w:type="paragraph" w:styleId="TOCHeading">
    <w:name w:val="TOC Heading"/>
    <w:basedOn w:val="Heading1"/>
    <w:next w:val="Normal"/>
    <w:pPr>
      <w:keepNext/>
      <w:keepLines/>
      <w:suppressAutoHyphens w:val="0"/>
      <w:spacing w:before="480" w:line="276" w:lineRule="auto"/>
      <w:jc w:val="left"/>
    </w:pPr>
  </w:style>
  <w:style w:type="paragraph" w:styleId="TOC1">
    <w:name w:val="toc 1"/>
    <w:basedOn w:val="Normal"/>
    <w:next w:val="Normal"/>
    <w:pPr>
      <w:spacing w:before="240" w:after="120"/>
    </w:pPr>
  </w:style>
  <w:style w:type="paragraph" w:styleId="TOC2">
    <w:name w:val="toc 2"/>
    <w:basedOn w:val="Normal"/>
    <w:next w:val="Normal"/>
  </w:style>
  <w:style w:type="paragraph" w:styleId="TOC3">
    <w:name w:val="toc 3"/>
    <w:basedOn w:val="Normal"/>
    <w:next w:val="Normal"/>
  </w:style>
  <w:style w:type="paragraph" w:styleId="TOC4">
    <w:name w:val="toc 4"/>
    <w:basedOn w:val="Normal"/>
    <w:next w:val="Normal"/>
  </w:style>
  <w:style w:type="paragraph" w:styleId="TOC5">
    <w:name w:val="toc 5"/>
    <w:basedOn w:val="Normal"/>
    <w:next w:val="Normal"/>
  </w:style>
  <w:style w:type="paragraph" w:styleId="TOC6">
    <w:name w:val="toc 6"/>
    <w:basedOn w:val="Normal"/>
    <w:next w:val="Normal"/>
  </w:style>
  <w:style w:type="paragraph" w:styleId="TOC7">
    <w:name w:val="toc 7"/>
    <w:basedOn w:val="Normal"/>
    <w:next w:val="Normal"/>
  </w:style>
  <w:style w:type="paragraph" w:styleId="TOC8">
    <w:name w:val="toc 8"/>
    <w:basedOn w:val="Normal"/>
    <w:next w:val="Normal"/>
  </w:style>
  <w:style w:type="paragraph" w:styleId="TOC9">
    <w:name w:val="toc 9"/>
    <w:basedOn w:val="Normal"/>
    <w:next w:val="Normal"/>
  </w:style>
  <w:style w:type="paragraph" w:styleId="BalloonText">
    <w:name w:val="Balloon Text"/>
    <w:basedOn w:val="Normal"/>
    <w:pPr>
      <w:spacing w:line="240" w:lineRule="auto"/>
    </w:pPr>
  </w:style>
  <w:style w:type="paragraph" w:styleId="NormalWeb">
    <w:name w:val="Normal (Web)"/>
    <w:basedOn w:val="Normal"/>
    <w:uiPriority w:val="99"/>
    <w:pPr>
      <w:suppressAutoHyphens w:val="0"/>
      <w:spacing w:before="280" w:after="115" w:line="240" w:lineRule="auto"/>
    </w:pPr>
    <w:rPr>
      <w:rFonts w:ascii="Times" w:hAnsi="Times"/>
    </w:rPr>
  </w:style>
  <w:style w:type="table" w:styleId="TableGrid">
    <w:name w:val="Table Grid"/>
    <w:basedOn w:val="TableNormal"/>
    <w:uiPriority w:val="59"/>
    <w:rsid w:val="009907A4"/>
    <w:rPr>
      <w:rFonts w:asciiTheme="minorHAnsi" w:eastAsiaTheme="minorEastAsia" w:hAnsiTheme="minorHAnsi" w:cstheme="minorBid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rsid w:val="009907A4"/>
    <w:pPr>
      <w:ind w:left="720"/>
      <w:contextualSpacing/>
    </w:pPr>
    <w:rPr>
      <w:sz w:val="20"/>
    </w:rPr>
  </w:style>
  <w:style w:type="numbering" w:customStyle="1" w:styleId="AppendixHeadings">
    <w:name w:val="Appendix Headings"/>
    <w:uiPriority w:val="99"/>
    <w:rsid w:val="00265A4B"/>
    <w:pPr>
      <w:numPr>
        <w:numId w:val="15"/>
      </w:numPr>
    </w:pPr>
  </w:style>
  <w:style w:type="paragraph" w:customStyle="1" w:styleId="AppendixText">
    <w:name w:val="Appendix Text"/>
    <w:basedOn w:val="BodyText"/>
    <w:qFormat/>
    <w:rsid w:val="00496E4F"/>
    <w:pPr>
      <w:spacing w:line="240" w:lineRule="auto"/>
    </w:pPr>
    <w:rPr>
      <w:sz w:val="20"/>
    </w:rPr>
  </w:style>
  <w:style w:type="paragraph" w:customStyle="1" w:styleId="AppendixHeading1">
    <w:name w:val="Appendix Heading 1"/>
    <w:basedOn w:val="Heading1"/>
    <w:qFormat/>
    <w:rsid w:val="005B7ACA"/>
    <w:pPr>
      <w:numPr>
        <w:numId w:val="17"/>
      </w:numPr>
      <w:jc w:val="left"/>
    </w:pPr>
  </w:style>
  <w:style w:type="paragraph" w:customStyle="1" w:styleId="AppendixHeading2">
    <w:name w:val="Appendix Heading 2"/>
    <w:basedOn w:val="Heading2"/>
    <w:next w:val="AppendixText"/>
    <w:qFormat/>
    <w:rsid w:val="00265A4B"/>
    <w:pPr>
      <w:numPr>
        <w:numId w:val="17"/>
      </w:numPr>
    </w:pPr>
  </w:style>
  <w:style w:type="paragraph" w:styleId="Revision">
    <w:name w:val="Revision"/>
    <w:hidden/>
    <w:uiPriority w:val="99"/>
    <w:semiHidden/>
    <w:rsid w:val="00CE7C3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semiHidden="0" w:uiPriority="35" w:unhideWhenUsed="0"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lsdException w:name="Emphasis" w:semiHidden="0" w:uiPriority="0" w:unhideWhenUsed="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semiHidden="0" w:uiPriority="0" w:unhideWhenUsed="0"/>
  </w:latentStyles>
  <w:style w:type="paragraph" w:default="1" w:styleId="Normal">
    <w:name w:val="Normal"/>
    <w:qFormat/>
    <w:rsid w:val="00192EEB"/>
    <w:pPr>
      <w:widowControl w:val="0"/>
      <w:tabs>
        <w:tab w:val="left" w:pos="360"/>
        <w:tab w:val="left" w:pos="709"/>
      </w:tabs>
      <w:suppressAutoHyphens/>
      <w:spacing w:line="480" w:lineRule="auto"/>
    </w:pPr>
  </w:style>
  <w:style w:type="paragraph" w:styleId="Heading1">
    <w:name w:val="heading 1"/>
    <w:basedOn w:val="Normal"/>
    <w:next w:val="BodyText"/>
    <w:autoRedefine/>
    <w:qFormat/>
    <w:rsid w:val="005B7ACA"/>
    <w:pPr>
      <w:jc w:val="center"/>
      <w:outlineLvl w:val="0"/>
    </w:pPr>
    <w:rPr>
      <w:b/>
      <w:sz w:val="28"/>
    </w:rPr>
  </w:style>
  <w:style w:type="paragraph" w:styleId="Heading2">
    <w:name w:val="heading 2"/>
    <w:basedOn w:val="Normal"/>
    <w:next w:val="BodyText"/>
    <w:qFormat/>
    <w:rsid w:val="009907A4"/>
    <w:pPr>
      <w:numPr>
        <w:ilvl w:val="1"/>
        <w:numId w:val="1"/>
      </w:numPr>
      <w:outlineLvl w:val="1"/>
    </w:pPr>
    <w:rPr>
      <w:i/>
    </w:rPr>
  </w:style>
  <w:style w:type="paragraph" w:styleId="Heading3">
    <w:name w:val="heading 3"/>
    <w:basedOn w:val="Normal"/>
    <w:next w:val="BodyText"/>
    <w:pPr>
      <w:numPr>
        <w:ilvl w:val="2"/>
        <w:numId w:val="1"/>
      </w:numPr>
      <w:outlineLvl w:val="2"/>
    </w:pPr>
  </w:style>
  <w:style w:type="paragraph" w:styleId="Heading4">
    <w:name w:val="heading 4"/>
    <w:basedOn w:val="Normal"/>
    <w:next w:val="BodyText"/>
    <w:pPr>
      <w:numPr>
        <w:ilvl w:val="3"/>
        <w:numId w:val="1"/>
      </w:numPr>
      <w:spacing w:before="240" w:after="40"/>
      <w:outlineLvl w:val="3"/>
    </w:pPr>
  </w:style>
  <w:style w:type="paragraph" w:styleId="Heading5">
    <w:name w:val="heading 5"/>
    <w:basedOn w:val="Normal"/>
    <w:next w:val="BodyText"/>
    <w:pPr>
      <w:numPr>
        <w:ilvl w:val="4"/>
        <w:numId w:val="1"/>
      </w:numPr>
      <w:spacing w:before="220" w:after="40"/>
      <w:outlineLvl w:val="4"/>
    </w:pPr>
  </w:style>
  <w:style w:type="paragraph" w:styleId="Heading6">
    <w:name w:val="heading 6"/>
    <w:basedOn w:val="Normal"/>
    <w:next w:val="BodyText"/>
    <w:pPr>
      <w:numPr>
        <w:ilvl w:val="5"/>
        <w:numId w:val="1"/>
      </w:numPr>
      <w:spacing w:before="200" w:after="4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1z0">
    <w:name w:val="WW8Num1z0"/>
    <w:rPr>
      <w:rFonts w:ascii="Symbol" w:hAnsi="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rPr>
  </w:style>
  <w:style w:type="character" w:customStyle="1" w:styleId="WW-DefaultParagraphFont">
    <w:name w:val="WW-Default Paragraph Font"/>
  </w:style>
  <w:style w:type="character" w:styleId="PlaceholderText">
    <w:name w:val="Placeholder Text"/>
    <w:basedOn w:val="DefaultParagraphFont"/>
    <w:uiPriority w:val="99"/>
    <w:semiHidden/>
    <w:rsid w:val="00235054"/>
    <w:rPr>
      <w:color w:val="808080"/>
    </w:rPr>
  </w:style>
  <w:style w:type="character" w:customStyle="1" w:styleId="CommentReference1">
    <w:name w:val="Comment Reference1"/>
    <w:rPr>
      <w:sz w:val="16"/>
      <w:szCs w:val="16"/>
    </w:rPr>
  </w:style>
  <w:style w:type="character" w:customStyle="1" w:styleId="FootnoteCharacters">
    <w:name w:val="Footnote Characters"/>
  </w:style>
  <w:style w:type="character" w:styleId="FootnoteReference">
    <w:name w:val="footnote reference"/>
    <w:qFormat/>
    <w:rPr>
      <w:vertAlign w:val="superscript"/>
    </w:rPr>
  </w:style>
  <w:style w:type="character" w:customStyle="1" w:styleId="CaptionCharacters">
    <w:name w:val="Caption Characters"/>
  </w:style>
  <w:style w:type="character" w:customStyle="1" w:styleId="NumberingSymbols">
    <w:name w:val="Numbering Symbols"/>
  </w:style>
  <w:style w:type="character" w:styleId="Hyperlink">
    <w:name w:val="Hyperlink"/>
    <w:qFormat/>
    <w:rsid w:val="00733218"/>
    <w:rPr>
      <w:color w:val="C0504D" w:themeColor="accent2"/>
    </w:rPr>
  </w:style>
  <w:style w:type="character" w:styleId="Strong">
    <w:name w:val="Strong"/>
    <w:rPr>
      <w:b/>
      <w:bCs/>
    </w:rPr>
  </w:style>
  <w:style w:type="character" w:styleId="Emphasis">
    <w:name w:val="Emphasis"/>
    <w:rPr>
      <w:i/>
      <w:iCs/>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EndnoteTextChar">
    <w:name w:val="Endnote Text Char"/>
    <w:rPr>
      <w:sz w:val="24"/>
      <w:szCs w:val="24"/>
    </w:rPr>
  </w:style>
  <w:style w:type="character" w:styleId="EndnoteReference">
    <w:name w:val="endnote reference"/>
    <w:rPr>
      <w:vertAlign w:val="superscript"/>
    </w:rPr>
  </w:style>
  <w:style w:type="character" w:customStyle="1" w:styleId="FootnoteTextChar">
    <w:name w:val="Footnote Text Char"/>
  </w:style>
  <w:style w:type="character" w:styleId="FollowedHyperlink">
    <w:name w:val="FollowedHyperlink"/>
  </w:style>
  <w:style w:type="character" w:customStyle="1" w:styleId="BalloonTextChar">
    <w:name w:val="Balloon Text Char"/>
  </w:style>
  <w:style w:type="character" w:customStyle="1" w:styleId="apple-converted-space">
    <w:name w:val="apple-converted-space"/>
    <w:basedOn w:val="DefaultParagraphFont"/>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uiPriority w:val="35"/>
    <w:qFormat/>
    <w:rsid w:val="00B82901"/>
    <w:pPr>
      <w:keepLines/>
      <w:suppressLineNumbers/>
      <w:spacing w:after="200" w:line="240" w:lineRule="auto"/>
    </w:pPr>
    <w:rPr>
      <w:sz w:val="18"/>
    </w:rPr>
  </w:style>
  <w:style w:type="paragraph" w:customStyle="1" w:styleId="Index">
    <w:name w:val="Index"/>
    <w:basedOn w:val="Normal"/>
    <w:pPr>
      <w:suppressLineNumbers/>
    </w:pPr>
  </w:style>
  <w:style w:type="paragraph" w:customStyle="1" w:styleId="NoList1">
    <w:name w:val="No List1"/>
    <w:pPr>
      <w:widowControl w:val="0"/>
      <w:suppressAutoHyphens/>
    </w:pPr>
  </w:style>
  <w:style w:type="paragraph" w:styleId="Title">
    <w:name w:val="Title"/>
    <w:basedOn w:val="Normal"/>
    <w:next w:val="Subtitle"/>
    <w:qFormat/>
    <w:rsid w:val="00E84356"/>
    <w:pPr>
      <w:jc w:val="center"/>
    </w:pPr>
    <w:rPr>
      <w:b/>
      <w:sz w:val="44"/>
    </w:rPr>
  </w:style>
  <w:style w:type="paragraph" w:styleId="Subtitle">
    <w:name w:val="Subtitle"/>
    <w:basedOn w:val="Normal"/>
    <w:next w:val="BodyText"/>
    <w:qFormat/>
    <w:rsid w:val="00E84356"/>
    <w:pPr>
      <w:jc w:val="center"/>
    </w:pPr>
    <w:rPr>
      <w:i/>
      <w:sz w:val="26"/>
    </w:rPr>
  </w:style>
  <w:style w:type="paragraph" w:customStyle="1" w:styleId="FootnoteText1">
    <w:name w:val="Footnote Text1"/>
    <w:basedOn w:val="Normal"/>
  </w:style>
  <w:style w:type="paragraph" w:styleId="Footer">
    <w:name w:val="footer"/>
    <w:basedOn w:val="Normal"/>
    <w:pPr>
      <w:suppressLineNumbers/>
    </w:pPr>
  </w:style>
  <w:style w:type="paragraph" w:customStyle="1" w:styleId="TableContents">
    <w:name w:val="Table Contents"/>
    <w:basedOn w:val="Normal"/>
    <w:pPr>
      <w:suppressLineNumbers/>
      <w:spacing w:line="100" w:lineRule="atLeast"/>
    </w:pPr>
  </w:style>
  <w:style w:type="paragraph" w:styleId="FootnoteText">
    <w:name w:val="footnote text"/>
    <w:basedOn w:val="Normal"/>
    <w:qFormat/>
    <w:rsid w:val="00E84356"/>
    <w:pPr>
      <w:suppressLineNumbers/>
      <w:spacing w:after="144" w:line="100" w:lineRule="atLeast"/>
    </w:pPr>
    <w:rPr>
      <w:sz w:val="18"/>
    </w:rPr>
  </w:style>
  <w:style w:type="paragraph" w:customStyle="1" w:styleId="Figure">
    <w:name w:val="Figure"/>
    <w:basedOn w:val="Caption"/>
    <w:pPr>
      <w:spacing w:line="100" w:lineRule="atLeast"/>
    </w:pPr>
  </w:style>
  <w:style w:type="paragraph" w:styleId="BodyTextFirstIndent">
    <w:name w:val="Body Text First Indent"/>
    <w:basedOn w:val="BodyText"/>
    <w:pPr>
      <w:spacing w:after="0"/>
      <w:ind w:firstLine="283"/>
    </w:pPr>
  </w:style>
  <w:style w:type="paragraph" w:styleId="Header">
    <w:name w:val="header"/>
    <w:basedOn w:val="Normal"/>
    <w:pPr>
      <w:suppressLineNumbers/>
    </w:pPr>
    <w:rPr>
      <w:rFonts w:ascii="Gill Sans" w:hAnsi="Gill Sans"/>
    </w:rPr>
  </w:style>
  <w:style w:type="paragraph" w:customStyle="1" w:styleId="Framecontents">
    <w:name w:val="Frame contents"/>
    <w:basedOn w:val="BodyText"/>
  </w:style>
  <w:style w:type="paragraph" w:customStyle="1" w:styleId="TableHeading">
    <w:name w:val="Table Heading"/>
    <w:basedOn w:val="TableContents"/>
    <w:pPr>
      <w:jc w:val="center"/>
    </w:pPr>
    <w:rPr>
      <w:b/>
      <w:bCs/>
    </w:rPr>
  </w:style>
  <w:style w:type="paragraph" w:customStyle="1" w:styleId="Table">
    <w:name w:val="Table"/>
    <w:basedOn w:val="Caption"/>
    <w:pPr>
      <w:spacing w:line="100" w:lineRule="atLeast"/>
    </w:pPr>
  </w:style>
  <w:style w:type="paragraph" w:customStyle="1" w:styleId="AbstractText">
    <w:name w:val="Abstract Text"/>
    <w:basedOn w:val="Normal"/>
    <w:pPr>
      <w:spacing w:line="100" w:lineRule="atLeast"/>
      <w:ind w:left="1080" w:right="1080"/>
      <w:jc w:val="both"/>
    </w:pPr>
  </w:style>
  <w:style w:type="paragraph" w:customStyle="1" w:styleId="AbstractLabel">
    <w:name w:val="Abstract Label"/>
    <w:basedOn w:val="AbstractText"/>
    <w:pPr>
      <w:spacing w:line="480" w:lineRule="auto"/>
      <w:jc w:val="center"/>
    </w:pPr>
  </w:style>
  <w:style w:type="paragraph" w:styleId="Quote">
    <w:name w:val="Quote"/>
    <w:basedOn w:val="Normal"/>
    <w:pPr>
      <w:ind w:left="1080" w:right="1080"/>
    </w:pPr>
  </w:style>
  <w:style w:type="paragraph" w:customStyle="1" w:styleId="HypothesisText">
    <w:name w:val="Hypothesis Text"/>
    <w:basedOn w:val="Normal"/>
    <w:pPr>
      <w:ind w:left="720" w:right="720"/>
    </w:pPr>
  </w:style>
  <w:style w:type="paragraph" w:customStyle="1" w:styleId="Quotations">
    <w:name w:val="Quotations"/>
    <w:basedOn w:val="Normal"/>
    <w:pPr>
      <w:spacing w:after="283"/>
      <w:ind w:left="567" w:right="567"/>
    </w:pPr>
  </w:style>
  <w:style w:type="paragraph" w:customStyle="1" w:styleId="Affiliation">
    <w:name w:val="Affiliation"/>
    <w:basedOn w:val="Normal"/>
    <w:pPr>
      <w:spacing w:line="100" w:lineRule="atLeast"/>
      <w:jc w:val="center"/>
    </w:pPr>
    <w:rPr>
      <w:sz w:val="21"/>
    </w:rPr>
  </w:style>
  <w:style w:type="paragraph" w:customStyle="1" w:styleId="References">
    <w:name w:val="References"/>
    <w:basedOn w:val="Normal"/>
    <w:qFormat/>
    <w:rsid w:val="003A5C39"/>
    <w:pPr>
      <w:spacing w:after="288" w:line="240" w:lineRule="auto"/>
      <w:ind w:left="720" w:hanging="720"/>
    </w:pPr>
  </w:style>
  <w:style w:type="paragraph" w:styleId="EndnoteText">
    <w:name w:val="endnote text"/>
    <w:basedOn w:val="Normal"/>
  </w:style>
  <w:style w:type="paragraph" w:styleId="TOCHeading">
    <w:name w:val="TOC Heading"/>
    <w:basedOn w:val="Heading1"/>
    <w:next w:val="Normal"/>
    <w:pPr>
      <w:keepNext/>
      <w:keepLines/>
      <w:suppressAutoHyphens w:val="0"/>
      <w:spacing w:before="480" w:line="276" w:lineRule="auto"/>
      <w:jc w:val="left"/>
    </w:pPr>
  </w:style>
  <w:style w:type="paragraph" w:styleId="TOC1">
    <w:name w:val="toc 1"/>
    <w:basedOn w:val="Normal"/>
    <w:next w:val="Normal"/>
    <w:pPr>
      <w:spacing w:before="240" w:after="120"/>
    </w:pPr>
  </w:style>
  <w:style w:type="paragraph" w:styleId="TOC2">
    <w:name w:val="toc 2"/>
    <w:basedOn w:val="Normal"/>
    <w:next w:val="Normal"/>
  </w:style>
  <w:style w:type="paragraph" w:styleId="TOC3">
    <w:name w:val="toc 3"/>
    <w:basedOn w:val="Normal"/>
    <w:next w:val="Normal"/>
  </w:style>
  <w:style w:type="paragraph" w:styleId="TOC4">
    <w:name w:val="toc 4"/>
    <w:basedOn w:val="Normal"/>
    <w:next w:val="Normal"/>
  </w:style>
  <w:style w:type="paragraph" w:styleId="TOC5">
    <w:name w:val="toc 5"/>
    <w:basedOn w:val="Normal"/>
    <w:next w:val="Normal"/>
  </w:style>
  <w:style w:type="paragraph" w:styleId="TOC6">
    <w:name w:val="toc 6"/>
    <w:basedOn w:val="Normal"/>
    <w:next w:val="Normal"/>
  </w:style>
  <w:style w:type="paragraph" w:styleId="TOC7">
    <w:name w:val="toc 7"/>
    <w:basedOn w:val="Normal"/>
    <w:next w:val="Normal"/>
  </w:style>
  <w:style w:type="paragraph" w:styleId="TOC8">
    <w:name w:val="toc 8"/>
    <w:basedOn w:val="Normal"/>
    <w:next w:val="Normal"/>
  </w:style>
  <w:style w:type="paragraph" w:styleId="TOC9">
    <w:name w:val="toc 9"/>
    <w:basedOn w:val="Normal"/>
    <w:next w:val="Normal"/>
  </w:style>
  <w:style w:type="paragraph" w:styleId="BalloonText">
    <w:name w:val="Balloon Text"/>
    <w:basedOn w:val="Normal"/>
    <w:pPr>
      <w:spacing w:line="240" w:lineRule="auto"/>
    </w:pPr>
  </w:style>
  <w:style w:type="paragraph" w:styleId="NormalWeb">
    <w:name w:val="Normal (Web)"/>
    <w:basedOn w:val="Normal"/>
    <w:uiPriority w:val="99"/>
    <w:pPr>
      <w:suppressAutoHyphens w:val="0"/>
      <w:spacing w:before="280" w:after="115" w:line="240" w:lineRule="auto"/>
    </w:pPr>
    <w:rPr>
      <w:rFonts w:ascii="Times" w:hAnsi="Times"/>
    </w:rPr>
  </w:style>
  <w:style w:type="table" w:styleId="TableGrid">
    <w:name w:val="Table Grid"/>
    <w:basedOn w:val="TableNormal"/>
    <w:uiPriority w:val="59"/>
    <w:rsid w:val="009907A4"/>
    <w:rPr>
      <w:rFonts w:asciiTheme="minorHAnsi" w:eastAsiaTheme="minorEastAsia" w:hAnsiTheme="minorHAnsi" w:cstheme="minorBid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rsid w:val="009907A4"/>
    <w:pPr>
      <w:ind w:left="720"/>
      <w:contextualSpacing/>
    </w:pPr>
    <w:rPr>
      <w:sz w:val="20"/>
    </w:rPr>
  </w:style>
  <w:style w:type="numbering" w:customStyle="1" w:styleId="AppendixHeadings">
    <w:name w:val="Appendix Headings"/>
    <w:uiPriority w:val="99"/>
    <w:rsid w:val="00265A4B"/>
    <w:pPr>
      <w:numPr>
        <w:numId w:val="15"/>
      </w:numPr>
    </w:pPr>
  </w:style>
  <w:style w:type="paragraph" w:customStyle="1" w:styleId="AppendixText">
    <w:name w:val="Appendix Text"/>
    <w:basedOn w:val="BodyText"/>
    <w:qFormat/>
    <w:rsid w:val="00496E4F"/>
    <w:pPr>
      <w:spacing w:line="240" w:lineRule="auto"/>
    </w:pPr>
    <w:rPr>
      <w:sz w:val="20"/>
    </w:rPr>
  </w:style>
  <w:style w:type="paragraph" w:customStyle="1" w:styleId="AppendixHeading1">
    <w:name w:val="Appendix Heading 1"/>
    <w:basedOn w:val="Heading1"/>
    <w:qFormat/>
    <w:rsid w:val="005B7ACA"/>
    <w:pPr>
      <w:numPr>
        <w:numId w:val="17"/>
      </w:numPr>
      <w:jc w:val="left"/>
    </w:pPr>
  </w:style>
  <w:style w:type="paragraph" w:customStyle="1" w:styleId="AppendixHeading2">
    <w:name w:val="Appendix Heading 2"/>
    <w:basedOn w:val="Heading2"/>
    <w:next w:val="AppendixText"/>
    <w:qFormat/>
    <w:rsid w:val="00265A4B"/>
    <w:pPr>
      <w:numPr>
        <w:numId w:val="17"/>
      </w:numPr>
    </w:pPr>
  </w:style>
  <w:style w:type="paragraph" w:styleId="Revision">
    <w:name w:val="Revision"/>
    <w:hidden/>
    <w:uiPriority w:val="99"/>
    <w:semiHidden/>
    <w:rsid w:val="00CE7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945376">
      <w:bodyDiv w:val="1"/>
      <w:marLeft w:val="0"/>
      <w:marRight w:val="0"/>
      <w:marTop w:val="0"/>
      <w:marBottom w:val="0"/>
      <w:divBdr>
        <w:top w:val="none" w:sz="0" w:space="0" w:color="auto"/>
        <w:left w:val="none" w:sz="0" w:space="0" w:color="auto"/>
        <w:bottom w:val="none" w:sz="0" w:space="0" w:color="auto"/>
        <w:right w:val="none" w:sz="0" w:space="0" w:color="auto"/>
      </w:divBdr>
    </w:div>
    <w:div w:id="327632042">
      <w:bodyDiv w:val="1"/>
      <w:marLeft w:val="0"/>
      <w:marRight w:val="0"/>
      <w:marTop w:val="0"/>
      <w:marBottom w:val="0"/>
      <w:divBdr>
        <w:top w:val="none" w:sz="0" w:space="0" w:color="auto"/>
        <w:left w:val="none" w:sz="0" w:space="0" w:color="auto"/>
        <w:bottom w:val="none" w:sz="0" w:space="0" w:color="auto"/>
        <w:right w:val="none" w:sz="0" w:space="0" w:color="auto"/>
      </w:divBdr>
    </w:div>
    <w:div w:id="349719342">
      <w:bodyDiv w:val="1"/>
      <w:marLeft w:val="0"/>
      <w:marRight w:val="0"/>
      <w:marTop w:val="0"/>
      <w:marBottom w:val="0"/>
      <w:divBdr>
        <w:top w:val="none" w:sz="0" w:space="0" w:color="auto"/>
        <w:left w:val="none" w:sz="0" w:space="0" w:color="auto"/>
        <w:bottom w:val="none" w:sz="0" w:space="0" w:color="auto"/>
        <w:right w:val="none" w:sz="0" w:space="0" w:color="auto"/>
      </w:divBdr>
    </w:div>
    <w:div w:id="428425566">
      <w:bodyDiv w:val="1"/>
      <w:marLeft w:val="0"/>
      <w:marRight w:val="0"/>
      <w:marTop w:val="0"/>
      <w:marBottom w:val="0"/>
      <w:divBdr>
        <w:top w:val="none" w:sz="0" w:space="0" w:color="auto"/>
        <w:left w:val="none" w:sz="0" w:space="0" w:color="auto"/>
        <w:bottom w:val="none" w:sz="0" w:space="0" w:color="auto"/>
        <w:right w:val="none" w:sz="0" w:space="0" w:color="auto"/>
      </w:divBdr>
    </w:div>
    <w:div w:id="436027781">
      <w:bodyDiv w:val="1"/>
      <w:marLeft w:val="0"/>
      <w:marRight w:val="0"/>
      <w:marTop w:val="0"/>
      <w:marBottom w:val="0"/>
      <w:divBdr>
        <w:top w:val="none" w:sz="0" w:space="0" w:color="auto"/>
        <w:left w:val="none" w:sz="0" w:space="0" w:color="auto"/>
        <w:bottom w:val="none" w:sz="0" w:space="0" w:color="auto"/>
        <w:right w:val="none" w:sz="0" w:space="0" w:color="auto"/>
      </w:divBdr>
    </w:div>
    <w:div w:id="521020584">
      <w:bodyDiv w:val="1"/>
      <w:marLeft w:val="0"/>
      <w:marRight w:val="0"/>
      <w:marTop w:val="0"/>
      <w:marBottom w:val="0"/>
      <w:divBdr>
        <w:top w:val="none" w:sz="0" w:space="0" w:color="auto"/>
        <w:left w:val="none" w:sz="0" w:space="0" w:color="auto"/>
        <w:bottom w:val="none" w:sz="0" w:space="0" w:color="auto"/>
        <w:right w:val="none" w:sz="0" w:space="0" w:color="auto"/>
      </w:divBdr>
    </w:div>
    <w:div w:id="590549826">
      <w:bodyDiv w:val="1"/>
      <w:marLeft w:val="0"/>
      <w:marRight w:val="0"/>
      <w:marTop w:val="0"/>
      <w:marBottom w:val="0"/>
      <w:divBdr>
        <w:top w:val="none" w:sz="0" w:space="0" w:color="auto"/>
        <w:left w:val="none" w:sz="0" w:space="0" w:color="auto"/>
        <w:bottom w:val="none" w:sz="0" w:space="0" w:color="auto"/>
        <w:right w:val="none" w:sz="0" w:space="0" w:color="auto"/>
      </w:divBdr>
    </w:div>
    <w:div w:id="641008661">
      <w:bodyDiv w:val="1"/>
      <w:marLeft w:val="0"/>
      <w:marRight w:val="0"/>
      <w:marTop w:val="0"/>
      <w:marBottom w:val="0"/>
      <w:divBdr>
        <w:top w:val="none" w:sz="0" w:space="0" w:color="auto"/>
        <w:left w:val="none" w:sz="0" w:space="0" w:color="auto"/>
        <w:bottom w:val="none" w:sz="0" w:space="0" w:color="auto"/>
        <w:right w:val="none" w:sz="0" w:space="0" w:color="auto"/>
      </w:divBdr>
    </w:div>
    <w:div w:id="651912754">
      <w:bodyDiv w:val="1"/>
      <w:marLeft w:val="0"/>
      <w:marRight w:val="0"/>
      <w:marTop w:val="0"/>
      <w:marBottom w:val="0"/>
      <w:divBdr>
        <w:top w:val="none" w:sz="0" w:space="0" w:color="auto"/>
        <w:left w:val="none" w:sz="0" w:space="0" w:color="auto"/>
        <w:bottom w:val="none" w:sz="0" w:space="0" w:color="auto"/>
        <w:right w:val="none" w:sz="0" w:space="0" w:color="auto"/>
      </w:divBdr>
    </w:div>
    <w:div w:id="718936621">
      <w:bodyDiv w:val="1"/>
      <w:marLeft w:val="0"/>
      <w:marRight w:val="0"/>
      <w:marTop w:val="0"/>
      <w:marBottom w:val="0"/>
      <w:divBdr>
        <w:top w:val="none" w:sz="0" w:space="0" w:color="auto"/>
        <w:left w:val="none" w:sz="0" w:space="0" w:color="auto"/>
        <w:bottom w:val="none" w:sz="0" w:space="0" w:color="auto"/>
        <w:right w:val="none" w:sz="0" w:space="0" w:color="auto"/>
      </w:divBdr>
    </w:div>
    <w:div w:id="797798656">
      <w:bodyDiv w:val="1"/>
      <w:marLeft w:val="0"/>
      <w:marRight w:val="0"/>
      <w:marTop w:val="0"/>
      <w:marBottom w:val="0"/>
      <w:divBdr>
        <w:top w:val="none" w:sz="0" w:space="0" w:color="auto"/>
        <w:left w:val="none" w:sz="0" w:space="0" w:color="auto"/>
        <w:bottom w:val="none" w:sz="0" w:space="0" w:color="auto"/>
        <w:right w:val="none" w:sz="0" w:space="0" w:color="auto"/>
      </w:divBdr>
    </w:div>
    <w:div w:id="838617130">
      <w:bodyDiv w:val="1"/>
      <w:marLeft w:val="0"/>
      <w:marRight w:val="0"/>
      <w:marTop w:val="0"/>
      <w:marBottom w:val="0"/>
      <w:divBdr>
        <w:top w:val="none" w:sz="0" w:space="0" w:color="auto"/>
        <w:left w:val="none" w:sz="0" w:space="0" w:color="auto"/>
        <w:bottom w:val="none" w:sz="0" w:space="0" w:color="auto"/>
        <w:right w:val="none" w:sz="0" w:space="0" w:color="auto"/>
      </w:divBdr>
    </w:div>
    <w:div w:id="854999635">
      <w:bodyDiv w:val="1"/>
      <w:marLeft w:val="0"/>
      <w:marRight w:val="0"/>
      <w:marTop w:val="0"/>
      <w:marBottom w:val="0"/>
      <w:divBdr>
        <w:top w:val="none" w:sz="0" w:space="0" w:color="auto"/>
        <w:left w:val="none" w:sz="0" w:space="0" w:color="auto"/>
        <w:bottom w:val="none" w:sz="0" w:space="0" w:color="auto"/>
        <w:right w:val="none" w:sz="0" w:space="0" w:color="auto"/>
      </w:divBdr>
    </w:div>
    <w:div w:id="877665019">
      <w:bodyDiv w:val="1"/>
      <w:marLeft w:val="0"/>
      <w:marRight w:val="0"/>
      <w:marTop w:val="0"/>
      <w:marBottom w:val="0"/>
      <w:divBdr>
        <w:top w:val="none" w:sz="0" w:space="0" w:color="auto"/>
        <w:left w:val="none" w:sz="0" w:space="0" w:color="auto"/>
        <w:bottom w:val="none" w:sz="0" w:space="0" w:color="auto"/>
        <w:right w:val="none" w:sz="0" w:space="0" w:color="auto"/>
      </w:divBdr>
    </w:div>
    <w:div w:id="955911330">
      <w:bodyDiv w:val="1"/>
      <w:marLeft w:val="0"/>
      <w:marRight w:val="0"/>
      <w:marTop w:val="0"/>
      <w:marBottom w:val="0"/>
      <w:divBdr>
        <w:top w:val="none" w:sz="0" w:space="0" w:color="auto"/>
        <w:left w:val="none" w:sz="0" w:space="0" w:color="auto"/>
        <w:bottom w:val="none" w:sz="0" w:space="0" w:color="auto"/>
        <w:right w:val="none" w:sz="0" w:space="0" w:color="auto"/>
      </w:divBdr>
    </w:div>
    <w:div w:id="971714992">
      <w:bodyDiv w:val="1"/>
      <w:marLeft w:val="0"/>
      <w:marRight w:val="0"/>
      <w:marTop w:val="0"/>
      <w:marBottom w:val="0"/>
      <w:divBdr>
        <w:top w:val="none" w:sz="0" w:space="0" w:color="auto"/>
        <w:left w:val="none" w:sz="0" w:space="0" w:color="auto"/>
        <w:bottom w:val="none" w:sz="0" w:space="0" w:color="auto"/>
        <w:right w:val="none" w:sz="0" w:space="0" w:color="auto"/>
      </w:divBdr>
    </w:div>
    <w:div w:id="978263949">
      <w:bodyDiv w:val="1"/>
      <w:marLeft w:val="0"/>
      <w:marRight w:val="0"/>
      <w:marTop w:val="0"/>
      <w:marBottom w:val="0"/>
      <w:divBdr>
        <w:top w:val="none" w:sz="0" w:space="0" w:color="auto"/>
        <w:left w:val="none" w:sz="0" w:space="0" w:color="auto"/>
        <w:bottom w:val="none" w:sz="0" w:space="0" w:color="auto"/>
        <w:right w:val="none" w:sz="0" w:space="0" w:color="auto"/>
      </w:divBdr>
    </w:div>
    <w:div w:id="1150365388">
      <w:bodyDiv w:val="1"/>
      <w:marLeft w:val="0"/>
      <w:marRight w:val="0"/>
      <w:marTop w:val="0"/>
      <w:marBottom w:val="0"/>
      <w:divBdr>
        <w:top w:val="none" w:sz="0" w:space="0" w:color="auto"/>
        <w:left w:val="none" w:sz="0" w:space="0" w:color="auto"/>
        <w:bottom w:val="none" w:sz="0" w:space="0" w:color="auto"/>
        <w:right w:val="none" w:sz="0" w:space="0" w:color="auto"/>
      </w:divBdr>
    </w:div>
    <w:div w:id="1209487900">
      <w:bodyDiv w:val="1"/>
      <w:marLeft w:val="0"/>
      <w:marRight w:val="0"/>
      <w:marTop w:val="0"/>
      <w:marBottom w:val="0"/>
      <w:divBdr>
        <w:top w:val="none" w:sz="0" w:space="0" w:color="auto"/>
        <w:left w:val="none" w:sz="0" w:space="0" w:color="auto"/>
        <w:bottom w:val="none" w:sz="0" w:space="0" w:color="auto"/>
        <w:right w:val="none" w:sz="0" w:space="0" w:color="auto"/>
      </w:divBdr>
    </w:div>
    <w:div w:id="1286962729">
      <w:bodyDiv w:val="1"/>
      <w:marLeft w:val="0"/>
      <w:marRight w:val="0"/>
      <w:marTop w:val="0"/>
      <w:marBottom w:val="0"/>
      <w:divBdr>
        <w:top w:val="none" w:sz="0" w:space="0" w:color="auto"/>
        <w:left w:val="none" w:sz="0" w:space="0" w:color="auto"/>
        <w:bottom w:val="none" w:sz="0" w:space="0" w:color="auto"/>
        <w:right w:val="none" w:sz="0" w:space="0" w:color="auto"/>
      </w:divBdr>
    </w:div>
    <w:div w:id="1354846259">
      <w:bodyDiv w:val="1"/>
      <w:marLeft w:val="0"/>
      <w:marRight w:val="0"/>
      <w:marTop w:val="0"/>
      <w:marBottom w:val="0"/>
      <w:divBdr>
        <w:top w:val="none" w:sz="0" w:space="0" w:color="auto"/>
        <w:left w:val="none" w:sz="0" w:space="0" w:color="auto"/>
        <w:bottom w:val="none" w:sz="0" w:space="0" w:color="auto"/>
        <w:right w:val="none" w:sz="0" w:space="0" w:color="auto"/>
      </w:divBdr>
    </w:div>
    <w:div w:id="1357347822">
      <w:bodyDiv w:val="1"/>
      <w:marLeft w:val="0"/>
      <w:marRight w:val="0"/>
      <w:marTop w:val="0"/>
      <w:marBottom w:val="0"/>
      <w:divBdr>
        <w:top w:val="none" w:sz="0" w:space="0" w:color="auto"/>
        <w:left w:val="none" w:sz="0" w:space="0" w:color="auto"/>
        <w:bottom w:val="none" w:sz="0" w:space="0" w:color="auto"/>
        <w:right w:val="none" w:sz="0" w:space="0" w:color="auto"/>
      </w:divBdr>
    </w:div>
    <w:div w:id="1463495158">
      <w:bodyDiv w:val="1"/>
      <w:marLeft w:val="0"/>
      <w:marRight w:val="0"/>
      <w:marTop w:val="0"/>
      <w:marBottom w:val="0"/>
      <w:divBdr>
        <w:top w:val="none" w:sz="0" w:space="0" w:color="auto"/>
        <w:left w:val="none" w:sz="0" w:space="0" w:color="auto"/>
        <w:bottom w:val="none" w:sz="0" w:space="0" w:color="auto"/>
        <w:right w:val="none" w:sz="0" w:space="0" w:color="auto"/>
      </w:divBdr>
    </w:div>
    <w:div w:id="1649699574">
      <w:bodyDiv w:val="1"/>
      <w:marLeft w:val="0"/>
      <w:marRight w:val="0"/>
      <w:marTop w:val="0"/>
      <w:marBottom w:val="0"/>
      <w:divBdr>
        <w:top w:val="none" w:sz="0" w:space="0" w:color="auto"/>
        <w:left w:val="none" w:sz="0" w:space="0" w:color="auto"/>
        <w:bottom w:val="none" w:sz="0" w:space="0" w:color="auto"/>
        <w:right w:val="none" w:sz="0" w:space="0" w:color="auto"/>
      </w:divBdr>
    </w:div>
    <w:div w:id="1943880088">
      <w:bodyDiv w:val="1"/>
      <w:marLeft w:val="0"/>
      <w:marRight w:val="0"/>
      <w:marTop w:val="0"/>
      <w:marBottom w:val="0"/>
      <w:divBdr>
        <w:top w:val="none" w:sz="0" w:space="0" w:color="auto"/>
        <w:left w:val="none" w:sz="0" w:space="0" w:color="auto"/>
        <w:bottom w:val="none" w:sz="0" w:space="0" w:color="auto"/>
        <w:right w:val="none" w:sz="0" w:space="0" w:color="auto"/>
      </w:divBdr>
    </w:div>
    <w:div w:id="2100758984">
      <w:bodyDiv w:val="1"/>
      <w:marLeft w:val="0"/>
      <w:marRight w:val="0"/>
      <w:marTop w:val="0"/>
      <w:marBottom w:val="0"/>
      <w:divBdr>
        <w:top w:val="none" w:sz="0" w:space="0" w:color="auto"/>
        <w:left w:val="none" w:sz="0" w:space="0" w:color="auto"/>
        <w:bottom w:val="none" w:sz="0" w:space="0" w:color="auto"/>
        <w:right w:val="none" w:sz="0" w:space="0" w:color="auto"/>
      </w:divBdr>
    </w:div>
    <w:div w:id="2108502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27B17-FF1D-E047-9CFD-E04200555159}">
  <ds:schemaRefs>
    <ds:schemaRef ds:uri="http://schemas.openxmlformats.org/officeDocument/2006/bibliography"/>
  </ds:schemaRefs>
</ds:datastoreItem>
</file>

<file path=customXml/itemProps2.xml><?xml version="1.0" encoding="utf-8"?>
<ds:datastoreItem xmlns:ds="http://schemas.openxmlformats.org/officeDocument/2006/customXml" ds:itemID="{9697D9CE-9EF7-044D-BA26-348BBACF0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2088</Words>
  <Characters>11908</Characters>
  <Application>Microsoft Macintosh Word</Application>
  <DocSecurity>0</DocSecurity>
  <Lines>99</Lines>
  <Paragraphs>27</Paragraphs>
  <ScaleCrop>false</ScaleCrop>
  <Company/>
  <LinksUpToDate>false</LinksUpToDate>
  <CharactersWithSpaces>13969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J Barrilleaux</dc:creator>
  <cp:keywords/>
  <dc:description/>
  <cp:lastModifiedBy>Meredith</cp:lastModifiedBy>
  <cp:revision>5</cp:revision>
  <cp:lastPrinted>2014-05-14T21:20:00Z</cp:lastPrinted>
  <dcterms:created xsi:type="dcterms:W3CDTF">2014-05-29T23:08:00Z</dcterms:created>
  <dcterms:modified xsi:type="dcterms:W3CDTF">2014-05-30T01:17:00Z</dcterms:modified>
</cp:coreProperties>
</file>