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Schema-Aware Prompt Engineering for Text-to-SQL in Analytical Databases:</w:t>
      </w:r>
    </w:p>
    <w:p>
      <w:pPr>
        <w:spacing w:after="400"/>
        <w:jc w:val="center"/>
      </w:pPr>
      <w:r>
        <w:rPr>
          <w:b/>
          <w:bCs/>
          <w:sz w:val="36"/>
          <w:szCs w:val="36"/>
        </w:rPr>
        <w:t xml:space="preserve">A Systematic Evaluation Study</w:t>
      </w:r>
    </w:p>
    <w:p>
      <w:pPr>
        <w:spacing w:after="100"/>
        <w:jc w:val="center"/>
      </w:pPr>
      <w:r>
        <w:rPr>
          <w:sz w:val="24"/>
          <w:szCs w:val="24"/>
        </w:rPr>
        <w:t xml:space="preserve">Sahith Vibudhi</w:t>
      </w:r>
      <w:r>
        <w:rPr>
          <w:sz w:val="24"/>
          <w:szCs w:val="24"/>
        </w:rPr>
        <w:tab/>
        <w:tab/>
        <w:t xml:space="preserve">Krishna Chaitanya Balusu</w:t>
      </w:r>
    </w:p>
    <w:p>
      <w:pPr>
        <w:spacing w:after="200"/>
        <w:jc w:val="center"/>
      </w:pPr>
      <w:r>
        <w:rPr>
          <w:sz w:val="20"/>
          <w:szCs w:val="20"/>
        </w:rPr>
        <w:t xml:space="preserve">v.sahithkumar@gmail.com</w:t>
      </w:r>
      <w:r>
        <w:rPr>
          <w:sz w:val="20"/>
          <w:szCs w:val="20"/>
        </w:rPr>
        <w:tab/>
        <w:tab/>
        <w:t xml:space="preserve">krishnabkc15@gmail.com</w:t>
      </w:r>
    </w:p>
    <w:p>
      <w:pPr>
        <w:spacing w:after="100"/>
        <w:jc w:val="center"/>
      </w:pPr>
      <w:r>
        <w:rPr>
          <w:i/>
          <w:iCs/>
          <w:sz w:val="22"/>
          <w:szCs w:val="22"/>
        </w:rPr>
        <w:t xml:space="preserve">Independent Researchers</w:t>
      </w:r>
    </w:p>
    <w:p>
      <w:pPr>
        <w:spacing w:after="600"/>
        <w:jc w:val="center"/>
      </w:pPr>
      <w:r>
        <w:rPr>
          <w:sz w:val="22"/>
          <w:szCs w:val="22"/>
        </w:rPr>
        <w:t xml:space="preserve">San Francisco, California, USA</w:t>
      </w:r>
    </w:p>
    <w:p>
      <w:pPr>
        <w:pStyle w:val="Heading1"/>
      </w:pPr>
      <w:r>
        <w:t xml:space="preserve">Abstract</w:t>
      </w:r>
    </w:p>
    <w:p>
      <w:pPr>
        <w:spacing w:after="200"/>
      </w:pPr>
      <w:r>
        <w:rPr>
          <w:sz w:val="24"/>
          <w:szCs w:val="24"/>
        </w:rPr>
        <w:t xml:space="preserve">Large Language Models (LLMs) have emerged as a promising approach for Text-to-SQL tasks, enabling natural language interfaces to databases. However, the effectiveness of LLM-based SQL generation heavily depends on how database schema information is presented in the prompt. While existing research has explored prompt engineering for Text-to-SQL on transactional databases (OLTP), there remains a significant gap in understanding optimal strategies for analytical databases (OLAP) such as ClickHouse, which feature distinct query patterns, large schemas, and dialect-specific syntax.</w:t>
      </w:r>
    </w:p>
    <w:p>
      <w:pPr>
        <w:spacing w:after="200"/>
      </w:pPr>
      <w:r>
        <w:rPr>
          <w:sz w:val="24"/>
          <w:szCs w:val="24"/>
        </w:rPr>
        <w:t xml:space="preserve">This paper presents a systematic evaluation of schema-aware prompt engineering strategies for Text-to-SQL generation targeting ClickHouse, a popular open-source columnar database. We investigate four key dimensions: (1) schema representation formats (CREATE TABLE, Markdown, JSON, natural language), (2) schema scope strategies (full vs. relevant subset vs. progressive), (3) metadata enrichment (column descriptions, sample values, statistics, constraints), and (4) example selection methods (zero-shot, static few-shot, dynamic few-shot).</w:t>
      </w:r>
    </w:p>
    <w:p>
      <w:pPr>
        <w:spacing w:after="400"/>
      </w:pPr>
      <w:r>
        <w:rPr>
          <w:sz w:val="24"/>
          <w:szCs w:val="24"/>
        </w:rPr>
        <w:t xml:space="preserve">Through experiments on a novel ClickHouse-specific benchmark comprising 150 natural language queries across six complexity categories, we evaluate multiple LLMs including GPT-4o, Claude 3.5 Sonnet, and open-source alternatives. Our findings reveal that (1) CREATE TABLE format achieves highest accuracy for simple queries while Markdown with descriptions excels for complex analytical queries, (2) progressive schema expansion outperforms full schema inclusion by 18% on large databases, (3) sample value inclusion improves filtering accuracy by 23%, and (4) ClickHouse-specific examples are essential for dialect-correct generation. We provide actionable guidelines for building AI-assisted database clients and release our benchmark and evaluation framework as open-source artifacts.</w:t>
      </w:r>
    </w:p>
    <w:p>
      <w:pPr>
        <w:spacing w:after="400"/>
      </w:pPr>
      <w:r>
        <w:rPr>
          <w:b/>
          <w:bCs/>
          <w:sz w:val="24"/>
          <w:szCs w:val="24"/>
        </w:rPr>
        <w:t xml:space="preserve">Keywords: </w:t>
      </w:r>
      <w:r>
        <w:rPr>
          <w:sz w:val="24"/>
          <w:szCs w:val="24"/>
        </w:rPr>
        <w:t xml:space="preserve">Text-to-SQL, Large Language Models, Prompt Engineering, Schema Linking, ClickHouse, OLAP, Database Interfaces</w:t>
      </w:r>
    </w:p>
    <w:p>
      <w:r>
        <w:br w:type="page"/>
      </w:r>
    </w:p>
    <w:p>
      <w:pPr>
        <w:pStyle w:val="Heading1"/>
      </w:pPr>
      <w:r>
        <w:t xml:space="preserve">1. Introduction</w:t>
      </w:r>
    </w:p>
    <w:p>
      <w:pPr>
        <w:spacing w:after="200"/>
      </w:pPr>
      <w:r>
        <w:rPr>
          <w:sz w:val="24"/>
          <w:szCs w:val="24"/>
        </w:rPr>
        <w:t xml:space="preserve">The emergence of Large Language Models (LLMs) has transformed the landscape of Text-to-SQL systems, enabling users to interact with databases using natural language queries. Recent approaches leveraging GPT-4 and similar models have achieved remarkable results on benchmarks like Spider, with execution accuracy exceeding 85%. However, these successes primarily target transactional databases (OLTP) with relatively simple schemas and standard SQL dialects.</w:t>
      </w:r>
    </w:p>
    <w:p>
      <w:pPr>
        <w:spacing w:after="200"/>
      </w:pPr>
      <w:r>
        <w:rPr>
          <w:sz w:val="24"/>
          <w:szCs w:val="24"/>
        </w:rPr>
        <w:t xml:space="preserve">Analytical databases (OLAP) present unique challenges that existing research has not adequately addressed. Systems like ClickHouse, DuckDB, and Snowflake feature columnar storage optimized for aggregation queries, specialized functions for time-series analysis, and SQL dialect variations that generic LLM prompting strategies fail to capture. Furthermore, production OLAP deployments often involve schemas with hundreds of columns, requiring careful consideration of which schema elements to include in context-limited prompts.</w:t>
      </w:r>
    </w:p>
    <w:p>
      <w:pPr>
        <w:spacing w:after="200"/>
      </w:pPr>
      <w:r>
        <w:rPr>
          <w:sz w:val="24"/>
          <w:szCs w:val="24"/>
        </w:rPr>
        <w:t xml:space="preserve">A critical yet underexplored aspect of LLM-based Text-to-SQL is prompt engineering for schema presentation. When a user asks "Show me the top 10 customers by revenue last month," the LLM must understand the database structure: which tables exist, what columns are available, their data types, relationships, and any database-specific syntax requirements. The effectiveness of SQL generation depends heavily on how this schema information is communicated through the prompt.</w:t>
      </w:r>
    </w:p>
    <w:p>
      <w:pPr>
        <w:spacing w:after="400"/>
      </w:pPr>
      <w:r>
        <w:rPr>
          <w:sz w:val="24"/>
          <w:szCs w:val="24"/>
        </w:rPr>
        <w:t xml:space="preserve">In this paper, we present a systematic study of schema-aware prompt engineering for Text-to-SQL targeting ClickHouse, investigating multiple dimensions of prompt design. Our contributions include:</w:t>
      </w:r>
    </w:p>
    <w:p>
      <w:pPr>
        <w:pStyle w:val="ListParagraph"/>
        <w:numPr>
          <w:ilvl w:val="0"/>
          <w:numId w:val="2"/>
        </w:numPr>
        <w:spacing w:after="100"/>
      </w:pPr>
      <w:r>
        <w:rPr>
          <w:sz w:val="24"/>
          <w:szCs w:val="24"/>
        </w:rPr>
        <w:t xml:space="preserve">A comprehensive taxonomy of schema representation strategies, including format variations, scope selection methods, metadata enrichment options, and example inclusion approaches.</w:t>
      </w:r>
    </w:p>
    <w:p>
      <w:pPr>
        <w:pStyle w:val="ListParagraph"/>
        <w:numPr>
          <w:ilvl w:val="0"/>
          <w:numId w:val="2"/>
        </w:numPr>
        <w:spacing w:after="100"/>
      </w:pPr>
      <w:r>
        <w:rPr>
          <w:sz w:val="24"/>
          <w:szCs w:val="24"/>
        </w:rPr>
        <w:t xml:space="preserve">A novel benchmark of 150 ClickHouse-specific natural language queries spanning six complexity categories, from simple SELECT statements to advanced time-series analytics.</w:t>
      </w:r>
    </w:p>
    <w:p>
      <w:pPr>
        <w:pStyle w:val="ListParagraph"/>
        <w:numPr>
          <w:ilvl w:val="0"/>
          <w:numId w:val="2"/>
        </w:numPr>
        <w:spacing w:after="100"/>
      </w:pPr>
      <w:r>
        <w:rPr>
          <w:sz w:val="24"/>
          <w:szCs w:val="24"/>
        </w:rPr>
        <w:t xml:space="preserve">Empirical evaluation of prompt strategies across multiple LLMs, measuring execution accuracy, result correctness, token efficiency, and schema linking precision.</w:t>
      </w:r>
    </w:p>
    <w:p>
      <w:pPr>
        <w:pStyle w:val="ListParagraph"/>
        <w:numPr>
          <w:ilvl w:val="0"/>
          <w:numId w:val="2"/>
        </w:numPr>
        <w:spacing w:after="400"/>
      </w:pPr>
      <w:r>
        <w:rPr>
          <w:sz w:val="24"/>
          <w:szCs w:val="24"/>
        </w:rPr>
        <w:t xml:space="preserve">Actionable guidelines for practitioners building AI-assisted database clients, along with open-source release of our benchmark and evaluation framework.</w:t>
      </w:r>
    </w:p>
    <w:p>
      <w:r>
        <w:br w:type="page"/>
      </w:r>
    </w:p>
    <w:p>
      <w:pPr>
        <w:pStyle w:val="Heading1"/>
      </w:pPr>
      <w:r>
        <w:t xml:space="preserve">2. Background and Motivation</w:t>
      </w:r>
    </w:p>
    <w:p>
      <w:pPr>
        <w:pStyle w:val="Heading2"/>
      </w:pPr>
      <w:r>
        <w:t xml:space="preserve">2.1 Text-to-SQL with Large Language Models</w:t>
      </w:r>
    </w:p>
    <w:p>
      <w:pPr>
        <w:spacing w:after="200"/>
      </w:pPr>
      <w:r>
        <w:rPr>
          <w:sz w:val="24"/>
          <w:szCs w:val="24"/>
        </w:rPr>
        <w:t xml:space="preserve">Text-to-SQL systems translate natural language queries into executable SQL statements. Traditional approaches relied on semantic parsing and rule-based methods, but the advent of LLMs has shifted focus toward prompt engineering strategies that leverage the models' pre-trained knowledge of SQL syntax and database concepts.</w:t>
      </w:r>
    </w:p>
    <w:p>
      <w:pPr>
        <w:spacing w:after="400"/>
      </w:pPr>
      <w:r>
        <w:rPr>
          <w:sz w:val="24"/>
          <w:szCs w:val="24"/>
        </w:rPr>
        <w:t xml:space="preserve">Recent work such as DAIL-SQL demonstrated that careful prompt design can achieve state-of-the-art results on Spider benchmark. Key factors include question representation, example selection, and schema presentation. However, these studies predominantly target SQLite and PostgreSQL with schemas averaging 5-10 tables, leaving OLAP systems with larger schemas and specialized syntax underexplored.</w:t>
      </w:r>
    </w:p>
    <w:p>
      <w:pPr>
        <w:pStyle w:val="Heading2"/>
      </w:pPr>
      <w:r>
        <w:t xml:space="preserve">2.2 ClickHouse and OLAP Characteristics</w:t>
      </w:r>
    </w:p>
    <w:p>
      <w:pPr>
        <w:spacing w:after="200"/>
      </w:pPr>
      <w:r>
        <w:rPr>
          <w:sz w:val="24"/>
          <w:szCs w:val="24"/>
        </w:rPr>
        <w:t xml:space="preserve">ClickHouse is an open-source columnar database designed for real-time analytical queries. It powers observability platforms, user analytics systems, and time-series applications at companies including Uber, Cloudflare, and eBay. ClickHouse introduces several characteristics that challenge standard Text-to-SQL approaches:</w:t>
      </w:r>
    </w:p>
    <w:p>
      <w:pPr>
        <w:pStyle w:val="ListParagraph"/>
        <w:numPr>
          <w:ilvl w:val="0"/>
          <w:numId w:val="3"/>
        </w:numPr>
        <w:spacing w:after="100"/>
      </w:pPr>
      <w:r>
        <w:rPr>
          <w:sz w:val="24"/>
          <w:szCs w:val="24"/>
        </w:rPr>
        <w:t xml:space="preserve">Specialized aggregate functions: argMax(), argMin(), groupArray(), quantile()</w:t>
      </w:r>
    </w:p>
    <w:p>
      <w:pPr>
        <w:pStyle w:val="ListParagraph"/>
        <w:numPr>
          <w:ilvl w:val="0"/>
          <w:numId w:val="3"/>
        </w:numPr>
        <w:spacing w:after="100"/>
      </w:pPr>
      <w:r>
        <w:rPr>
          <w:sz w:val="24"/>
          <w:szCs w:val="24"/>
        </w:rPr>
        <w:t xml:space="preserve">Time-series functions: toStartOfMonth(), toStartOfWeek(), dateDiff()</w:t>
      </w:r>
    </w:p>
    <w:p>
      <w:pPr>
        <w:pStyle w:val="ListParagraph"/>
        <w:numPr>
          <w:ilvl w:val="0"/>
          <w:numId w:val="3"/>
        </w:numPr>
        <w:spacing w:after="100"/>
      </w:pPr>
      <w:r>
        <w:rPr>
          <w:sz w:val="24"/>
          <w:szCs w:val="24"/>
        </w:rPr>
        <w:t xml:space="preserve">Array and nested data types: Array(String), Nested structures</w:t>
      </w:r>
    </w:p>
    <w:p>
      <w:pPr>
        <w:pStyle w:val="ListParagraph"/>
        <w:numPr>
          <w:ilvl w:val="0"/>
          <w:numId w:val="3"/>
        </w:numPr>
        <w:spacing w:after="100"/>
      </w:pPr>
      <w:r>
        <w:rPr>
          <w:sz w:val="24"/>
          <w:szCs w:val="24"/>
        </w:rPr>
        <w:t xml:space="preserve">Engine-specific behaviors: MergeTree ordering, materialized views</w:t>
      </w:r>
    </w:p>
    <w:p>
      <w:pPr>
        <w:pStyle w:val="ListParagraph"/>
        <w:numPr>
          <w:ilvl w:val="0"/>
          <w:numId w:val="3"/>
        </w:numPr>
        <w:spacing w:after="400"/>
      </w:pPr>
      <w:r>
        <w:rPr>
          <w:sz w:val="24"/>
          <w:szCs w:val="24"/>
        </w:rPr>
        <w:t xml:space="preserve">Large schemas: Production deployments often exceed 100 columns per table</w:t>
      </w:r>
    </w:p>
    <w:p>
      <w:pPr>
        <w:pStyle w:val="Heading2"/>
      </w:pPr>
      <w:r>
        <w:t xml:space="preserve">2.3 Research Gap and Motivation</w:t>
      </w:r>
    </w:p>
    <w:p>
      <w:pPr>
        <w:spacing w:after="400"/>
      </w:pPr>
      <w:r>
        <w:rPr>
          <w:sz w:val="24"/>
          <w:szCs w:val="24"/>
        </w:rPr>
        <w:t xml:space="preserve">While benchmarks like Spider and BIRD have driven progress in Text-to-SQL research, they do not capture OLAP-specific challenges. No systematic study has evaluated schema presentation strategies for analytical databases. Our work addresses this gap by focusing specifically on ClickHouse, providing insights transferable to other OLAP systems.</w:t>
      </w:r>
    </w:p>
    <w:p>
      <w:r>
        <w:br w:type="page"/>
      </w:r>
    </w:p>
    <w:p>
      <w:pPr>
        <w:pStyle w:val="Heading1"/>
      </w:pPr>
      <w:r>
        <w:t xml:space="preserve">3. Methodology</w:t>
      </w:r>
    </w:p>
    <w:p>
      <w:pPr>
        <w:spacing w:after="400"/>
      </w:pPr>
      <w:r>
        <w:rPr>
          <w:sz w:val="24"/>
          <w:szCs w:val="24"/>
        </w:rPr>
        <w:t xml:space="preserve">We investigate four dimensions of schema-aware prompt engineering, each with multiple strategy variations. This section details our experimental design.</w:t>
      </w:r>
    </w:p>
    <w:p>
      <w:pPr>
        <w:pStyle w:val="Heading2"/>
      </w:pPr>
      <w:r>
        <w:t xml:space="preserve">3.1 Schema Representation Formats</w:t>
      </w:r>
    </w:p>
    <w:p>
      <w:pPr>
        <w:spacing w:after="200"/>
      </w:pPr>
      <w:r>
        <w:rPr>
          <w:sz w:val="24"/>
          <w:szCs w:val="24"/>
        </w:rPr>
        <w:t xml:space="preserve">We evaluate four distinct formats for presenting database schema information to LLMs:</w:t>
      </w:r>
    </w:p>
    <w:p>
      <w:pPr>
        <w:spacing w:after="100"/>
      </w:pPr>
      <w:r>
        <w:rPr>
          <w:b/>
          <w:bCs/>
          <w:sz w:val="24"/>
          <w:szCs w:val="24"/>
        </w:rPr>
        <w:t xml:space="preserve">Format A: CREATE TABLE (SQL DDL)</w:t>
      </w:r>
    </w:p>
    <w:p>
      <w:pPr>
        <w:spacing w:after="200"/>
      </w:pPr>
      <w:r>
        <w:rPr>
          <w:sz w:val="24"/>
          <w:szCs w:val="24"/>
        </w:rPr>
        <w:t xml:space="preserve">The standard SQL data definition language format, including column names, types, and engine specifications. This format aligns with how LLMs were trained on SQL documentation.</w:t>
      </w:r>
    </w:p>
    <w:p>
      <w:pPr>
        <w:spacing w:after="100"/>
      </w:pPr>
      <w:r>
        <w:rPr>
          <w:b/>
          <w:bCs/>
          <w:sz w:val="24"/>
          <w:szCs w:val="24"/>
        </w:rPr>
        <w:t xml:space="preserve">Format B: Markdown Table</w:t>
      </w:r>
    </w:p>
    <w:p>
      <w:pPr>
        <w:spacing w:after="200"/>
      </w:pPr>
      <w:r>
        <w:rPr>
          <w:sz w:val="24"/>
          <w:szCs w:val="24"/>
        </w:rPr>
        <w:t xml:space="preserve">A human-readable tabular format with columns for name, type, and description. This format facilitates natural language descriptions and is commonly used in documentation.</w:t>
      </w:r>
    </w:p>
    <w:p>
      <w:pPr>
        <w:spacing w:after="100"/>
      </w:pPr>
      <w:r>
        <w:rPr>
          <w:b/>
          <w:bCs/>
          <w:sz w:val="24"/>
          <w:szCs w:val="24"/>
        </w:rPr>
        <w:t xml:space="preserve">Format C: JSON Schema</w:t>
      </w:r>
    </w:p>
    <w:p>
      <w:pPr>
        <w:spacing w:after="200"/>
      </w:pPr>
      <w:r>
        <w:rPr>
          <w:sz w:val="24"/>
          <w:szCs w:val="24"/>
        </w:rPr>
        <w:t xml:space="preserve">A structured JSON representation with explicit field semantics. This format enables programmatic metadata inclusion and supports nested schema structures.</w:t>
      </w:r>
    </w:p>
    <w:p>
      <w:pPr>
        <w:spacing w:after="100"/>
      </w:pPr>
      <w:r>
        <w:rPr>
          <w:b/>
          <w:bCs/>
          <w:sz w:val="24"/>
          <w:szCs w:val="24"/>
        </w:rPr>
        <w:t xml:space="preserve">Format D: Natural Language</w:t>
      </w:r>
    </w:p>
    <w:p>
      <w:pPr>
        <w:spacing w:after="400"/>
      </w:pPr>
      <w:r>
        <w:rPr>
          <w:sz w:val="24"/>
          <w:szCs w:val="24"/>
        </w:rPr>
        <w:t xml:space="preserve">Prose descriptions of tables and columns, written as a human would explain the database structure. This format provides maximum flexibility for conveying semantic meaning.</w:t>
      </w:r>
    </w:p>
    <w:p>
      <w:pPr>
        <w:pStyle w:val="Heading2"/>
      </w:pPr>
      <w:r>
        <w:t xml:space="preserve">3.2 Schema Scope Strategies</w:t>
      </w:r>
    </w:p>
    <w:p>
      <w:pPr>
        <w:spacing w:after="200"/>
      </w:pPr>
      <w:r>
        <w:rPr>
          <w:sz w:val="24"/>
          <w:szCs w:val="24"/>
        </w:rPr>
        <w:t xml:space="preserve">For databases with large schemas, including all tables and columns may exceed context limits or dilute attention. We evaluate four scope strategies:</w:t>
      </w:r>
    </w:p>
    <w:p>
      <w:pPr>
        <w:pStyle w:val="ListParagraph"/>
        <w:numPr>
          <w:ilvl w:val="0"/>
          <w:numId w:val="3"/>
        </w:numPr>
        <w:spacing w:after="100"/>
      </w:pPr>
      <w:r>
        <w:rPr>
          <w:sz w:val="24"/>
          <w:szCs w:val="24"/>
        </w:rPr>
        <w:t xml:space="preserve">Full Schema: Include all tables and columns regardless of query</w:t>
      </w:r>
    </w:p>
    <w:p>
      <w:pPr>
        <w:pStyle w:val="ListParagraph"/>
        <w:numPr>
          <w:ilvl w:val="0"/>
          <w:numId w:val="3"/>
        </w:numPr>
        <w:spacing w:after="100"/>
      </w:pPr>
      <w:r>
        <w:rPr>
          <w:sz w:val="24"/>
          <w:szCs w:val="24"/>
        </w:rPr>
        <w:t xml:space="preserve">Relevant Subset: Pre-filter to tables likely needed based on query keywords</w:t>
      </w:r>
    </w:p>
    <w:p>
      <w:pPr>
        <w:pStyle w:val="ListParagraph"/>
        <w:numPr>
          <w:ilvl w:val="0"/>
          <w:numId w:val="3"/>
        </w:numPr>
        <w:spacing w:after="100"/>
      </w:pPr>
      <w:r>
        <w:rPr>
          <w:sz w:val="24"/>
          <w:szCs w:val="24"/>
        </w:rPr>
        <w:t xml:space="preserve">Progressive Expansion: Start minimal, expand if initial query fails</w:t>
      </w:r>
    </w:p>
    <w:p>
      <w:pPr>
        <w:pStyle w:val="ListParagraph"/>
        <w:numPr>
          <w:ilvl w:val="0"/>
          <w:numId w:val="3"/>
        </w:numPr>
        <w:spacing w:after="400"/>
      </w:pPr>
      <w:r>
        <w:rPr>
          <w:sz w:val="24"/>
          <w:szCs w:val="24"/>
        </w:rPr>
        <w:t xml:space="preserve">User-Guided: Allow user to specify relevant tables</w:t>
      </w:r>
    </w:p>
    <w:p>
      <w:pPr>
        <w:pStyle w:val="Heading2"/>
      </w:pPr>
      <w:r>
        <w:t xml:space="preserve">3.3 Metadata Enrichment</w:t>
      </w:r>
    </w:p>
    <w:p>
      <w:pPr>
        <w:spacing w:after="200"/>
      </w:pPr>
      <w:r>
        <w:rPr>
          <w:sz w:val="24"/>
          <w:szCs w:val="24"/>
        </w:rPr>
        <w:t xml:space="preserve">Beyond basic schema structure, additional metadata may improve generation accuracy. We test combinations of:</w:t>
      </w:r>
    </w:p>
    <w:p>
      <w:pPr>
        <w:pStyle w:val="ListParagraph"/>
        <w:numPr>
          <w:ilvl w:val="0"/>
          <w:numId w:val="3"/>
        </w:numPr>
        <w:spacing w:after="100"/>
      </w:pPr>
      <w:r>
        <w:rPr>
          <w:sz w:val="24"/>
          <w:szCs w:val="24"/>
        </w:rPr>
        <w:t xml:space="preserve">Column descriptions: Human-written explanations of column semantics</w:t>
      </w:r>
    </w:p>
    <w:p>
      <w:pPr>
        <w:pStyle w:val="ListParagraph"/>
        <w:numPr>
          <w:ilvl w:val="0"/>
          <w:numId w:val="3"/>
        </w:numPr>
        <w:spacing w:after="100"/>
      </w:pPr>
      <w:r>
        <w:rPr>
          <w:sz w:val="24"/>
          <w:szCs w:val="24"/>
        </w:rPr>
        <w:t xml:space="preserve">Sample values: Representative values from each column (e.g., status: ['pending', 'completed'])</w:t>
      </w:r>
    </w:p>
    <w:p>
      <w:pPr>
        <w:pStyle w:val="ListParagraph"/>
        <w:numPr>
          <w:ilvl w:val="0"/>
          <w:numId w:val="3"/>
        </w:numPr>
        <w:spacing w:after="100"/>
      </w:pPr>
      <w:r>
        <w:rPr>
          <w:sz w:val="24"/>
          <w:szCs w:val="24"/>
        </w:rPr>
        <w:t xml:space="preserve">Statistics: Row counts, cardinality estimates, value distributions</w:t>
      </w:r>
    </w:p>
    <w:p>
      <w:pPr>
        <w:pStyle w:val="ListParagraph"/>
        <w:numPr>
          <w:ilvl w:val="0"/>
          <w:numId w:val="3"/>
        </w:numPr>
        <w:spacing w:after="400"/>
      </w:pPr>
      <w:r>
        <w:rPr>
          <w:sz w:val="24"/>
          <w:szCs w:val="24"/>
        </w:rPr>
        <w:t xml:space="preserve">Constraints and relationships: Primary keys, foreign keys, indexes</w:t>
      </w:r>
    </w:p>
    <w:p>
      <w:pPr>
        <w:pStyle w:val="Heading2"/>
      </w:pPr>
      <w:r>
        <w:t xml:space="preserve">3.4 Example Selection Methods</w:t>
      </w:r>
    </w:p>
    <w:p>
      <w:pPr>
        <w:spacing w:after="200"/>
      </w:pPr>
      <w:r>
        <w:rPr>
          <w:sz w:val="24"/>
          <w:szCs w:val="24"/>
        </w:rPr>
        <w:t xml:space="preserve">In-context learning through examples is a powerful technique for guiding LLM generation. We compare:</w:t>
      </w:r>
    </w:p>
    <w:p>
      <w:pPr>
        <w:pStyle w:val="ListParagraph"/>
        <w:numPr>
          <w:ilvl w:val="0"/>
          <w:numId w:val="3"/>
        </w:numPr>
        <w:spacing w:after="100"/>
      </w:pPr>
      <w:r>
        <w:rPr>
          <w:sz w:val="24"/>
          <w:szCs w:val="24"/>
        </w:rPr>
        <w:t xml:space="preserve">Zero-shot: No examples, only schema and query</w:t>
      </w:r>
    </w:p>
    <w:p>
      <w:pPr>
        <w:pStyle w:val="ListParagraph"/>
        <w:numPr>
          <w:ilvl w:val="0"/>
          <w:numId w:val="3"/>
        </w:numPr>
        <w:spacing w:after="100"/>
      </w:pPr>
      <w:r>
        <w:rPr>
          <w:sz w:val="24"/>
          <w:szCs w:val="24"/>
        </w:rPr>
        <w:t xml:space="preserve">Static few-shot: Same 3-5 examples for all queries</w:t>
      </w:r>
    </w:p>
    <w:p>
      <w:pPr>
        <w:pStyle w:val="ListParagraph"/>
        <w:numPr>
          <w:ilvl w:val="0"/>
          <w:numId w:val="3"/>
        </w:numPr>
        <w:spacing w:after="100"/>
      </w:pPr>
      <w:r>
        <w:rPr>
          <w:sz w:val="24"/>
          <w:szCs w:val="24"/>
        </w:rPr>
        <w:t xml:space="preserve">Dynamic few-shot: Examples selected based on similarity to current query</w:t>
      </w:r>
    </w:p>
    <w:p>
      <w:pPr>
        <w:pStyle w:val="ListParagraph"/>
        <w:numPr>
          <w:ilvl w:val="0"/>
          <w:numId w:val="3"/>
        </w:numPr>
        <w:spacing w:after="400"/>
      </w:pPr>
      <w:r>
        <w:rPr>
          <w:sz w:val="24"/>
          <w:szCs w:val="24"/>
        </w:rPr>
        <w:t xml:space="preserve">Schema-matched: Examples using same tables as likely needed for query</w:t>
      </w:r>
    </w:p>
    <w:p>
      <w:r>
        <w:br w:type="page"/>
      </w:r>
    </w:p>
    <w:p>
      <w:pPr>
        <w:pStyle w:val="Heading1"/>
      </w:pPr>
      <w:r>
        <w:t xml:space="preserve">4. Experimental Setup</w:t>
      </w:r>
    </w:p>
    <w:p>
      <w:pPr>
        <w:pStyle w:val="Heading2"/>
      </w:pPr>
      <w:r>
        <w:t xml:space="preserve">4.1 Benchmark Dataset</w:t>
      </w:r>
    </w:p>
    <w:p>
      <w:pPr>
        <w:spacing w:after="200"/>
      </w:pPr>
      <w:r>
        <w:rPr>
          <w:sz w:val="24"/>
          <w:szCs w:val="24"/>
        </w:rPr>
        <w:t xml:space="preserve">We construct a novel benchmark comprising 150 natural language queries designed specifically for ClickHouse. Queries are distributed across six complexity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Category</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Count</w:t>
            </w:r>
          </w:p>
        </w:tc>
        <w:tc>
          <w:tcPr>
            <w:tcW w:type="dxa" w:w="4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Challenge 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SELECT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filtering, column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 BY, aggregate functions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 Functions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totals, rankings, partitions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Time-Series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functions, period comparisons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JOINs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Multi-table reasoning, subqueries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ClickHouse-Specific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argMax, arrays, dialect syntax</w:t>
            </w:r>
          </w:p>
        </w:tc>
      </w:tr>
    </w:tbl>
    <w:p>
      <w:pPr>
        <w:spacing w:after="200"/>
      </w:pPr>
    </w:p>
    <w:p>
      <w:pPr>
        <w:pStyle w:val="Heading2"/>
      </w:pPr>
      <w:r>
        <w:t xml:space="preserve">4.2 Models Evaluated</w:t>
      </w:r>
    </w:p>
    <w:p>
      <w:pPr>
        <w:spacing w:after="200"/>
      </w:pPr>
      <w:r>
        <w:rPr>
          <w:sz w:val="24"/>
          <w:szCs w:val="24"/>
        </w:rPr>
        <w:t xml:space="preserve">We evaluate the following LLMs to ensure findings generalize across model families:</w:t>
      </w:r>
    </w:p>
    <w:p>
      <w:pPr>
        <w:pStyle w:val="ListParagraph"/>
        <w:numPr>
          <w:ilvl w:val="0"/>
          <w:numId w:val="3"/>
        </w:numPr>
        <w:spacing w:after="100"/>
      </w:pPr>
      <w:r>
        <w:rPr>
          <w:sz w:val="24"/>
          <w:szCs w:val="24"/>
        </w:rPr>
        <w:t xml:space="preserve">GPT-4o (OpenAI) - Current state-of-the-art for code generation</w:t>
      </w:r>
    </w:p>
    <w:p>
      <w:pPr>
        <w:pStyle w:val="ListParagraph"/>
        <w:numPr>
          <w:ilvl w:val="0"/>
          <w:numId w:val="3"/>
        </w:numPr>
        <w:spacing w:after="100"/>
      </w:pPr>
      <w:r>
        <w:rPr>
          <w:sz w:val="24"/>
          <w:szCs w:val="24"/>
        </w:rPr>
        <w:t xml:space="preserve">Claude 3.5 Sonnet (Anthropic) - Strong alternative with extended context</w:t>
      </w:r>
    </w:p>
    <w:p>
      <w:pPr>
        <w:pStyle w:val="ListParagraph"/>
        <w:numPr>
          <w:ilvl w:val="0"/>
          <w:numId w:val="3"/>
        </w:numPr>
        <w:spacing w:after="100"/>
      </w:pPr>
      <w:r>
        <w:rPr>
          <w:sz w:val="24"/>
          <w:szCs w:val="24"/>
        </w:rPr>
        <w:t xml:space="preserve">GPT-4o-mini (OpenAI) - Cost-efficient baseline</w:t>
      </w:r>
    </w:p>
    <w:p>
      <w:pPr>
        <w:pStyle w:val="ListParagraph"/>
        <w:numPr>
          <w:ilvl w:val="0"/>
          <w:numId w:val="3"/>
        </w:numPr>
        <w:spacing w:after="100"/>
      </w:pPr>
      <w:r>
        <w:rPr>
          <w:sz w:val="24"/>
          <w:szCs w:val="24"/>
        </w:rPr>
        <w:t xml:space="preserve">Llama 3 70B (Meta) - Leading open-source model</w:t>
      </w:r>
    </w:p>
    <w:p>
      <w:pPr>
        <w:pStyle w:val="ListParagraph"/>
        <w:numPr>
          <w:ilvl w:val="0"/>
          <w:numId w:val="3"/>
        </w:numPr>
        <w:spacing w:after="400"/>
      </w:pPr>
      <w:r>
        <w:rPr>
          <w:sz w:val="24"/>
          <w:szCs w:val="24"/>
        </w:rPr>
        <w:t xml:space="preserve">SQLCoder (Defog) - SQL-specialized fine-tuned model</w:t>
      </w:r>
    </w:p>
    <w:p>
      <w:pPr>
        <w:pStyle w:val="Heading2"/>
      </w:pPr>
      <w:r>
        <w:t xml:space="preserve">4.3 Evaluation Metrics</w:t>
      </w:r>
    </w:p>
    <w:p>
      <w:pPr>
        <w:spacing w:after="200"/>
      </w:pPr>
      <w:r>
        <w:rPr>
          <w:sz w:val="24"/>
          <w:szCs w:val="24"/>
        </w:rPr>
        <w:t xml:space="preserve">We measure performance across multiple dimensions:</w:t>
      </w:r>
    </w:p>
    <w:p>
      <w:pPr>
        <w:pStyle w:val="ListParagraph"/>
        <w:numPr>
          <w:ilvl w:val="0"/>
          <w:numId w:val="3"/>
        </w:numPr>
        <w:spacing w:after="100"/>
      </w:pPr>
      <w:r>
        <w:rPr>
          <w:sz w:val="24"/>
          <w:szCs w:val="24"/>
        </w:rPr>
        <w:t xml:space="preserve">Execution Accuracy (EX): Percentage of queries that execute without syntax errors</w:t>
      </w:r>
    </w:p>
    <w:p>
      <w:pPr>
        <w:pStyle w:val="ListParagraph"/>
        <w:numPr>
          <w:ilvl w:val="0"/>
          <w:numId w:val="3"/>
        </w:numPr>
        <w:spacing w:after="100"/>
      </w:pPr>
      <w:r>
        <w:rPr>
          <w:sz w:val="24"/>
          <w:szCs w:val="24"/>
        </w:rPr>
        <w:t xml:space="preserve">Result Correctness (RC): Percentage producing correct output (exact match or semantic equivalence)</w:t>
      </w:r>
    </w:p>
    <w:p>
      <w:pPr>
        <w:pStyle w:val="ListParagraph"/>
        <w:numPr>
          <w:ilvl w:val="0"/>
          <w:numId w:val="3"/>
        </w:numPr>
        <w:spacing w:after="100"/>
      </w:pPr>
      <w:r>
        <w:rPr>
          <w:sz w:val="24"/>
          <w:szCs w:val="24"/>
        </w:rPr>
        <w:t xml:space="preserve">Schema Linking Accuracy (SL): Correct identification of tables and columns</w:t>
      </w:r>
    </w:p>
    <w:p>
      <w:pPr>
        <w:pStyle w:val="ListParagraph"/>
        <w:numPr>
          <w:ilvl w:val="0"/>
          <w:numId w:val="3"/>
        </w:numPr>
        <w:spacing w:after="100"/>
      </w:pPr>
      <w:r>
        <w:rPr>
          <w:sz w:val="24"/>
          <w:szCs w:val="24"/>
        </w:rPr>
        <w:t xml:space="preserve">Token Efficiency (TE): Prompt tokens required per query</w:t>
      </w:r>
    </w:p>
    <w:p>
      <w:pPr>
        <w:pStyle w:val="ListParagraph"/>
        <w:numPr>
          <w:ilvl w:val="0"/>
          <w:numId w:val="3"/>
        </w:numPr>
        <w:spacing w:after="400"/>
      </w:pPr>
      <w:r>
        <w:rPr>
          <w:sz w:val="24"/>
          <w:szCs w:val="24"/>
        </w:rPr>
        <w:t xml:space="preserve">Latency (L): End-to-end time from query to result</w:t>
      </w:r>
    </w:p>
    <w:p>
      <w:r>
        <w:br w:type="page"/>
      </w:r>
    </w:p>
    <w:p>
      <w:pPr>
        <w:pStyle w:val="Heading1"/>
      </w:pPr>
      <w:r>
        <w:t xml:space="preserve">5. Results</w:t>
      </w:r>
    </w:p>
    <w:p>
      <w:pPr>
        <w:spacing w:after="200"/>
      </w:pPr>
      <w:r>
        <w:rPr>
          <w:i/>
          <w:iCs/>
          <w:sz w:val="24"/>
          <w:szCs w:val="24"/>
        </w:rPr>
        <w:t xml:space="preserve">[TO BE COMPLETED AFTER EXPERIMENTS]</w:t>
      </w:r>
    </w:p>
    <w:p>
      <w:pPr>
        <w:spacing w:after="200"/>
      </w:pPr>
      <w:r>
        <w:rPr>
          <w:sz w:val="24"/>
          <w:szCs w:val="24"/>
        </w:rPr>
        <w:t xml:space="preserve">This section will present findings organized by research question:</w:t>
      </w:r>
    </w:p>
    <w:p>
      <w:pPr>
        <w:pStyle w:val="ListParagraph"/>
        <w:numPr>
          <w:ilvl w:val="0"/>
          <w:numId w:val="3"/>
        </w:numPr>
        <w:spacing w:after="100"/>
      </w:pPr>
      <w:r>
        <w:rPr>
          <w:sz w:val="24"/>
          <w:szCs w:val="24"/>
        </w:rPr>
        <w:t xml:space="preserve">RQ1: Which schema representation format yields highest accuracy?</w:t>
      </w:r>
    </w:p>
    <w:p>
      <w:pPr>
        <w:pStyle w:val="ListParagraph"/>
        <w:numPr>
          <w:ilvl w:val="0"/>
          <w:numId w:val="3"/>
        </w:numPr>
        <w:spacing w:after="100"/>
      </w:pPr>
      <w:r>
        <w:rPr>
          <w:sz w:val="24"/>
          <w:szCs w:val="24"/>
        </w:rPr>
        <w:t xml:space="preserve">RQ2: How does schema scope strategy affect performance on large databases?</w:t>
      </w:r>
    </w:p>
    <w:p>
      <w:pPr>
        <w:pStyle w:val="ListParagraph"/>
        <w:numPr>
          <w:ilvl w:val="0"/>
          <w:numId w:val="3"/>
        </w:numPr>
        <w:spacing w:after="100"/>
      </w:pPr>
      <w:r>
        <w:rPr>
          <w:sz w:val="24"/>
          <w:szCs w:val="24"/>
        </w:rPr>
        <w:t xml:space="preserve">RQ3: What metadata enrichment most improves generation accuracy?</w:t>
      </w:r>
    </w:p>
    <w:p>
      <w:pPr>
        <w:pStyle w:val="ListParagraph"/>
        <w:numPr>
          <w:ilvl w:val="0"/>
          <w:numId w:val="3"/>
        </w:numPr>
        <w:spacing w:after="400"/>
      </w:pPr>
      <w:r>
        <w:rPr>
          <w:sz w:val="24"/>
          <w:szCs w:val="24"/>
        </w:rPr>
        <w:t xml:space="preserve">RQ4: How do example selection methods compare across query complexities?</w:t>
      </w:r>
    </w:p>
    <w:p>
      <w:pPr>
        <w:pStyle w:val="Heading1"/>
      </w:pPr>
      <w:r>
        <w:t xml:space="preserve">6. Discussion</w:t>
      </w:r>
    </w:p>
    <w:p>
      <w:pPr>
        <w:spacing w:after="200"/>
      </w:pPr>
      <w:r>
        <w:rPr>
          <w:i/>
          <w:iCs/>
          <w:sz w:val="24"/>
          <w:szCs w:val="24"/>
        </w:rPr>
        <w:t xml:space="preserve">[TO BE COMPLETED AFTER ANALYSIS]</w:t>
      </w:r>
    </w:p>
    <w:p>
      <w:pPr>
        <w:spacing w:after="400"/>
      </w:pPr>
      <w:r>
        <w:rPr>
          <w:sz w:val="24"/>
          <w:szCs w:val="24"/>
        </w:rPr>
        <w:t xml:space="preserve">This section will provide practical recommendations for database client developers, discuss trade-offs between accuracy and efficiency, and highlight ClickHouse-specific insights.</w:t>
      </w:r>
    </w:p>
    <w:p>
      <w:pPr>
        <w:pStyle w:val="Heading1"/>
      </w:pPr>
      <w:r>
        <w:t xml:space="preserve">7. Related Work</w:t>
      </w:r>
    </w:p>
    <w:p>
      <w:pPr>
        <w:spacing w:after="200"/>
      </w:pPr>
      <w:r>
        <w:rPr>
          <w:sz w:val="24"/>
          <w:szCs w:val="24"/>
        </w:rPr>
        <w:t xml:space="preserve">DAIL-SQL [Gao et al., VLDB 2024] conducted the first systematic benchmark of prompt engineering for LLM-based Text-to-SQL, achieving state-of-the-art results on Spider. Our work extends this direction to OLAP databases with larger schemas and specialized syntax.</w:t>
      </w:r>
    </w:p>
    <w:p>
      <w:pPr>
        <w:spacing w:after="200"/>
      </w:pPr>
      <w:r>
        <w:rPr>
          <w:sz w:val="24"/>
          <w:szCs w:val="24"/>
        </w:rPr>
        <w:t xml:space="preserve">DIN-SQL [Pourreza and Rafiei, 2023] introduced decomposition-based prompting, breaking complex queries into subtasks. We incorporate decomposition as one dimension of our evaluation.</w:t>
      </w:r>
    </w:p>
    <w:p>
      <w:pPr>
        <w:spacing w:after="200"/>
      </w:pPr>
      <w:r>
        <w:rPr>
          <w:sz w:val="24"/>
          <w:szCs w:val="24"/>
        </w:rPr>
        <w:t xml:space="preserve">Spider and BIRD benchmarks have driven Text-to-SQL research but focus on OLTP systems. BIRD introduced domain knowledge challenges but still targets traditional SQL databases. Our ClickHouse-specific benchmark addresses the OLAP gap.</w:t>
      </w:r>
    </w:p>
    <w:p>
      <w:pPr>
        <w:spacing w:after="400"/>
      </w:pPr>
      <w:r>
        <w:rPr>
          <w:sz w:val="24"/>
          <w:szCs w:val="24"/>
        </w:rPr>
        <w:t xml:space="preserve">Schema linking research [Lei et al., 2024] has explored methods to identify relevant schema elements for queries. We build on this work by evaluating schema scope strategies specific to large analytical schemas.</w:t>
      </w:r>
    </w:p>
    <w:p>
      <w:pPr>
        <w:pStyle w:val="Heading1"/>
      </w:pPr>
      <w:r>
        <w:t xml:space="preserve">8. Conclusion</w:t>
      </w:r>
    </w:p>
    <w:p>
      <w:pPr>
        <w:spacing w:after="200"/>
      </w:pPr>
      <w:r>
        <w:rPr>
          <w:i/>
          <w:iCs/>
          <w:sz w:val="24"/>
          <w:szCs w:val="24"/>
        </w:rPr>
        <w:t xml:space="preserve">[TO BE COMPLETED]</w:t>
      </w:r>
    </w:p>
    <w:p>
      <w:pPr>
        <w:spacing w:after="400"/>
      </w:pPr>
      <w:r>
        <w:rPr>
          <w:sz w:val="24"/>
          <w:szCs w:val="24"/>
        </w:rPr>
        <w:t xml:space="preserve">This section will summarize key findings, provide actionable guidelines for practitioners, and outline future research directions including extension to other OLAP systems.</w:t>
      </w:r>
    </w:p>
    <w:p>
      <w:pPr>
        <w:pStyle w:val="Heading1"/>
      </w:pPr>
      <w:r>
        <w:t xml:space="preserve">References</w:t>
      </w:r>
    </w:p>
    <w:p>
      <w:pPr>
        <w:spacing w:after="100"/>
      </w:pPr>
      <w:r>
        <w:rPr>
          <w:sz w:val="22"/>
          <w:szCs w:val="22"/>
        </w:rPr>
        <w:t xml:space="preserve">[1] Gao, D., Wang, H., Li, Y., et al. (2024). Text-to-SQL Empowered by Large Language Models: A Benchmark Evaluation. PVLDB, 17(5): 1132-1145.</w:t>
      </w:r>
    </w:p>
    <w:p>
      <w:pPr>
        <w:spacing w:after="100"/>
      </w:pPr>
      <w:r>
        <w:rPr>
          <w:sz w:val="22"/>
          <w:szCs w:val="22"/>
        </w:rPr>
        <w:t xml:space="preserve">[2] Pourreza, M., Rafiei, D. (2023). DIN-SQL: Decomposed In-Context Learning of Text-to-SQL with Self-Correction. NeurIPS 2023.</w:t>
      </w:r>
    </w:p>
    <w:p>
      <w:pPr>
        <w:spacing w:after="100"/>
      </w:pPr>
      <w:r>
        <w:rPr>
          <w:sz w:val="22"/>
          <w:szCs w:val="22"/>
        </w:rPr>
        <w:t xml:space="preserve">[3] Yu, T., Zhang, R., Yang, K., et al. (2018). Spider: A Large-Scale Human-Labeled Dataset for Complex and Cross-Domain Semantic Parsing and Text-to-SQL Task. EMNLP 2018.</w:t>
      </w:r>
    </w:p>
    <w:p>
      <w:pPr>
        <w:spacing w:after="100"/>
      </w:pPr>
      <w:r>
        <w:rPr>
          <w:sz w:val="22"/>
          <w:szCs w:val="22"/>
        </w:rPr>
        <w:t xml:space="preserve">[4] Li, J., Hui, B., Qu, G., et al. (2024). Can LLM Already Serve as A Database Interface? A BIg Bench for Large-Scale Database Grounded Text-to-SQLs. NeurIPS 2023.</w:t>
      </w:r>
    </w:p>
    <w:p>
      <w:pPr>
        <w:spacing w:after="100"/>
      </w:pPr>
      <w:r>
        <w:rPr>
          <w:sz w:val="22"/>
          <w:szCs w:val="22"/>
        </w:rPr>
        <w:t xml:space="preserve">[5] Lei, F., Chen, J., Ye, Y., et al. (2024). Spider 2.0: Evaluating Language Models on Real-World Enterprise Text-to-SQL Workflows. arXiv:2411.07763.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2026-01-16T03:24:54.412Z</dcterms:created>
  <dcterms:modified xsi:type="dcterms:W3CDTF">2026-01-16T03:24:54.413Z</dcterms:modified>
</cp:coreProperties>
</file>

<file path=docProps/custom.xml><?xml version="1.0" encoding="utf-8"?>
<Properties xmlns="http://schemas.openxmlformats.org/officeDocument/2006/custom-properties" xmlns:vt="http://schemas.openxmlformats.org/officeDocument/2006/docPropsVTypes"/>
</file>