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d3fb1c64a" Type="http://schemas.openxmlformats.org/officeDocument/2006/extended-properties" Target="docProps/app0.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35A7F" w14:textId="77777777" w:rsidR="00354581" w:rsidRDefault="00431A03">
      <w:pPr>
        <w:spacing w:line="288" w:lineRule="auto"/>
        <w:jc w:val="center"/>
        <w:rPr>
          <w:rFonts w:ascii="Arial" w:eastAsia="Arial" w:hAnsi="Arial" w:cs="Arial"/>
          <w:b/>
          <w:sz w:val="24"/>
        </w:rPr>
      </w:pPr>
      <w:r>
        <w:rPr>
          <w:rFonts w:ascii="Arial" w:eastAsia="Arial" w:hAnsi="Arial" w:cs="Arial"/>
          <w:b/>
          <w:sz w:val="24"/>
        </w:rPr>
        <w:t>Data Quality Committee</w:t>
      </w:r>
      <w:bookmarkStart w:id="0" w:name="Section_1"/>
      <w:bookmarkEnd w:id="0"/>
    </w:p>
    <w:p w14:paraId="1C63824C" w14:textId="177EB07A" w:rsidR="00354581" w:rsidRDefault="00431A03">
      <w:pPr>
        <w:spacing w:line="288" w:lineRule="auto"/>
        <w:jc w:val="center"/>
        <w:rPr>
          <w:rFonts w:ascii="Arial" w:eastAsia="Arial" w:hAnsi="Arial" w:cs="Arial"/>
          <w:sz w:val="24"/>
        </w:rPr>
      </w:pPr>
      <w:r>
        <w:rPr>
          <w:rFonts w:ascii="Arial" w:eastAsia="Arial" w:hAnsi="Arial" w:cs="Arial"/>
          <w:sz w:val="24"/>
        </w:rPr>
        <w:t xml:space="preserve"> </w:t>
      </w:r>
      <w:r w:rsidR="000E2D28">
        <w:rPr>
          <w:rFonts w:ascii="Arial" w:eastAsia="Arial" w:hAnsi="Arial" w:cs="Arial"/>
          <w:b/>
          <w:sz w:val="23"/>
        </w:rPr>
        <w:t>Washington D.C.</w:t>
      </w:r>
    </w:p>
    <w:p w14:paraId="44DFAFF7" w14:textId="72C0AF0B" w:rsidR="00354581" w:rsidRDefault="00144ADB">
      <w:pPr>
        <w:spacing w:line="288" w:lineRule="auto"/>
        <w:jc w:val="center"/>
        <w:rPr>
          <w:rFonts w:ascii="Arial" w:eastAsia="Arial" w:hAnsi="Arial" w:cs="Arial"/>
          <w:b/>
          <w:sz w:val="24"/>
        </w:rPr>
      </w:pPr>
      <w:r>
        <w:rPr>
          <w:rFonts w:ascii="Arial" w:eastAsia="Arial" w:hAnsi="Arial" w:cs="Arial"/>
          <w:b/>
          <w:sz w:val="24"/>
        </w:rPr>
        <w:t>October 10</w:t>
      </w:r>
      <w:r w:rsidR="005D6513">
        <w:rPr>
          <w:rFonts w:ascii="Arial" w:eastAsia="Arial" w:hAnsi="Arial" w:cs="Arial"/>
          <w:b/>
          <w:sz w:val="24"/>
        </w:rPr>
        <w:t>, 2018</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7024BE58"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Pranav </w:t>
      </w:r>
      <w:proofErr w:type="spellStart"/>
      <w:r w:rsidRPr="00026C18">
        <w:rPr>
          <w:rFonts w:ascii="Arial" w:eastAsia="Arial" w:hAnsi="Arial" w:cs="Arial"/>
          <w:sz w:val="22"/>
        </w:rPr>
        <w:t>Ghai</w:t>
      </w:r>
      <w:proofErr w:type="spellEnd"/>
      <w:r w:rsidRPr="00026C18">
        <w:rPr>
          <w:rFonts w:ascii="Arial" w:eastAsia="Arial" w:hAnsi="Arial" w:cs="Arial"/>
          <w:sz w:val="22"/>
        </w:rPr>
        <w:t xml:space="preserve">, Campbell </w:t>
      </w:r>
      <w:proofErr w:type="spellStart"/>
      <w:r w:rsidRPr="00026C18">
        <w:rPr>
          <w:rFonts w:ascii="Arial" w:eastAsia="Arial" w:hAnsi="Arial" w:cs="Arial"/>
          <w:sz w:val="22"/>
        </w:rPr>
        <w:t>Pryde</w:t>
      </w:r>
      <w:proofErr w:type="spellEnd"/>
      <w:r w:rsidRPr="00026C18">
        <w:rPr>
          <w:rFonts w:ascii="Arial" w:eastAsia="Arial" w:hAnsi="Arial" w:cs="Arial"/>
          <w:sz w:val="22"/>
        </w:rPr>
        <w:t xml:space="preserve">, </w:t>
      </w:r>
      <w:hyperlink r:id="rId8">
        <w:r w:rsidRPr="00026C18">
          <w:rPr>
            <w:rFonts w:ascii="Arial" w:eastAsia="Arial" w:hAnsi="Arial" w:cs="Arial"/>
            <w:sz w:val="22"/>
          </w:rPr>
          <w:t>Lou</w:t>
        </w:r>
      </w:hyperlink>
      <w:r w:rsidRPr="00026C18">
        <w:rPr>
          <w:rFonts w:ascii="Arial" w:eastAsia="Arial" w:hAnsi="Arial" w:cs="Arial"/>
          <w:sz w:val="22"/>
        </w:rPr>
        <w:t xml:space="preserve"> </w:t>
      </w:r>
      <w:proofErr w:type="spellStart"/>
      <w:r w:rsidRPr="00026C18">
        <w:rPr>
          <w:rFonts w:ascii="Arial" w:eastAsia="Arial" w:hAnsi="Arial" w:cs="Arial"/>
          <w:sz w:val="22"/>
        </w:rPr>
        <w:t>Rohman</w:t>
      </w:r>
      <w:proofErr w:type="spellEnd"/>
      <w:r w:rsidRPr="00026C18">
        <w:rPr>
          <w:rFonts w:ascii="Arial" w:eastAsia="Arial" w:hAnsi="Arial" w:cs="Arial"/>
          <w:sz w:val="22"/>
        </w:rPr>
        <w:t xml:space="preserve">, </w:t>
      </w:r>
      <w:proofErr w:type="spellStart"/>
      <w:r w:rsidR="005D6513">
        <w:rPr>
          <w:rFonts w:ascii="Arial" w:eastAsia="Arial" w:hAnsi="Arial" w:cs="Arial"/>
          <w:sz w:val="22"/>
        </w:rPr>
        <w:t>Mohini</w:t>
      </w:r>
      <w:proofErr w:type="spellEnd"/>
      <w:r w:rsidR="005D6513">
        <w:rPr>
          <w:rFonts w:ascii="Arial" w:eastAsia="Arial" w:hAnsi="Arial" w:cs="Arial"/>
          <w:sz w:val="22"/>
        </w:rPr>
        <w:t xml:space="preserve"> Singh</w:t>
      </w:r>
      <w:r w:rsidR="00144ADB">
        <w:rPr>
          <w:rFonts w:ascii="Arial" w:eastAsia="Arial" w:hAnsi="Arial" w:cs="Arial"/>
          <w:sz w:val="22"/>
        </w:rPr>
        <w:t>*</w:t>
      </w:r>
      <w:r w:rsidR="008724A6">
        <w:rPr>
          <w:rFonts w:ascii="Arial" w:eastAsia="Arial" w:hAnsi="Arial" w:cs="Arial"/>
          <w:sz w:val="22"/>
        </w:rPr>
        <w:t>,</w:t>
      </w:r>
      <w:r w:rsidR="008724A6" w:rsidRPr="00D16C06">
        <w:rPr>
          <w:rFonts w:ascii="Arial" w:eastAsia="Arial" w:hAnsi="Arial" w:cs="Arial"/>
          <w:sz w:val="22"/>
        </w:rPr>
        <w:t xml:space="preserve"> </w:t>
      </w:r>
      <w:r w:rsidR="00193771" w:rsidRPr="00026C18">
        <w:rPr>
          <w:rFonts w:ascii="Arial" w:eastAsia="Arial" w:hAnsi="Arial" w:cs="Arial"/>
          <w:sz w:val="22"/>
        </w:rPr>
        <w:t xml:space="preserve">Chase </w:t>
      </w:r>
      <w:proofErr w:type="spellStart"/>
      <w:r w:rsidR="00193771" w:rsidRPr="00026C18">
        <w:rPr>
          <w:rFonts w:ascii="Arial" w:eastAsia="Arial" w:hAnsi="Arial" w:cs="Arial"/>
          <w:sz w:val="22"/>
        </w:rPr>
        <w:t>Bongirno</w:t>
      </w:r>
      <w:proofErr w:type="spellEnd"/>
      <w:r w:rsidR="00193771">
        <w:rPr>
          <w:rFonts w:ascii="Arial" w:eastAsia="Arial" w:hAnsi="Arial" w:cs="Arial"/>
          <w:sz w:val="22"/>
        </w:rPr>
        <w:t>,</w:t>
      </w:r>
      <w:r w:rsidR="000065BF">
        <w:rPr>
          <w:rFonts w:ascii="Arial" w:eastAsia="Arial" w:hAnsi="Arial" w:cs="Arial"/>
          <w:sz w:val="22"/>
        </w:rPr>
        <w:t xml:space="preserve"> </w:t>
      </w:r>
      <w:r w:rsidR="00144ADB">
        <w:rPr>
          <w:rFonts w:ascii="Arial" w:eastAsia="Arial" w:hAnsi="Arial" w:cs="Arial"/>
          <w:sz w:val="22"/>
        </w:rPr>
        <w:t xml:space="preserve">Andreas </w:t>
      </w:r>
      <w:proofErr w:type="spellStart"/>
      <w:r w:rsidR="00144ADB">
        <w:rPr>
          <w:rFonts w:ascii="Arial" w:eastAsia="Arial" w:hAnsi="Arial" w:cs="Arial"/>
          <w:sz w:val="22"/>
        </w:rPr>
        <w:t>Krohn</w:t>
      </w:r>
      <w:proofErr w:type="spellEnd"/>
      <w:r w:rsidR="00144ADB">
        <w:rPr>
          <w:rFonts w:ascii="Arial" w:eastAsia="Arial" w:hAnsi="Arial" w:cs="Arial"/>
          <w:sz w:val="22"/>
        </w:rPr>
        <w:t xml:space="preserve">, </w:t>
      </w:r>
      <w:r w:rsidR="00591B7D">
        <w:rPr>
          <w:rFonts w:ascii="Arial" w:eastAsia="Arial" w:hAnsi="Arial" w:cs="Arial"/>
          <w:sz w:val="22"/>
        </w:rPr>
        <w:t xml:space="preserve">Amit </w:t>
      </w:r>
      <w:proofErr w:type="spellStart"/>
      <w:r w:rsidR="00591B7D">
        <w:rPr>
          <w:rFonts w:ascii="Arial" w:eastAsia="Arial" w:hAnsi="Arial" w:cs="Arial"/>
          <w:sz w:val="22"/>
        </w:rPr>
        <w:t>Varshney</w:t>
      </w:r>
      <w:proofErr w:type="spellEnd"/>
      <w:r w:rsidR="00591B7D">
        <w:rPr>
          <w:rFonts w:ascii="Arial" w:eastAsia="Arial" w:hAnsi="Arial" w:cs="Arial"/>
          <w:sz w:val="22"/>
        </w:rPr>
        <w:t>*</w:t>
      </w:r>
    </w:p>
    <w:p w14:paraId="0FCBEC5E" w14:textId="77777777" w:rsidR="00354581" w:rsidRDefault="00354581">
      <w:pPr>
        <w:spacing w:line="332" w:lineRule="auto"/>
        <w:rPr>
          <w:rFonts w:ascii="Arial" w:eastAsia="Arial" w:hAnsi="Arial" w:cs="Arial"/>
          <w:sz w:val="22"/>
        </w:rPr>
      </w:pPr>
    </w:p>
    <w:p w14:paraId="1D37858D"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282D2D9C" w14:textId="0971C3EE" w:rsidR="00354581" w:rsidRDefault="000E2D28">
      <w:pPr>
        <w:spacing w:line="332" w:lineRule="auto"/>
        <w:rPr>
          <w:rFonts w:ascii="Arial" w:eastAsia="Arial" w:hAnsi="Arial" w:cs="Arial"/>
          <w:sz w:val="22"/>
        </w:rPr>
      </w:pPr>
      <w:r w:rsidRPr="00026C18">
        <w:rPr>
          <w:rFonts w:ascii="Arial" w:eastAsia="Arial" w:hAnsi="Arial" w:cs="Arial"/>
          <w:sz w:val="22"/>
        </w:rPr>
        <w:t>Craig Lewis,</w:t>
      </w:r>
      <w:r w:rsidRPr="00193771">
        <w:rPr>
          <w:rFonts w:ascii="Arial" w:eastAsia="Arial" w:hAnsi="Arial" w:cs="Arial"/>
          <w:sz w:val="22"/>
        </w:rPr>
        <w:t xml:space="preserve"> </w:t>
      </w:r>
      <w:r w:rsidR="000065BF">
        <w:rPr>
          <w:rFonts w:ascii="Arial" w:eastAsia="Arial" w:hAnsi="Arial" w:cs="Arial"/>
          <w:sz w:val="22"/>
        </w:rPr>
        <w:t>Emily Huang</w:t>
      </w:r>
      <w:r w:rsidR="00144ADB">
        <w:rPr>
          <w:rFonts w:ascii="Arial" w:eastAsia="Arial" w:hAnsi="Arial" w:cs="Arial"/>
          <w:sz w:val="22"/>
        </w:rPr>
        <w:t xml:space="preserve">, Jo </w:t>
      </w:r>
      <w:proofErr w:type="spellStart"/>
      <w:r w:rsidR="00144ADB">
        <w:rPr>
          <w:rFonts w:ascii="Arial" w:eastAsia="Arial" w:hAnsi="Arial" w:cs="Arial"/>
          <w:sz w:val="22"/>
        </w:rPr>
        <w:t>Guo</w:t>
      </w:r>
      <w:proofErr w:type="spellEnd"/>
      <w:r w:rsidR="00F90F12">
        <w:rPr>
          <w:rFonts w:ascii="Arial" w:eastAsia="Arial" w:hAnsi="Arial" w:cs="Arial"/>
          <w:sz w:val="22"/>
        </w:rPr>
        <w:t>,</w:t>
      </w:r>
      <w:r w:rsidR="00F90F12" w:rsidRPr="00F90F12">
        <w:rPr>
          <w:rFonts w:ascii="Arial" w:eastAsia="Arial" w:hAnsi="Arial" w:cs="Arial"/>
          <w:sz w:val="22"/>
        </w:rPr>
        <w:t xml:space="preserve"> </w:t>
      </w:r>
      <w:r w:rsidR="00F90F12">
        <w:rPr>
          <w:rFonts w:ascii="Arial" w:eastAsia="Arial" w:hAnsi="Arial" w:cs="Arial"/>
          <w:sz w:val="22"/>
        </w:rPr>
        <w:t>Charles Kessler</w:t>
      </w:r>
      <w:r w:rsidR="00D16C06">
        <w:rPr>
          <w:rFonts w:ascii="Arial" w:eastAsia="Arial" w:hAnsi="Arial" w:cs="Arial"/>
          <w:sz w:val="22"/>
        </w:rPr>
        <w:t xml:space="preserve"> </w:t>
      </w:r>
    </w:p>
    <w:p w14:paraId="56D92F68" w14:textId="77777777" w:rsidR="00A5025E" w:rsidRDefault="00A5025E">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05B03442" w:rsidR="00354581" w:rsidRDefault="006C47F9">
      <w:pPr>
        <w:spacing w:line="332" w:lineRule="auto"/>
        <w:rPr>
          <w:rFonts w:ascii="Arial" w:eastAsia="Arial" w:hAnsi="Arial" w:cs="Arial"/>
          <w:sz w:val="22"/>
        </w:rPr>
      </w:pPr>
      <w:r>
        <w:rPr>
          <w:rFonts w:ascii="Arial" w:eastAsia="Arial" w:hAnsi="Arial" w:cs="Arial"/>
          <w:sz w:val="22"/>
        </w:rPr>
        <w:t>Ami Beers, David Tauriello</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1A5EC259" w:rsidR="00354581" w:rsidRDefault="00770FDE">
      <w:pPr>
        <w:spacing w:line="332" w:lineRule="auto"/>
        <w:rPr>
          <w:rFonts w:ascii="Arial" w:eastAsia="Arial" w:hAnsi="Arial" w:cs="Arial"/>
          <w:sz w:val="22"/>
        </w:rPr>
      </w:pPr>
      <w:r>
        <w:rPr>
          <w:rFonts w:ascii="Arial" w:eastAsia="Arial" w:hAnsi="Arial" w:cs="Arial"/>
          <w:sz w:val="22"/>
        </w:rPr>
        <w:t xml:space="preserve">Louis </w:t>
      </w:r>
      <w:proofErr w:type="spellStart"/>
      <w:r>
        <w:rPr>
          <w:rFonts w:ascii="Arial" w:eastAsia="Arial" w:hAnsi="Arial" w:cs="Arial"/>
          <w:sz w:val="22"/>
        </w:rPr>
        <w:t>Matherne</w:t>
      </w:r>
      <w:proofErr w:type="spellEnd"/>
      <w:r w:rsidR="005D6513">
        <w:rPr>
          <w:rFonts w:ascii="Arial" w:eastAsia="Arial" w:hAnsi="Arial" w:cs="Arial"/>
          <w:sz w:val="22"/>
        </w:rPr>
        <w:t xml:space="preserve">, </w:t>
      </w:r>
      <w:proofErr w:type="spellStart"/>
      <w:r w:rsidR="005D6513">
        <w:rPr>
          <w:rFonts w:ascii="Arial" w:eastAsia="Arial" w:hAnsi="Arial" w:cs="Arial"/>
          <w:sz w:val="22"/>
        </w:rPr>
        <w:t>Iza</w:t>
      </w:r>
      <w:proofErr w:type="spellEnd"/>
      <w:r w:rsidR="005D6513">
        <w:rPr>
          <w:rFonts w:ascii="Arial" w:eastAsia="Arial" w:hAnsi="Arial" w:cs="Arial"/>
          <w:sz w:val="22"/>
        </w:rPr>
        <w:t xml:space="preserve"> </w:t>
      </w:r>
      <w:proofErr w:type="spellStart"/>
      <w:r w:rsidR="005D6513">
        <w:rPr>
          <w:rFonts w:ascii="Arial" w:eastAsia="Arial" w:hAnsi="Arial" w:cs="Arial"/>
          <w:sz w:val="22"/>
        </w:rPr>
        <w:t>Ruta</w:t>
      </w:r>
      <w:proofErr w:type="spellEnd"/>
      <w:r w:rsidR="005D6513">
        <w:rPr>
          <w:rFonts w:ascii="Arial" w:eastAsia="Arial" w:hAnsi="Arial" w:cs="Arial"/>
          <w:sz w:val="22"/>
        </w:rPr>
        <w:t>*</w:t>
      </w:r>
    </w:p>
    <w:p w14:paraId="75823BCA" w14:textId="77777777" w:rsidR="00D16116" w:rsidRDefault="00D16116">
      <w:pPr>
        <w:spacing w:line="332" w:lineRule="auto"/>
        <w:rPr>
          <w:rFonts w:ascii="Arial" w:eastAsia="Arial" w:hAnsi="Arial" w:cs="Arial"/>
          <w:sz w:val="22"/>
        </w:rPr>
      </w:pPr>
    </w:p>
    <w:p w14:paraId="203CA71A" w14:textId="173B8034" w:rsidR="00D16116" w:rsidRDefault="00D16116">
      <w:pPr>
        <w:spacing w:line="332" w:lineRule="auto"/>
        <w:rPr>
          <w:rFonts w:ascii="Arial" w:eastAsia="Arial" w:hAnsi="Arial" w:cs="Arial"/>
          <w:sz w:val="22"/>
        </w:rPr>
      </w:pPr>
      <w:r>
        <w:rPr>
          <w:rFonts w:ascii="Arial" w:eastAsia="Arial" w:hAnsi="Arial" w:cs="Arial"/>
          <w:sz w:val="22"/>
        </w:rPr>
        <w:t>*</w:t>
      </w:r>
      <w:r w:rsidRPr="00D16116">
        <w:rPr>
          <w:rFonts w:ascii="Arial" w:eastAsia="Arial" w:hAnsi="Arial" w:cs="Arial"/>
          <w:i/>
          <w:sz w:val="22"/>
        </w:rPr>
        <w:t>joined by phone</w:t>
      </w:r>
    </w:p>
    <w:p w14:paraId="1C0CA075" w14:textId="77777777" w:rsidR="00354581" w:rsidRDefault="00354581">
      <w:pPr>
        <w:spacing w:line="332" w:lineRule="auto"/>
        <w:rPr>
          <w:rFonts w:ascii="Arial" w:eastAsia="Arial" w:hAnsi="Arial" w:cs="Arial"/>
          <w:i/>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38BAF49F" w14:textId="741A5879" w:rsidR="0035018E" w:rsidRDefault="00872ADC" w:rsidP="00C346F1">
      <w:pPr>
        <w:pStyle w:val="ListParagraph"/>
        <w:numPr>
          <w:ilvl w:val="0"/>
          <w:numId w:val="2"/>
        </w:numPr>
        <w:spacing w:line="312" w:lineRule="auto"/>
      </w:pPr>
      <w:r>
        <w:t>Chair welcomed Committee and members introduced themselves.</w:t>
      </w:r>
      <w:r w:rsidR="00D73A2F">
        <w:t xml:space="preserve"> </w:t>
      </w:r>
    </w:p>
    <w:p w14:paraId="6A5E3743" w14:textId="77777777" w:rsidR="00821F2A" w:rsidRDefault="00821F2A">
      <w:pPr>
        <w:spacing w:line="312" w:lineRule="auto"/>
        <w:rPr>
          <w:rFonts w:ascii="Arial" w:eastAsia="Arial" w:hAnsi="Arial" w:cs="Arial"/>
          <w:b/>
          <w:sz w:val="22"/>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31C1057B"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144ADB">
        <w:rPr>
          <w:rFonts w:eastAsia="Times New Roman"/>
        </w:rPr>
        <w:t>June 27</w:t>
      </w:r>
      <w:r w:rsidR="005D6513">
        <w:rPr>
          <w:rFonts w:eastAsia="Times New Roman"/>
        </w:rPr>
        <w:t>, 2018</w:t>
      </w:r>
      <w:r w:rsidRPr="00B61CA4">
        <w:rPr>
          <w:rFonts w:eastAsia="Times New Roman"/>
        </w:rPr>
        <w:t xml:space="preserve"> DQC meeting</w:t>
      </w:r>
      <w:r>
        <w:rPr>
          <w:rFonts w:eastAsia="Times New Roman"/>
        </w:rPr>
        <w:t xml:space="preserve">, </w:t>
      </w:r>
      <w:r w:rsidRPr="00B61CA4">
        <w:rPr>
          <w:rFonts w:eastAsia="Times New Roman"/>
        </w:rPr>
        <w:t>by</w:t>
      </w:r>
      <w:r w:rsidR="000016D8">
        <w:rPr>
          <w:rFonts w:eastAsia="Times New Roman"/>
        </w:rPr>
        <w:t xml:space="preserve"> Chase </w:t>
      </w:r>
      <w:proofErr w:type="spellStart"/>
      <w:r w:rsidR="000016D8">
        <w:rPr>
          <w:rFonts w:eastAsia="Times New Roman"/>
        </w:rPr>
        <w:t>Bon</w:t>
      </w:r>
      <w:r w:rsidR="00770FDE">
        <w:rPr>
          <w:rFonts w:eastAsia="Times New Roman"/>
        </w:rPr>
        <w:t>girno</w:t>
      </w:r>
      <w:proofErr w:type="spellEnd"/>
      <w:r w:rsidRPr="00B61CA4">
        <w:rPr>
          <w:rFonts w:eastAsia="Times New Roman"/>
        </w:rPr>
        <w:t>, seconded by</w:t>
      </w:r>
      <w:r w:rsidR="00872ADC">
        <w:rPr>
          <w:rFonts w:eastAsia="Times New Roman"/>
        </w:rPr>
        <w:t xml:space="preserve"> Andreas </w:t>
      </w:r>
      <w:proofErr w:type="spellStart"/>
      <w:r w:rsidR="00872ADC">
        <w:rPr>
          <w:rFonts w:eastAsia="Times New Roman"/>
        </w:rPr>
        <w:t>Krohn</w:t>
      </w:r>
      <w:proofErr w:type="spellEnd"/>
      <w:r w:rsidR="00026C18">
        <w:rPr>
          <w:rFonts w:eastAsia="Times New Roman"/>
        </w:rPr>
        <w:t>.</w:t>
      </w:r>
    </w:p>
    <w:p w14:paraId="358805D7" w14:textId="6472121C"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872ADC">
        <w:rPr>
          <w:rFonts w:eastAsia="Times New Roman"/>
          <w:bCs/>
          <w:color w:val="auto"/>
          <w:szCs w:val="22"/>
        </w:rPr>
        <w:t>7</w:t>
      </w:r>
      <w:r w:rsidRPr="009E29DC">
        <w:rPr>
          <w:rFonts w:eastAsia="Times New Roman"/>
          <w:bCs/>
          <w:color w:val="auto"/>
          <w:szCs w:val="22"/>
        </w:rPr>
        <w:t>, 0 Against)</w:t>
      </w:r>
    </w:p>
    <w:p w14:paraId="3E54DDDA" w14:textId="393BFDDD"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144ADB">
        <w:rPr>
          <w:rFonts w:eastAsia="Times New Roman"/>
        </w:rPr>
        <w:t>June 27</w:t>
      </w:r>
      <w:r w:rsidR="005D6513">
        <w:rPr>
          <w:rFonts w:eastAsia="Times New Roman"/>
        </w:rPr>
        <w:t>, 2018</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466A5DF9" w14:textId="03D95B63" w:rsidR="00193771" w:rsidRPr="0035018E" w:rsidRDefault="00144ADB">
      <w:pPr>
        <w:spacing w:line="312" w:lineRule="auto"/>
        <w:rPr>
          <w:rFonts w:ascii="Arial" w:eastAsia="Arial" w:hAnsi="Arial" w:cs="Arial"/>
          <w:b/>
          <w:sz w:val="22"/>
        </w:rPr>
      </w:pPr>
      <w:r>
        <w:rPr>
          <w:rFonts w:ascii="Arial" w:eastAsia="Arial" w:hAnsi="Arial" w:cs="Arial"/>
          <w:b/>
          <w:sz w:val="22"/>
        </w:rPr>
        <w:t>Approval of Rules/Guidance Version 7</w:t>
      </w:r>
    </w:p>
    <w:p w14:paraId="543E4B95" w14:textId="00054789" w:rsidR="00D73A2F" w:rsidRDefault="00872ADC" w:rsidP="00144ADB">
      <w:pPr>
        <w:pStyle w:val="ListParagraph"/>
        <w:numPr>
          <w:ilvl w:val="0"/>
          <w:numId w:val="17"/>
        </w:numPr>
        <w:tabs>
          <w:tab w:val="left" w:pos="7050"/>
        </w:tabs>
      </w:pPr>
      <w:r>
        <w:t>Campbell explained the updated rules from the public review.</w:t>
      </w:r>
    </w:p>
    <w:p w14:paraId="492C8114" w14:textId="5C18959D" w:rsidR="0052799A" w:rsidRDefault="00872ADC" w:rsidP="0052799A">
      <w:pPr>
        <w:pStyle w:val="ListParagraph"/>
        <w:numPr>
          <w:ilvl w:val="1"/>
          <w:numId w:val="17"/>
        </w:numPr>
        <w:tabs>
          <w:tab w:val="left" w:pos="7050"/>
        </w:tabs>
      </w:pPr>
      <w:r>
        <w:t xml:space="preserve">DQC_0067 – The rule identifies if element associated with new revenue recognition standards are used when elements from old revenue recognition standard are also used.  </w:t>
      </w:r>
      <w:r w:rsidR="00016AA4">
        <w:t xml:space="preserve">Rule </w:t>
      </w:r>
      <w:r w:rsidR="00016AA4">
        <w:t xml:space="preserve">has been </w:t>
      </w:r>
      <w:r w:rsidR="00016AA4">
        <w:t>updated to exclude elements that can be used for both standards (leases and deferred revenue</w:t>
      </w:r>
      <w:r w:rsidR="00016AA4">
        <w:t xml:space="preserve">). </w:t>
      </w:r>
      <w:r w:rsidR="0052799A">
        <w:t xml:space="preserve">Approximately 60,000 errors were flagged for filings over 2 years (approximately 40,000 errors related to deferred revenue elements which will be removed from rule).  </w:t>
      </w:r>
      <w:r w:rsidR="00016AA4">
        <w:t>Elements removed include:</w:t>
      </w:r>
      <w:r w:rsidR="0052799A">
        <w:t xml:space="preserve">   </w:t>
      </w:r>
    </w:p>
    <w:p w14:paraId="5A9E1FCE" w14:textId="77777777" w:rsidR="0052799A" w:rsidRDefault="0052799A" w:rsidP="0052799A">
      <w:pPr>
        <w:pStyle w:val="ListParagraph"/>
        <w:numPr>
          <w:ilvl w:val="2"/>
          <w:numId w:val="17"/>
        </w:numPr>
      </w:pPr>
      <w:proofErr w:type="spellStart"/>
      <w:r>
        <w:lastRenderedPageBreak/>
        <w:t>OperatingLeasesIncomeStatementLeaseRevenue</w:t>
      </w:r>
      <w:proofErr w:type="spellEnd"/>
    </w:p>
    <w:p w14:paraId="7F36FBAC" w14:textId="77777777" w:rsidR="0052799A" w:rsidRDefault="0052799A" w:rsidP="0052799A">
      <w:pPr>
        <w:pStyle w:val="ListParagraph"/>
        <w:numPr>
          <w:ilvl w:val="2"/>
          <w:numId w:val="17"/>
        </w:numPr>
      </w:pPr>
      <w:proofErr w:type="spellStart"/>
      <w:r>
        <w:t>OperatingLeasesIncomeStatementMinimumLeaseRevenue</w:t>
      </w:r>
      <w:proofErr w:type="spellEnd"/>
    </w:p>
    <w:p w14:paraId="7B61ED84" w14:textId="77777777" w:rsidR="0052799A" w:rsidRDefault="0052799A" w:rsidP="0052799A">
      <w:pPr>
        <w:pStyle w:val="ListParagraph"/>
        <w:numPr>
          <w:ilvl w:val="2"/>
          <w:numId w:val="17"/>
        </w:numPr>
      </w:pPr>
      <w:proofErr w:type="spellStart"/>
      <w:r>
        <w:t>OperatingLeasesIncomeStatementContingentRevenue</w:t>
      </w:r>
      <w:proofErr w:type="spellEnd"/>
    </w:p>
    <w:p w14:paraId="76E1E0DA" w14:textId="77777777" w:rsidR="0052799A" w:rsidRDefault="0052799A" w:rsidP="0052799A">
      <w:pPr>
        <w:pStyle w:val="ListParagraph"/>
        <w:numPr>
          <w:ilvl w:val="2"/>
          <w:numId w:val="17"/>
        </w:numPr>
      </w:pPr>
      <w:proofErr w:type="spellStart"/>
      <w:r>
        <w:t>PercentageRent</w:t>
      </w:r>
      <w:proofErr w:type="spellEnd"/>
    </w:p>
    <w:p w14:paraId="527C0DCB" w14:textId="77777777" w:rsidR="0052799A" w:rsidRDefault="0052799A" w:rsidP="0052799A">
      <w:pPr>
        <w:pStyle w:val="ListParagraph"/>
        <w:numPr>
          <w:ilvl w:val="2"/>
          <w:numId w:val="17"/>
        </w:numPr>
      </w:pPr>
      <w:proofErr w:type="spellStart"/>
      <w:r>
        <w:t>OperatingLeasesIncomeStatementSubleaseRevenue</w:t>
      </w:r>
      <w:proofErr w:type="spellEnd"/>
    </w:p>
    <w:p w14:paraId="7C2A15A9" w14:textId="77777777" w:rsidR="0052799A" w:rsidRDefault="0052799A" w:rsidP="0052799A">
      <w:pPr>
        <w:pStyle w:val="ListParagraph"/>
        <w:numPr>
          <w:ilvl w:val="2"/>
          <w:numId w:val="17"/>
        </w:numPr>
      </w:pPr>
      <w:proofErr w:type="spellStart"/>
      <w:r>
        <w:t>GrossTransactionVolume</w:t>
      </w:r>
      <w:proofErr w:type="spellEnd"/>
    </w:p>
    <w:p w14:paraId="758DEA54" w14:textId="77777777" w:rsidR="0052799A" w:rsidRDefault="0052799A" w:rsidP="0052799A">
      <w:pPr>
        <w:pStyle w:val="ListParagraph"/>
        <w:numPr>
          <w:ilvl w:val="2"/>
          <w:numId w:val="17"/>
        </w:numPr>
      </w:pPr>
      <w:proofErr w:type="spellStart"/>
      <w:r w:rsidRPr="00245464">
        <w:t>RevenueFromRelatedParties</w:t>
      </w:r>
      <w:proofErr w:type="spellEnd"/>
    </w:p>
    <w:p w14:paraId="6063951F" w14:textId="67DE5276" w:rsidR="0052799A" w:rsidRDefault="0052799A" w:rsidP="0052799A">
      <w:pPr>
        <w:pStyle w:val="ListParagraph"/>
        <w:numPr>
          <w:ilvl w:val="2"/>
          <w:numId w:val="17"/>
        </w:numPr>
      </w:pPr>
      <w:proofErr w:type="spellStart"/>
      <w:r>
        <w:t>DeferredRevenue</w:t>
      </w:r>
      <w:proofErr w:type="spellEnd"/>
    </w:p>
    <w:p w14:paraId="675CA2CC" w14:textId="5C39F368" w:rsidR="0052799A" w:rsidRDefault="0052799A" w:rsidP="0052799A">
      <w:pPr>
        <w:pStyle w:val="ListParagraph"/>
        <w:numPr>
          <w:ilvl w:val="2"/>
          <w:numId w:val="17"/>
        </w:numPr>
      </w:pPr>
      <w:proofErr w:type="spellStart"/>
      <w:r>
        <w:t>DeferredRevenueCurrent</w:t>
      </w:r>
      <w:proofErr w:type="spellEnd"/>
    </w:p>
    <w:p w14:paraId="570E575A" w14:textId="3A60D059" w:rsidR="0052799A" w:rsidRDefault="0052799A" w:rsidP="0052799A">
      <w:pPr>
        <w:pStyle w:val="ListParagraph"/>
        <w:numPr>
          <w:ilvl w:val="2"/>
          <w:numId w:val="17"/>
        </w:numPr>
      </w:pPr>
      <w:proofErr w:type="spellStart"/>
      <w:r>
        <w:t>DeferredRevenueNoncurrent</w:t>
      </w:r>
      <w:proofErr w:type="spellEnd"/>
    </w:p>
    <w:p w14:paraId="564227B8" w14:textId="77777777" w:rsidR="0052799A" w:rsidRDefault="0052799A" w:rsidP="0052799A">
      <w:pPr>
        <w:pStyle w:val="ListParagraph"/>
        <w:spacing w:before="200" w:after="200"/>
        <w:ind w:left="1440" w:right="200"/>
        <w:jc w:val="both"/>
      </w:pPr>
    </w:p>
    <w:p w14:paraId="32648B85" w14:textId="01F2F92C" w:rsidR="00872ADC" w:rsidRDefault="00872ADC" w:rsidP="00872ADC">
      <w:pPr>
        <w:pStyle w:val="ListParagraph"/>
        <w:numPr>
          <w:ilvl w:val="1"/>
          <w:numId w:val="1"/>
        </w:numPr>
        <w:spacing w:before="200" w:after="200"/>
        <w:ind w:right="200"/>
        <w:jc w:val="both"/>
      </w:pPr>
      <w:r w:rsidRPr="00E47994">
        <w:t xml:space="preserve">DQC_0068 - Geographical Axis Used with Pension Line Items </w:t>
      </w:r>
      <w:r>
        <w:t xml:space="preserve">– No </w:t>
      </w:r>
      <w:r w:rsidR="00D548D4">
        <w:t xml:space="preserve">comments received through public review.  </w:t>
      </w:r>
    </w:p>
    <w:p w14:paraId="564929C8" w14:textId="77777777" w:rsidR="00872ADC" w:rsidRPr="00E47994" w:rsidRDefault="00872ADC" w:rsidP="00872ADC">
      <w:pPr>
        <w:pStyle w:val="ListParagraph"/>
        <w:spacing w:before="200" w:after="200"/>
        <w:ind w:right="200"/>
        <w:jc w:val="both"/>
      </w:pPr>
    </w:p>
    <w:p w14:paraId="4207BF4C" w14:textId="0F9DE624" w:rsidR="0052799A" w:rsidRDefault="00872ADC" w:rsidP="0052799A">
      <w:pPr>
        <w:pStyle w:val="ListParagraph"/>
        <w:numPr>
          <w:ilvl w:val="1"/>
          <w:numId w:val="1"/>
        </w:numPr>
        <w:spacing w:before="200" w:after="200"/>
        <w:ind w:right="200"/>
        <w:jc w:val="both"/>
      </w:pPr>
      <w:r w:rsidRPr="00E47994">
        <w:t>DQC_0069 - Plan Asset Categories Component Members</w:t>
      </w:r>
      <w:r>
        <w:t xml:space="preserve"> –</w:t>
      </w:r>
      <w:r w:rsidRPr="00E47994">
        <w:t xml:space="preserve"> </w:t>
      </w:r>
      <w:r w:rsidR="00D548D4">
        <w:t xml:space="preserve">No comments received through public review.  </w:t>
      </w:r>
    </w:p>
    <w:p w14:paraId="3792A56E" w14:textId="77777777" w:rsidR="0052799A" w:rsidRDefault="0052799A" w:rsidP="0052799A">
      <w:pPr>
        <w:pStyle w:val="ListParagraph"/>
        <w:spacing w:before="200" w:after="200"/>
        <w:ind w:left="1440" w:right="200"/>
        <w:jc w:val="both"/>
      </w:pPr>
    </w:p>
    <w:p w14:paraId="3E500FE6" w14:textId="2EC8D851" w:rsidR="00872ADC" w:rsidRDefault="00872ADC" w:rsidP="00872ADC">
      <w:pPr>
        <w:pStyle w:val="ListParagraph"/>
        <w:numPr>
          <w:ilvl w:val="1"/>
          <w:numId w:val="1"/>
        </w:numPr>
        <w:spacing w:before="200" w:after="200"/>
        <w:ind w:right="200"/>
        <w:jc w:val="both"/>
      </w:pPr>
      <w:r w:rsidRPr="00E47994">
        <w:t xml:space="preserve">DQC_0070 - Plan Asset Dimensional Aggregation - </w:t>
      </w:r>
      <w:r w:rsidR="00D548D4">
        <w:t xml:space="preserve">No comments received through public review.  </w:t>
      </w:r>
    </w:p>
    <w:p w14:paraId="207EB5B6" w14:textId="77777777" w:rsidR="00872ADC" w:rsidRPr="00E47994" w:rsidRDefault="00872ADC" w:rsidP="00872ADC">
      <w:pPr>
        <w:pStyle w:val="ListParagraph"/>
        <w:spacing w:before="200" w:after="200"/>
        <w:ind w:right="200"/>
        <w:jc w:val="both"/>
      </w:pPr>
    </w:p>
    <w:p w14:paraId="380DC1B6" w14:textId="55ED2A51" w:rsidR="00872ADC" w:rsidRDefault="00872ADC" w:rsidP="00872ADC">
      <w:pPr>
        <w:pStyle w:val="ListParagraph"/>
        <w:numPr>
          <w:ilvl w:val="1"/>
          <w:numId w:val="1"/>
        </w:numPr>
        <w:spacing w:before="200" w:after="200"/>
        <w:ind w:right="200"/>
      </w:pPr>
      <w:r w:rsidRPr="00E47994">
        <w:t xml:space="preserve">DQC_0071 - Revenue/Cost Single Member - </w:t>
      </w:r>
      <w:r>
        <w:t xml:space="preserve">This rule is for revenue recognition.  </w:t>
      </w:r>
      <w:r w:rsidR="00D548D4">
        <w:t>If only one product is reported, the expectation is to use an extensible enumeration</w:t>
      </w:r>
      <w:r w:rsidR="00016AA4">
        <w:t xml:space="preserve"> (</w:t>
      </w:r>
      <w:r w:rsidR="00794C46">
        <w:t>do not disaggregate with dimensions</w:t>
      </w:r>
      <w:r w:rsidR="00016AA4">
        <w:t>)</w:t>
      </w:r>
      <w:r w:rsidR="00D548D4">
        <w:t>.</w:t>
      </w:r>
      <w:r w:rsidR="00794C46">
        <w:t xml:space="preserve"> </w:t>
      </w:r>
      <w:r w:rsidRPr="00E47994">
        <w:t>This rule identifies if the revenue/cost elements</w:t>
      </w:r>
      <w:r>
        <w:t>:</w:t>
      </w:r>
      <w:r w:rsidRPr="00E47994">
        <w:t xml:space="preserve"> </w:t>
      </w:r>
    </w:p>
    <w:p w14:paraId="02CD3E9C" w14:textId="77777777" w:rsidR="00872ADC" w:rsidRDefault="00872ADC" w:rsidP="00872ADC">
      <w:pPr>
        <w:pStyle w:val="ListParagraph"/>
        <w:numPr>
          <w:ilvl w:val="2"/>
          <w:numId w:val="1"/>
        </w:numPr>
        <w:spacing w:before="200" w:after="200"/>
        <w:ind w:right="200"/>
      </w:pPr>
      <w:proofErr w:type="spellStart"/>
      <w:r w:rsidRPr="00E47994">
        <w:t>RevenueFromContractWithCustomerIncludingAssessedTax</w:t>
      </w:r>
      <w:proofErr w:type="spellEnd"/>
      <w:r w:rsidRPr="00E47994">
        <w:t>,</w:t>
      </w:r>
    </w:p>
    <w:p w14:paraId="16E791D5" w14:textId="77777777" w:rsidR="00872ADC" w:rsidRDefault="00872ADC" w:rsidP="00872ADC">
      <w:pPr>
        <w:pStyle w:val="ListParagraph"/>
        <w:numPr>
          <w:ilvl w:val="2"/>
          <w:numId w:val="1"/>
        </w:numPr>
        <w:spacing w:before="200" w:after="200"/>
        <w:ind w:right="200"/>
      </w:pPr>
      <w:proofErr w:type="spellStart"/>
      <w:r w:rsidRPr="00E47994">
        <w:t>RevenueFromContractWithCustomerExcludingAssessedTax</w:t>
      </w:r>
      <w:proofErr w:type="spellEnd"/>
      <w:r w:rsidRPr="00E47994">
        <w:t xml:space="preserve"> and</w:t>
      </w:r>
    </w:p>
    <w:p w14:paraId="4CD263D5" w14:textId="77777777" w:rsidR="00872ADC" w:rsidRPr="001B6371" w:rsidRDefault="00872ADC" w:rsidP="00872ADC">
      <w:pPr>
        <w:pStyle w:val="ListParagraph"/>
        <w:numPr>
          <w:ilvl w:val="2"/>
          <w:numId w:val="1"/>
        </w:numPr>
        <w:spacing w:before="200" w:after="200"/>
        <w:ind w:right="200"/>
        <w:jc w:val="both"/>
      </w:pPr>
      <w:proofErr w:type="spellStart"/>
      <w:r w:rsidRPr="00E47994">
        <w:t>CostOfGoodsAndServicesSold</w:t>
      </w:r>
      <w:proofErr w:type="spellEnd"/>
      <w:r w:rsidRPr="001B6371">
        <w:t xml:space="preserve"> </w:t>
      </w:r>
    </w:p>
    <w:p w14:paraId="3E4CCFD9" w14:textId="56C94FC0" w:rsidR="00872ADC" w:rsidRPr="00794C46" w:rsidRDefault="00872ADC" w:rsidP="00016AA4">
      <w:pPr>
        <w:spacing w:after="200"/>
        <w:ind w:left="1530" w:right="200"/>
        <w:rPr>
          <w:rFonts w:ascii="Arial" w:hAnsi="Arial" w:cs="Arial"/>
          <w:sz w:val="22"/>
          <w:szCs w:val="22"/>
        </w:rPr>
      </w:pPr>
      <w:proofErr w:type="gramStart"/>
      <w:r w:rsidRPr="001B6371">
        <w:rPr>
          <w:rFonts w:ascii="Arial" w:hAnsi="Arial" w:cs="Arial"/>
          <w:sz w:val="22"/>
          <w:szCs w:val="22"/>
        </w:rPr>
        <w:t>have</w:t>
      </w:r>
      <w:proofErr w:type="gramEnd"/>
      <w:r w:rsidRPr="001B6371">
        <w:rPr>
          <w:rFonts w:ascii="Arial" w:hAnsi="Arial" w:cs="Arial"/>
          <w:sz w:val="22"/>
          <w:szCs w:val="22"/>
        </w:rPr>
        <w:t xml:space="preserve"> been used with the </w:t>
      </w:r>
      <w:proofErr w:type="spellStart"/>
      <w:r w:rsidRPr="001B6371">
        <w:rPr>
          <w:rFonts w:ascii="Arial" w:hAnsi="Arial" w:cs="Arial"/>
          <w:sz w:val="22"/>
          <w:szCs w:val="22"/>
        </w:rPr>
        <w:t>ProductOrServiceAxis</w:t>
      </w:r>
      <w:proofErr w:type="spellEnd"/>
      <w:r w:rsidRPr="001B6371">
        <w:rPr>
          <w:rFonts w:ascii="Arial" w:hAnsi="Arial" w:cs="Arial"/>
          <w:sz w:val="22"/>
          <w:szCs w:val="22"/>
        </w:rPr>
        <w:t xml:space="preserve"> for only one product or service represented by a single member on the product or service axis.</w:t>
      </w:r>
      <w:r w:rsidR="00D548D4">
        <w:rPr>
          <w:rFonts w:ascii="Arial" w:hAnsi="Arial" w:cs="Arial"/>
          <w:sz w:val="22"/>
          <w:szCs w:val="22"/>
        </w:rPr>
        <w:t xml:space="preserve">  There were a lot of comments received on this rule</w:t>
      </w:r>
      <w:r w:rsidR="00794C46">
        <w:rPr>
          <w:rFonts w:ascii="Arial" w:hAnsi="Arial" w:cs="Arial"/>
          <w:sz w:val="22"/>
          <w:szCs w:val="22"/>
        </w:rPr>
        <w:t>, especially where information is reported in the notes to the financial statements for separate legal entities</w:t>
      </w:r>
      <w:r w:rsidR="00D548D4">
        <w:rPr>
          <w:rFonts w:ascii="Arial" w:hAnsi="Arial" w:cs="Arial"/>
          <w:sz w:val="22"/>
          <w:szCs w:val="22"/>
        </w:rPr>
        <w:t>.</w:t>
      </w:r>
      <w:r w:rsidRPr="001B6371">
        <w:rPr>
          <w:rFonts w:ascii="Arial" w:hAnsi="Arial" w:cs="Arial"/>
          <w:sz w:val="22"/>
          <w:szCs w:val="22"/>
        </w:rPr>
        <w:t xml:space="preserve"> </w:t>
      </w:r>
      <w:r>
        <w:rPr>
          <w:rFonts w:ascii="Arial" w:hAnsi="Arial" w:cs="Arial"/>
          <w:sz w:val="22"/>
          <w:szCs w:val="22"/>
        </w:rPr>
        <w:t xml:space="preserve"> </w:t>
      </w:r>
      <w:r w:rsidR="00794C46">
        <w:rPr>
          <w:rFonts w:ascii="Arial" w:hAnsi="Arial" w:cs="Arial"/>
          <w:sz w:val="22"/>
          <w:szCs w:val="22"/>
        </w:rPr>
        <w:t xml:space="preserve">Approximately 2,680 errors have been flagged on the impact analysis.  </w:t>
      </w:r>
      <w:r w:rsidRPr="001B6371">
        <w:rPr>
          <w:rFonts w:ascii="Arial" w:hAnsi="Arial" w:cs="Arial"/>
          <w:sz w:val="22"/>
          <w:szCs w:val="22"/>
        </w:rPr>
        <w:t xml:space="preserve">Rule </w:t>
      </w:r>
      <w:r>
        <w:rPr>
          <w:rFonts w:ascii="Arial" w:hAnsi="Arial" w:cs="Arial"/>
          <w:sz w:val="22"/>
          <w:szCs w:val="22"/>
        </w:rPr>
        <w:t xml:space="preserve">updated to flag an error for every fact used in a table where a single member has been used as a domain-member child for the element </w:t>
      </w:r>
      <w:proofErr w:type="spellStart"/>
      <w:r>
        <w:rPr>
          <w:rFonts w:ascii="Arial" w:hAnsi="Arial" w:cs="Arial"/>
          <w:sz w:val="22"/>
          <w:szCs w:val="22"/>
        </w:rPr>
        <w:t>ProductsAndServicesDomain</w:t>
      </w:r>
      <w:proofErr w:type="spellEnd"/>
      <w:r>
        <w:rPr>
          <w:rFonts w:ascii="Arial" w:hAnsi="Arial" w:cs="Arial"/>
          <w:sz w:val="22"/>
          <w:szCs w:val="22"/>
        </w:rPr>
        <w:t xml:space="preserve"> in that table. Error message updated accordingly.</w:t>
      </w:r>
      <w:r w:rsidR="00D548D4">
        <w:rPr>
          <w:rFonts w:ascii="Arial" w:hAnsi="Arial" w:cs="Arial"/>
          <w:sz w:val="22"/>
          <w:szCs w:val="22"/>
        </w:rPr>
        <w:t xml:space="preserve">  </w:t>
      </w:r>
    </w:p>
    <w:p w14:paraId="26F50655" w14:textId="5AF93FA1" w:rsidR="00D548D4" w:rsidRDefault="00872ADC" w:rsidP="00D548D4">
      <w:pPr>
        <w:pStyle w:val="ListParagraph"/>
        <w:numPr>
          <w:ilvl w:val="1"/>
          <w:numId w:val="1"/>
        </w:numPr>
        <w:spacing w:before="200" w:after="200"/>
        <w:ind w:right="200"/>
        <w:jc w:val="both"/>
      </w:pPr>
      <w:r w:rsidRPr="00E47994">
        <w:t xml:space="preserve">DQC_0072 - Plan Asset Categories Percentage - </w:t>
      </w:r>
      <w:r w:rsidR="00D548D4">
        <w:t xml:space="preserve">No comments received through public review.  </w:t>
      </w:r>
      <w:r w:rsidR="00794C46">
        <w:t>No errors flagged for this rule.</w:t>
      </w:r>
    </w:p>
    <w:p w14:paraId="48E20C32" w14:textId="42D60119" w:rsidR="00872ADC" w:rsidRPr="00D548D4" w:rsidRDefault="00872ADC" w:rsidP="00D548D4">
      <w:pPr>
        <w:pStyle w:val="ListParagraph"/>
        <w:spacing w:after="200"/>
        <w:ind w:left="1080" w:right="200"/>
        <w:rPr>
          <w:szCs w:val="22"/>
        </w:rPr>
      </w:pPr>
    </w:p>
    <w:p w14:paraId="22FABDD2" w14:textId="3309753A" w:rsidR="00872ADC" w:rsidRDefault="00872ADC" w:rsidP="00872ADC">
      <w:pPr>
        <w:pStyle w:val="ListParagraph"/>
        <w:numPr>
          <w:ilvl w:val="1"/>
          <w:numId w:val="1"/>
        </w:numPr>
        <w:pBdr>
          <w:top w:val="nil"/>
          <w:left w:val="nil"/>
          <w:bottom w:val="nil"/>
          <w:right w:val="nil"/>
          <w:between w:val="nil"/>
        </w:pBdr>
        <w:spacing w:before="200" w:after="200"/>
        <w:ind w:right="200"/>
      </w:pPr>
      <w:r w:rsidRPr="00E47994">
        <w:t xml:space="preserve">DQC_0073 - Plan Asset Categories Permissible Line Items - This rule identifies when inappropriate line items are used with the Plan Asset Categories Axis. </w:t>
      </w:r>
      <w:r>
        <w:t xml:space="preserve">FASB provided a list of elements that should be used with this axis.  Rule will flag those line items that are used with this axis that are not on the list.  </w:t>
      </w:r>
      <w:r w:rsidR="00D548D4">
        <w:t xml:space="preserve">Rule </w:t>
      </w:r>
      <w:r w:rsidR="00D548D4">
        <w:lastRenderedPageBreak/>
        <w:t xml:space="preserve">flagged approximately 8,000 errors. </w:t>
      </w:r>
      <w:r>
        <w:t xml:space="preserve">Rule updated to add the following allowable elements to the list:  </w:t>
      </w:r>
    </w:p>
    <w:p w14:paraId="0850EB19" w14:textId="77777777" w:rsidR="00872ADC" w:rsidRDefault="00872ADC" w:rsidP="00872ADC">
      <w:pPr>
        <w:pStyle w:val="ListParagraph"/>
        <w:numPr>
          <w:ilvl w:val="2"/>
          <w:numId w:val="1"/>
        </w:numPr>
        <w:pBdr>
          <w:top w:val="nil"/>
          <w:left w:val="nil"/>
          <w:bottom w:val="nil"/>
          <w:right w:val="nil"/>
          <w:between w:val="nil"/>
        </w:pBdr>
        <w:spacing w:before="200" w:after="200"/>
        <w:ind w:right="200"/>
      </w:pPr>
      <w:proofErr w:type="spellStart"/>
      <w:r>
        <w:t>DefinedBenefitPlanPlanAssetsForeighCurrencyTranslationGainLoss</w:t>
      </w:r>
      <w:proofErr w:type="spellEnd"/>
    </w:p>
    <w:p w14:paraId="2357CE57" w14:textId="77777777" w:rsidR="00872ADC" w:rsidRDefault="00872ADC" w:rsidP="00872ADC">
      <w:pPr>
        <w:pStyle w:val="ListParagraph"/>
        <w:numPr>
          <w:ilvl w:val="2"/>
          <w:numId w:val="1"/>
        </w:numPr>
        <w:pBdr>
          <w:top w:val="nil"/>
          <w:left w:val="nil"/>
          <w:bottom w:val="nil"/>
          <w:right w:val="nil"/>
          <w:between w:val="nil"/>
        </w:pBdr>
        <w:spacing w:before="200" w:after="200"/>
        <w:ind w:right="200"/>
      </w:pPr>
      <w:proofErr w:type="spellStart"/>
      <w:r>
        <w:t>DefinedBenefitPlanTargetPlanAssetAllocationsRangeMinimum</w:t>
      </w:r>
      <w:proofErr w:type="spellEnd"/>
      <w:r>
        <w:t xml:space="preserve"> (Up to 2016)</w:t>
      </w:r>
    </w:p>
    <w:p w14:paraId="7A93922E" w14:textId="77777777" w:rsidR="00872ADC" w:rsidRDefault="00872ADC" w:rsidP="00872ADC">
      <w:pPr>
        <w:pStyle w:val="ListParagraph"/>
        <w:numPr>
          <w:ilvl w:val="2"/>
          <w:numId w:val="1"/>
        </w:numPr>
        <w:pBdr>
          <w:top w:val="nil"/>
          <w:left w:val="nil"/>
          <w:bottom w:val="nil"/>
          <w:right w:val="nil"/>
          <w:between w:val="nil"/>
        </w:pBdr>
        <w:spacing w:before="200" w:after="200"/>
        <w:ind w:right="200"/>
      </w:pPr>
      <w:proofErr w:type="spellStart"/>
      <w:r>
        <w:t>DefinedBenefitPlanTargetPlanAssetAllocationsRangeMaximum</w:t>
      </w:r>
      <w:proofErr w:type="spellEnd"/>
      <w:r>
        <w:t xml:space="preserve"> (Up to 2016)</w:t>
      </w:r>
    </w:p>
    <w:p w14:paraId="0A5BDFDB" w14:textId="77777777" w:rsidR="00872ADC" w:rsidRDefault="00872ADC" w:rsidP="00872ADC">
      <w:pPr>
        <w:pStyle w:val="ListParagraph"/>
        <w:numPr>
          <w:ilvl w:val="2"/>
          <w:numId w:val="1"/>
        </w:numPr>
        <w:pBdr>
          <w:top w:val="nil"/>
          <w:left w:val="nil"/>
          <w:bottom w:val="nil"/>
          <w:right w:val="nil"/>
          <w:between w:val="nil"/>
        </w:pBdr>
        <w:spacing w:before="200" w:after="200"/>
        <w:ind w:right="200"/>
      </w:pPr>
      <w:proofErr w:type="spellStart"/>
      <w:r>
        <w:t>DefinedBenefitPlanTargetPlanAssetAllocations</w:t>
      </w:r>
      <w:proofErr w:type="spellEnd"/>
      <w:r>
        <w:t xml:space="preserve"> (Up to 2016)</w:t>
      </w:r>
    </w:p>
    <w:p w14:paraId="01A792D4" w14:textId="77777777" w:rsidR="00872ADC" w:rsidRDefault="00872ADC" w:rsidP="00872ADC">
      <w:pPr>
        <w:pStyle w:val="ListParagraph"/>
        <w:numPr>
          <w:ilvl w:val="2"/>
          <w:numId w:val="1"/>
        </w:numPr>
        <w:pBdr>
          <w:top w:val="nil"/>
          <w:left w:val="nil"/>
          <w:bottom w:val="nil"/>
          <w:right w:val="nil"/>
          <w:between w:val="nil"/>
        </w:pBdr>
        <w:spacing w:before="200" w:after="200"/>
        <w:ind w:right="200"/>
      </w:pPr>
      <w:proofErr w:type="spellStart"/>
      <w:r>
        <w:t>AlternateInvestmentsFairValueDisclosure</w:t>
      </w:r>
      <w:proofErr w:type="spellEnd"/>
      <w:r>
        <w:t xml:space="preserve"> (Up to 2017)</w:t>
      </w:r>
    </w:p>
    <w:p w14:paraId="270AF30F" w14:textId="77777777" w:rsidR="00794C46" w:rsidRDefault="00794C46" w:rsidP="00794C46">
      <w:pPr>
        <w:pStyle w:val="ListParagraph"/>
        <w:spacing w:before="200" w:after="200"/>
        <w:ind w:left="1440" w:right="200"/>
        <w:jc w:val="both"/>
      </w:pPr>
    </w:p>
    <w:p w14:paraId="505C2CE9" w14:textId="7A465E4E" w:rsidR="00D548D4" w:rsidRDefault="00872ADC" w:rsidP="00D548D4">
      <w:pPr>
        <w:pStyle w:val="ListParagraph"/>
        <w:numPr>
          <w:ilvl w:val="1"/>
          <w:numId w:val="1"/>
        </w:numPr>
        <w:spacing w:before="200" w:after="200"/>
        <w:ind w:right="200"/>
        <w:jc w:val="both"/>
      </w:pPr>
      <w:r w:rsidRPr="00E47994">
        <w:t xml:space="preserve">DQC_0074 - Nil Values on Typed Axis - </w:t>
      </w:r>
      <w:r w:rsidR="00D548D4">
        <w:t>No comments received through public revie</w:t>
      </w:r>
      <w:r w:rsidR="00BA5501">
        <w:t>w.  Rule flags approximately 694</w:t>
      </w:r>
      <w:r w:rsidR="00D548D4">
        <w:t xml:space="preserve"> </w:t>
      </w:r>
      <w:r w:rsidR="00BA5501">
        <w:t>error</w:t>
      </w:r>
      <w:r w:rsidR="00D548D4">
        <w:t>s.</w:t>
      </w:r>
    </w:p>
    <w:p w14:paraId="051F9133" w14:textId="40387137" w:rsidR="00872ADC" w:rsidRDefault="00872ADC" w:rsidP="00D548D4">
      <w:pPr>
        <w:pStyle w:val="ListParagraph"/>
        <w:spacing w:before="200" w:after="200"/>
        <w:ind w:right="200"/>
        <w:jc w:val="both"/>
      </w:pPr>
    </w:p>
    <w:p w14:paraId="2712147A" w14:textId="339751C5" w:rsidR="00872ADC" w:rsidRDefault="00872ADC" w:rsidP="00D548D4">
      <w:pPr>
        <w:pStyle w:val="ListParagraph"/>
        <w:numPr>
          <w:ilvl w:val="1"/>
          <w:numId w:val="1"/>
        </w:numPr>
        <w:spacing w:before="200" w:after="200"/>
        <w:ind w:right="200"/>
        <w:jc w:val="both"/>
      </w:pPr>
      <w:r w:rsidRPr="00E47994">
        <w:t xml:space="preserve">DQC_0075 - Revenue Tax Policy </w:t>
      </w:r>
      <w:r>
        <w:t>–</w:t>
      </w:r>
      <w:r w:rsidRPr="00E47994">
        <w:t xml:space="preserve"> </w:t>
      </w:r>
      <w:r w:rsidR="00295C0F">
        <w:t>No errors were flagged.  Rule was not helpful, so r</w:t>
      </w:r>
      <w:r>
        <w:t>ule</w:t>
      </w:r>
      <w:r w:rsidR="00295C0F">
        <w:t xml:space="preserve"> is to be r</w:t>
      </w:r>
      <w:r>
        <w:t>emoved</w:t>
      </w:r>
      <w:r w:rsidR="00295C0F">
        <w:t>.</w:t>
      </w:r>
      <w:r w:rsidRPr="00E47994">
        <w:t xml:space="preserve"> </w:t>
      </w:r>
    </w:p>
    <w:p w14:paraId="7BA85E53" w14:textId="77777777" w:rsidR="00872ADC" w:rsidRDefault="00872ADC" w:rsidP="00872ADC">
      <w:pPr>
        <w:pStyle w:val="ListParagraph"/>
      </w:pPr>
    </w:p>
    <w:p w14:paraId="752D02EE" w14:textId="5A219185" w:rsidR="00295C0F" w:rsidRDefault="00872ADC" w:rsidP="00295C0F">
      <w:pPr>
        <w:pStyle w:val="ListParagraph"/>
        <w:numPr>
          <w:ilvl w:val="1"/>
          <w:numId w:val="1"/>
        </w:numPr>
        <w:spacing w:before="200" w:after="200"/>
        <w:ind w:right="200"/>
        <w:jc w:val="both"/>
      </w:pPr>
      <w:r w:rsidRPr="00E47994">
        <w:t xml:space="preserve">DQC_0076 - Performance Obligations </w:t>
      </w:r>
      <w:proofErr w:type="gramStart"/>
      <w:r w:rsidRPr="00E47994">
        <w:t>With</w:t>
      </w:r>
      <w:proofErr w:type="gramEnd"/>
      <w:r w:rsidRPr="00E47994">
        <w:t xml:space="preserve"> No Durations - </w:t>
      </w:r>
      <w:r w:rsidR="00295C0F">
        <w:t>No comments received through public review.  Approximately 1,500 errors have been flagged.</w:t>
      </w:r>
    </w:p>
    <w:p w14:paraId="4251CE87" w14:textId="7E3C94FF" w:rsidR="00872ADC" w:rsidRDefault="00872ADC" w:rsidP="00295C0F">
      <w:pPr>
        <w:pStyle w:val="ListParagraph"/>
        <w:spacing w:before="200" w:after="200"/>
        <w:ind w:right="200"/>
        <w:jc w:val="both"/>
      </w:pPr>
    </w:p>
    <w:p w14:paraId="5D7D0CE3" w14:textId="54D88DF5" w:rsidR="00295C0F" w:rsidRDefault="00872ADC" w:rsidP="00295C0F">
      <w:pPr>
        <w:pStyle w:val="ListParagraph"/>
        <w:numPr>
          <w:ilvl w:val="1"/>
          <w:numId w:val="1"/>
        </w:numPr>
        <w:spacing w:before="200" w:after="200"/>
        <w:ind w:right="200"/>
        <w:jc w:val="both"/>
      </w:pPr>
      <w:r w:rsidRPr="00E47994">
        <w:t xml:space="preserve">DQC_077 - Satisfaction Period </w:t>
      </w:r>
      <w:proofErr w:type="gramStart"/>
      <w:r w:rsidRPr="00E47994">
        <w:t>With</w:t>
      </w:r>
      <w:proofErr w:type="gramEnd"/>
      <w:r w:rsidRPr="00E47994">
        <w:t xml:space="preserve"> No Satisfaction Start Date Axis - </w:t>
      </w:r>
      <w:r w:rsidR="00295C0F">
        <w:t>No comments received through public review.  Approximately 1,000 errors flagged.</w:t>
      </w:r>
    </w:p>
    <w:p w14:paraId="0A05800F" w14:textId="4100F9D4" w:rsidR="00872ADC" w:rsidRPr="00E47994" w:rsidRDefault="00872ADC" w:rsidP="00295C0F">
      <w:pPr>
        <w:pStyle w:val="ListParagraph"/>
        <w:spacing w:before="200" w:after="200"/>
        <w:ind w:right="200"/>
        <w:jc w:val="both"/>
      </w:pPr>
    </w:p>
    <w:p w14:paraId="100E7D58" w14:textId="47CC4DD8" w:rsidR="00872ADC" w:rsidRDefault="00872ADC" w:rsidP="00295C0F">
      <w:pPr>
        <w:pStyle w:val="ListParagraph"/>
        <w:numPr>
          <w:ilvl w:val="1"/>
          <w:numId w:val="1"/>
        </w:numPr>
      </w:pPr>
      <w:r w:rsidRPr="00E47994">
        <w:t xml:space="preserve">DQC_0078 - Ownership Interest </w:t>
      </w:r>
      <w:proofErr w:type="gramStart"/>
      <w:r w:rsidRPr="00E47994">
        <w:t>With</w:t>
      </w:r>
      <w:proofErr w:type="gramEnd"/>
      <w:r w:rsidRPr="00E47994">
        <w:t xml:space="preserve"> No Ownership Axis - This rule identifies those cases where the ownership interest elements are not used with the ownership axis. </w:t>
      </w:r>
      <w:r w:rsidR="00295C0F">
        <w:t>Rule does not apply to investments or equity method investmen</w:t>
      </w:r>
      <w:r w:rsidR="00BA5501">
        <w:t>ts. Rule flags approximately 4,5</w:t>
      </w:r>
      <w:r w:rsidR="00295C0F">
        <w:t xml:space="preserve">00 errors. </w:t>
      </w:r>
      <w:r>
        <w:t>Rule updated to add the following two ownership interest elements to be checked by the rule:</w:t>
      </w:r>
    </w:p>
    <w:p w14:paraId="16EB4DCC" w14:textId="77777777" w:rsidR="00872ADC" w:rsidRDefault="00872ADC" w:rsidP="00295C0F">
      <w:pPr>
        <w:pStyle w:val="ListParagraph"/>
        <w:numPr>
          <w:ilvl w:val="2"/>
          <w:numId w:val="1"/>
        </w:numPr>
      </w:pPr>
      <w:r>
        <w:t>SusidiaryOfLimitedLiabilityCompanyOrLimitedPartnershipOwnershipInterest</w:t>
      </w:r>
    </w:p>
    <w:p w14:paraId="5C1440C2" w14:textId="77777777" w:rsidR="00872ADC" w:rsidRDefault="00872ADC" w:rsidP="00295C0F">
      <w:pPr>
        <w:pStyle w:val="ListParagraph"/>
        <w:numPr>
          <w:ilvl w:val="2"/>
          <w:numId w:val="1"/>
        </w:numPr>
      </w:pPr>
      <w:r>
        <w:t>LimitedLiabilityComanyLLCOrLimitedPartnershipLPMembersOLimitedPartnersOwnershipInterest</w:t>
      </w:r>
    </w:p>
    <w:p w14:paraId="3A89B417" w14:textId="77777777" w:rsidR="006860F0" w:rsidRDefault="006860F0" w:rsidP="006860F0">
      <w:pPr>
        <w:pStyle w:val="ListParagraph"/>
        <w:ind w:left="1440"/>
      </w:pPr>
    </w:p>
    <w:p w14:paraId="2A6D73B9" w14:textId="1379965A" w:rsidR="00BA5501" w:rsidRDefault="00BA5501" w:rsidP="00016AA4">
      <w:pPr>
        <w:pStyle w:val="ListParagraph"/>
        <w:numPr>
          <w:ilvl w:val="0"/>
          <w:numId w:val="1"/>
        </w:numPr>
      </w:pPr>
      <w:r>
        <w:t>There was a comment that there were a large amount of comments received on this version of the rules.  Most comments are received from the filing agents as they run the rules for their clients and they get errors.</w:t>
      </w:r>
      <w:r w:rsidR="006860F0">
        <w:t xml:space="preserve">  </w:t>
      </w:r>
    </w:p>
    <w:p w14:paraId="4FCEB570" w14:textId="77777777" w:rsidR="006860F0" w:rsidRDefault="006860F0" w:rsidP="006860F0">
      <w:pPr>
        <w:pStyle w:val="ListParagraph"/>
        <w:ind w:left="1440"/>
      </w:pPr>
    </w:p>
    <w:p w14:paraId="055D29F5" w14:textId="3E77895D" w:rsidR="003318D8" w:rsidRDefault="00295C0F" w:rsidP="00295C0F">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Campbell </w:t>
      </w:r>
      <w:r w:rsidR="006860F0">
        <w:rPr>
          <w:rFonts w:eastAsia="Times New Roman"/>
          <w:bCs/>
          <w:color w:val="auto"/>
          <w:szCs w:val="22"/>
        </w:rPr>
        <w:t>presented the revised Revenue Guidance document.  M</w:t>
      </w:r>
      <w:r w:rsidR="003318D8">
        <w:rPr>
          <w:rFonts w:eastAsia="Times New Roman"/>
          <w:bCs/>
          <w:color w:val="auto"/>
          <w:szCs w:val="22"/>
        </w:rPr>
        <w:t>any comments have been received on</w:t>
      </w:r>
      <w:r>
        <w:rPr>
          <w:rFonts w:eastAsia="Times New Roman"/>
          <w:bCs/>
          <w:color w:val="auto"/>
          <w:szCs w:val="22"/>
        </w:rPr>
        <w:t xml:space="preserve"> Revenue Guidance</w:t>
      </w:r>
      <w:r w:rsidR="006860F0">
        <w:rPr>
          <w:rFonts w:eastAsia="Times New Roman"/>
          <w:bCs/>
          <w:color w:val="auto"/>
          <w:szCs w:val="22"/>
        </w:rPr>
        <w:t xml:space="preserve"> and has been rewritten multiple times during the public review to address comments</w:t>
      </w:r>
      <w:r>
        <w:rPr>
          <w:rFonts w:eastAsia="Times New Roman"/>
          <w:bCs/>
          <w:color w:val="auto"/>
          <w:szCs w:val="22"/>
        </w:rPr>
        <w:t>.</w:t>
      </w:r>
      <w:r w:rsidR="003318D8">
        <w:rPr>
          <w:rFonts w:eastAsia="Times New Roman"/>
          <w:bCs/>
          <w:color w:val="auto"/>
          <w:szCs w:val="22"/>
        </w:rPr>
        <w:t xml:space="preserve">  </w:t>
      </w:r>
      <w:r w:rsidR="00F90F12">
        <w:rPr>
          <w:rFonts w:eastAsia="Times New Roman"/>
          <w:bCs/>
          <w:color w:val="auto"/>
          <w:szCs w:val="22"/>
        </w:rPr>
        <w:t>The document has been review</w:t>
      </w:r>
      <w:r w:rsidR="00BA5501">
        <w:rPr>
          <w:rFonts w:eastAsia="Times New Roman"/>
          <w:bCs/>
          <w:color w:val="auto"/>
          <w:szCs w:val="22"/>
        </w:rPr>
        <w:t>e</w:t>
      </w:r>
      <w:r w:rsidR="00F90F12">
        <w:rPr>
          <w:rFonts w:eastAsia="Times New Roman"/>
          <w:bCs/>
          <w:color w:val="auto"/>
          <w:szCs w:val="22"/>
        </w:rPr>
        <w:t xml:space="preserve">d by the FASB and the Tuesday DQC working group. </w:t>
      </w:r>
      <w:r w:rsidR="003318D8">
        <w:rPr>
          <w:rFonts w:eastAsia="Times New Roman"/>
          <w:bCs/>
          <w:color w:val="auto"/>
          <w:szCs w:val="22"/>
        </w:rPr>
        <w:t>The topics included</w:t>
      </w:r>
      <w:r w:rsidR="006860F0">
        <w:rPr>
          <w:rFonts w:eastAsia="Times New Roman"/>
          <w:bCs/>
          <w:color w:val="auto"/>
          <w:szCs w:val="22"/>
        </w:rPr>
        <w:t>:</w:t>
      </w:r>
    </w:p>
    <w:p w14:paraId="30B97B67" w14:textId="00050DF5" w:rsidR="00295C0F" w:rsidRDefault="003318D8" w:rsidP="003318D8">
      <w:pPr>
        <w:pStyle w:val="ListParagraph"/>
        <w:numPr>
          <w:ilvl w:val="1"/>
          <w:numId w:val="1"/>
        </w:numPr>
        <w:spacing w:line="240" w:lineRule="auto"/>
        <w:rPr>
          <w:rFonts w:eastAsia="Times New Roman"/>
          <w:bCs/>
          <w:color w:val="auto"/>
          <w:szCs w:val="22"/>
        </w:rPr>
      </w:pPr>
      <w:r>
        <w:rPr>
          <w:rFonts w:eastAsia="Times New Roman"/>
          <w:bCs/>
          <w:color w:val="auto"/>
          <w:szCs w:val="22"/>
        </w:rPr>
        <w:t xml:space="preserve">Comparative </w:t>
      </w:r>
      <w:r w:rsidR="006860F0">
        <w:rPr>
          <w:rFonts w:eastAsia="Times New Roman"/>
          <w:bCs/>
          <w:color w:val="auto"/>
          <w:szCs w:val="22"/>
        </w:rPr>
        <w:t>Line Items on Face Financials - when reporting income statement or balance sheet, the same ASC 606 revenue elements should be used for all periods reported.</w:t>
      </w:r>
    </w:p>
    <w:p w14:paraId="480DF5B5" w14:textId="7D3DBB26" w:rsidR="003318D8" w:rsidRDefault="006860F0" w:rsidP="00295C0F">
      <w:pPr>
        <w:pStyle w:val="ListParagraph"/>
        <w:numPr>
          <w:ilvl w:val="1"/>
          <w:numId w:val="1"/>
        </w:numPr>
        <w:spacing w:line="240" w:lineRule="auto"/>
        <w:rPr>
          <w:rFonts w:eastAsia="Times New Roman"/>
          <w:bCs/>
          <w:color w:val="auto"/>
          <w:szCs w:val="22"/>
        </w:rPr>
      </w:pPr>
      <w:r>
        <w:rPr>
          <w:rFonts w:eastAsia="Times New Roman"/>
          <w:bCs/>
          <w:color w:val="auto"/>
          <w:szCs w:val="22"/>
        </w:rPr>
        <w:lastRenderedPageBreak/>
        <w:t>Disaggregated R</w:t>
      </w:r>
      <w:r w:rsidR="003318D8">
        <w:rPr>
          <w:rFonts w:eastAsia="Times New Roman"/>
          <w:bCs/>
          <w:color w:val="auto"/>
          <w:szCs w:val="22"/>
        </w:rPr>
        <w:t>evenue – many issues</w:t>
      </w:r>
      <w:r w:rsidR="00D434A6">
        <w:rPr>
          <w:rFonts w:eastAsia="Times New Roman"/>
          <w:bCs/>
          <w:color w:val="auto"/>
          <w:szCs w:val="22"/>
        </w:rPr>
        <w:t xml:space="preserve"> and questions</w:t>
      </w:r>
      <w:r w:rsidR="003318D8">
        <w:rPr>
          <w:rFonts w:eastAsia="Times New Roman"/>
          <w:bCs/>
          <w:color w:val="auto"/>
          <w:szCs w:val="22"/>
        </w:rPr>
        <w:t xml:space="preserve"> came up with this topic</w:t>
      </w:r>
      <w:r>
        <w:rPr>
          <w:rFonts w:eastAsia="Times New Roman"/>
          <w:bCs/>
          <w:color w:val="auto"/>
          <w:szCs w:val="22"/>
        </w:rPr>
        <w:t xml:space="preserve"> so the document now p</w:t>
      </w:r>
      <w:r w:rsidR="003318D8">
        <w:rPr>
          <w:rFonts w:eastAsia="Times New Roman"/>
          <w:bCs/>
          <w:color w:val="auto"/>
          <w:szCs w:val="22"/>
        </w:rPr>
        <w:t>rovide</w:t>
      </w:r>
      <w:r>
        <w:rPr>
          <w:rFonts w:eastAsia="Times New Roman"/>
          <w:bCs/>
          <w:color w:val="auto"/>
          <w:szCs w:val="22"/>
        </w:rPr>
        <w:t>s more examples.</w:t>
      </w:r>
      <w:r w:rsidR="00D434A6">
        <w:rPr>
          <w:rFonts w:eastAsia="Times New Roman"/>
          <w:bCs/>
          <w:color w:val="auto"/>
          <w:szCs w:val="22"/>
        </w:rPr>
        <w:t xml:space="preserve"> Campbell walked through the various scenarios.</w:t>
      </w:r>
    </w:p>
    <w:p w14:paraId="1FE4F321" w14:textId="6432E567" w:rsidR="003318D8" w:rsidRDefault="003318D8" w:rsidP="00295C0F">
      <w:pPr>
        <w:pStyle w:val="ListParagraph"/>
        <w:numPr>
          <w:ilvl w:val="1"/>
          <w:numId w:val="1"/>
        </w:numPr>
        <w:spacing w:line="240" w:lineRule="auto"/>
        <w:rPr>
          <w:rFonts w:eastAsia="Times New Roman"/>
          <w:bCs/>
          <w:color w:val="auto"/>
          <w:szCs w:val="22"/>
        </w:rPr>
      </w:pPr>
      <w:r>
        <w:rPr>
          <w:rFonts w:eastAsia="Times New Roman"/>
          <w:bCs/>
          <w:color w:val="auto"/>
          <w:szCs w:val="22"/>
        </w:rPr>
        <w:t>Rev</w:t>
      </w:r>
      <w:r w:rsidR="006860F0">
        <w:rPr>
          <w:rFonts w:eastAsia="Times New Roman"/>
          <w:bCs/>
          <w:color w:val="auto"/>
          <w:szCs w:val="22"/>
        </w:rPr>
        <w:t>e</w:t>
      </w:r>
      <w:r w:rsidR="00D434A6">
        <w:rPr>
          <w:rFonts w:eastAsia="Times New Roman"/>
          <w:bCs/>
          <w:color w:val="auto"/>
          <w:szCs w:val="22"/>
        </w:rPr>
        <w:t>nue for Financial I</w:t>
      </w:r>
      <w:r>
        <w:rPr>
          <w:rFonts w:eastAsia="Times New Roman"/>
          <w:bCs/>
          <w:color w:val="auto"/>
          <w:szCs w:val="22"/>
        </w:rPr>
        <w:t>nstitutions</w:t>
      </w:r>
      <w:r w:rsidR="00D434A6">
        <w:rPr>
          <w:rFonts w:eastAsia="Times New Roman"/>
          <w:bCs/>
          <w:color w:val="auto"/>
          <w:szCs w:val="22"/>
        </w:rPr>
        <w:t xml:space="preserve"> – aggregate revenues cannot be cleanly disaggregated into revenue from contracts with customers, example provided in guidance. </w:t>
      </w:r>
    </w:p>
    <w:p w14:paraId="7BFB0F90" w14:textId="20A2457A" w:rsidR="003318D8" w:rsidRDefault="00D434A6" w:rsidP="00295C0F">
      <w:pPr>
        <w:pStyle w:val="ListParagraph"/>
        <w:numPr>
          <w:ilvl w:val="1"/>
          <w:numId w:val="1"/>
        </w:numPr>
        <w:spacing w:line="240" w:lineRule="auto"/>
        <w:rPr>
          <w:rFonts w:eastAsia="Times New Roman"/>
          <w:bCs/>
          <w:color w:val="auto"/>
          <w:szCs w:val="22"/>
        </w:rPr>
      </w:pPr>
      <w:r>
        <w:rPr>
          <w:rFonts w:eastAsia="Times New Roman"/>
          <w:bCs/>
          <w:color w:val="auto"/>
          <w:szCs w:val="22"/>
        </w:rPr>
        <w:t>Assessed T</w:t>
      </w:r>
      <w:r w:rsidR="003318D8">
        <w:rPr>
          <w:rFonts w:eastAsia="Times New Roman"/>
          <w:bCs/>
          <w:color w:val="auto"/>
          <w:szCs w:val="22"/>
        </w:rPr>
        <w:t>axes</w:t>
      </w:r>
      <w:r>
        <w:rPr>
          <w:rFonts w:eastAsia="Times New Roman"/>
          <w:bCs/>
          <w:color w:val="auto"/>
          <w:szCs w:val="22"/>
        </w:rPr>
        <w:t xml:space="preserve"> </w:t>
      </w:r>
      <w:r w:rsidR="00D5012E">
        <w:rPr>
          <w:rFonts w:eastAsia="Times New Roman"/>
          <w:bCs/>
          <w:color w:val="auto"/>
          <w:szCs w:val="22"/>
        </w:rPr>
        <w:t>–</w:t>
      </w:r>
      <w:r>
        <w:rPr>
          <w:rFonts w:eastAsia="Times New Roman"/>
          <w:bCs/>
          <w:color w:val="auto"/>
          <w:szCs w:val="22"/>
        </w:rPr>
        <w:t xml:space="preserve"> </w:t>
      </w:r>
      <w:r w:rsidR="00D5012E">
        <w:rPr>
          <w:rFonts w:eastAsia="Times New Roman"/>
          <w:bCs/>
          <w:color w:val="auto"/>
          <w:szCs w:val="22"/>
        </w:rPr>
        <w:t xml:space="preserve">if no assessed taxes, use Revenues from Contracts with Customers element that excludes assessed taxes. </w:t>
      </w:r>
    </w:p>
    <w:p w14:paraId="7B616A21" w14:textId="757182DC" w:rsidR="003318D8" w:rsidRDefault="003318D8" w:rsidP="00295C0F">
      <w:pPr>
        <w:pStyle w:val="ListParagraph"/>
        <w:numPr>
          <w:ilvl w:val="1"/>
          <w:numId w:val="1"/>
        </w:numPr>
        <w:spacing w:line="240" w:lineRule="auto"/>
        <w:rPr>
          <w:rFonts w:eastAsia="Times New Roman"/>
          <w:bCs/>
          <w:color w:val="auto"/>
          <w:szCs w:val="22"/>
        </w:rPr>
      </w:pPr>
      <w:r>
        <w:rPr>
          <w:rFonts w:eastAsia="Times New Roman"/>
          <w:bCs/>
          <w:color w:val="auto"/>
          <w:szCs w:val="22"/>
        </w:rPr>
        <w:t>Revenue Rem</w:t>
      </w:r>
      <w:r w:rsidR="00BA5501">
        <w:rPr>
          <w:rFonts w:eastAsia="Times New Roman"/>
          <w:bCs/>
          <w:color w:val="auto"/>
          <w:szCs w:val="22"/>
        </w:rPr>
        <w:t>a</w:t>
      </w:r>
      <w:r w:rsidR="00D5012E">
        <w:rPr>
          <w:rFonts w:eastAsia="Times New Roman"/>
          <w:bCs/>
          <w:color w:val="auto"/>
          <w:szCs w:val="22"/>
        </w:rPr>
        <w:t>ining Performance O</w:t>
      </w:r>
      <w:r>
        <w:rPr>
          <w:rFonts w:eastAsia="Times New Roman"/>
          <w:bCs/>
          <w:color w:val="auto"/>
          <w:szCs w:val="22"/>
        </w:rPr>
        <w:t>bligation – guidance covers DQC rules</w:t>
      </w:r>
      <w:r w:rsidR="00D5012E">
        <w:rPr>
          <w:rFonts w:eastAsia="Times New Roman"/>
          <w:bCs/>
          <w:color w:val="auto"/>
          <w:szCs w:val="22"/>
        </w:rPr>
        <w:t xml:space="preserve"> and references FASB template for default on typed dimensions</w:t>
      </w:r>
      <w:r>
        <w:rPr>
          <w:rFonts w:eastAsia="Times New Roman"/>
          <w:bCs/>
          <w:color w:val="auto"/>
          <w:szCs w:val="22"/>
        </w:rPr>
        <w:t>.</w:t>
      </w:r>
    </w:p>
    <w:p w14:paraId="7FB0804B" w14:textId="45418CE2" w:rsidR="003318D8" w:rsidRDefault="003318D8" w:rsidP="00295C0F">
      <w:pPr>
        <w:pStyle w:val="ListParagraph"/>
        <w:numPr>
          <w:ilvl w:val="1"/>
          <w:numId w:val="1"/>
        </w:numPr>
        <w:spacing w:line="240" w:lineRule="auto"/>
        <w:rPr>
          <w:rFonts w:eastAsia="Times New Roman"/>
          <w:bCs/>
          <w:color w:val="auto"/>
          <w:szCs w:val="22"/>
        </w:rPr>
      </w:pPr>
      <w:r>
        <w:rPr>
          <w:rFonts w:eastAsia="Times New Roman"/>
          <w:bCs/>
          <w:color w:val="auto"/>
          <w:szCs w:val="22"/>
        </w:rPr>
        <w:t xml:space="preserve">Selection of </w:t>
      </w:r>
      <w:r w:rsidR="00D5012E">
        <w:rPr>
          <w:rFonts w:eastAsia="Times New Roman"/>
          <w:bCs/>
          <w:color w:val="auto"/>
          <w:szCs w:val="22"/>
        </w:rPr>
        <w:t>E</w:t>
      </w:r>
      <w:r>
        <w:rPr>
          <w:rFonts w:eastAsia="Times New Roman"/>
          <w:bCs/>
          <w:color w:val="auto"/>
          <w:szCs w:val="22"/>
        </w:rPr>
        <w:t>lem</w:t>
      </w:r>
      <w:r w:rsidR="00BA5501">
        <w:rPr>
          <w:rFonts w:eastAsia="Times New Roman"/>
          <w:bCs/>
          <w:color w:val="auto"/>
          <w:szCs w:val="22"/>
        </w:rPr>
        <w:t xml:space="preserve">ents - </w:t>
      </w:r>
      <w:r w:rsidR="00D5012E">
        <w:rPr>
          <w:rFonts w:eastAsia="Times New Roman"/>
          <w:bCs/>
          <w:color w:val="auto"/>
          <w:szCs w:val="22"/>
        </w:rPr>
        <w:t xml:space="preserve">guidance states </w:t>
      </w:r>
      <w:r w:rsidR="00BA5501">
        <w:rPr>
          <w:rFonts w:eastAsia="Times New Roman"/>
          <w:bCs/>
          <w:color w:val="auto"/>
          <w:szCs w:val="22"/>
        </w:rPr>
        <w:t>no mixing ele</w:t>
      </w:r>
      <w:r>
        <w:rPr>
          <w:rFonts w:eastAsia="Times New Roman"/>
          <w:bCs/>
          <w:color w:val="auto"/>
          <w:szCs w:val="22"/>
        </w:rPr>
        <w:t>m</w:t>
      </w:r>
      <w:r w:rsidR="00BA5501">
        <w:rPr>
          <w:rFonts w:eastAsia="Times New Roman"/>
          <w:bCs/>
          <w:color w:val="auto"/>
          <w:szCs w:val="22"/>
        </w:rPr>
        <w:t>e</w:t>
      </w:r>
      <w:r>
        <w:rPr>
          <w:rFonts w:eastAsia="Times New Roman"/>
          <w:bCs/>
          <w:color w:val="auto"/>
          <w:szCs w:val="22"/>
        </w:rPr>
        <w:t>nts from old and new standards</w:t>
      </w:r>
      <w:r w:rsidR="00016AA4">
        <w:rPr>
          <w:rFonts w:eastAsia="Times New Roman"/>
          <w:bCs/>
          <w:color w:val="auto"/>
          <w:szCs w:val="22"/>
        </w:rPr>
        <w:t>, DQC_</w:t>
      </w:r>
      <w:r w:rsidR="00D5012E">
        <w:rPr>
          <w:rFonts w:eastAsia="Times New Roman"/>
          <w:bCs/>
          <w:color w:val="auto"/>
          <w:szCs w:val="22"/>
        </w:rPr>
        <w:t>0067</w:t>
      </w:r>
      <w:r w:rsidR="00016AA4">
        <w:rPr>
          <w:rFonts w:eastAsia="Times New Roman"/>
          <w:bCs/>
          <w:color w:val="auto"/>
          <w:szCs w:val="22"/>
        </w:rPr>
        <w:t xml:space="preserve"> covers this</w:t>
      </w:r>
      <w:r w:rsidR="00D5012E">
        <w:rPr>
          <w:rFonts w:eastAsia="Times New Roman"/>
          <w:bCs/>
          <w:color w:val="auto"/>
          <w:szCs w:val="22"/>
        </w:rPr>
        <w:t>.</w:t>
      </w:r>
    </w:p>
    <w:p w14:paraId="1BE67856" w14:textId="2B9D0A96" w:rsidR="003318D8" w:rsidRDefault="00D5012E" w:rsidP="00295C0F">
      <w:pPr>
        <w:pStyle w:val="ListParagraph"/>
        <w:numPr>
          <w:ilvl w:val="1"/>
          <w:numId w:val="1"/>
        </w:numPr>
        <w:spacing w:line="240" w:lineRule="auto"/>
        <w:rPr>
          <w:rFonts w:eastAsia="Times New Roman"/>
          <w:bCs/>
          <w:color w:val="auto"/>
          <w:szCs w:val="22"/>
        </w:rPr>
      </w:pPr>
      <w:r>
        <w:rPr>
          <w:rFonts w:eastAsia="Times New Roman"/>
          <w:bCs/>
          <w:color w:val="auto"/>
          <w:szCs w:val="22"/>
        </w:rPr>
        <w:t>Subtotals by P</w:t>
      </w:r>
      <w:r w:rsidR="003318D8">
        <w:rPr>
          <w:rFonts w:eastAsia="Times New Roman"/>
          <w:bCs/>
          <w:color w:val="auto"/>
          <w:szCs w:val="22"/>
        </w:rPr>
        <w:t>roduct</w:t>
      </w:r>
      <w:r>
        <w:rPr>
          <w:rFonts w:eastAsia="Times New Roman"/>
          <w:bCs/>
          <w:color w:val="auto"/>
          <w:szCs w:val="22"/>
        </w:rPr>
        <w:t xml:space="preserve"> – covers information in DQC rules</w:t>
      </w:r>
    </w:p>
    <w:p w14:paraId="5A23CDE6" w14:textId="55AC3F60" w:rsidR="003318D8" w:rsidRDefault="003318D8" w:rsidP="00295C0F">
      <w:pPr>
        <w:pStyle w:val="ListParagraph"/>
        <w:numPr>
          <w:ilvl w:val="1"/>
          <w:numId w:val="1"/>
        </w:numPr>
        <w:spacing w:line="240" w:lineRule="auto"/>
        <w:rPr>
          <w:rFonts w:eastAsia="Times New Roman"/>
          <w:bCs/>
          <w:color w:val="auto"/>
          <w:szCs w:val="22"/>
        </w:rPr>
      </w:pPr>
      <w:r>
        <w:rPr>
          <w:rFonts w:eastAsia="Times New Roman"/>
          <w:bCs/>
          <w:color w:val="auto"/>
          <w:szCs w:val="22"/>
        </w:rPr>
        <w:t>Revenue before topic 606</w:t>
      </w:r>
      <w:r w:rsidR="00D5012E">
        <w:rPr>
          <w:rFonts w:eastAsia="Times New Roman"/>
          <w:bCs/>
          <w:color w:val="auto"/>
          <w:szCs w:val="22"/>
        </w:rPr>
        <w:t xml:space="preserve"> - </w:t>
      </w:r>
      <w:r>
        <w:rPr>
          <w:rFonts w:eastAsia="Times New Roman"/>
          <w:bCs/>
          <w:color w:val="auto"/>
          <w:szCs w:val="22"/>
        </w:rPr>
        <w:t>provides examples</w:t>
      </w:r>
      <w:r w:rsidR="00D5012E">
        <w:rPr>
          <w:rFonts w:eastAsia="Times New Roman"/>
          <w:bCs/>
          <w:color w:val="auto"/>
          <w:szCs w:val="22"/>
        </w:rPr>
        <w:t xml:space="preserve"> of</w:t>
      </w:r>
      <w:r>
        <w:rPr>
          <w:rFonts w:eastAsia="Times New Roman"/>
          <w:bCs/>
          <w:color w:val="auto"/>
          <w:szCs w:val="22"/>
        </w:rPr>
        <w:t xml:space="preserve"> </w:t>
      </w:r>
      <w:r w:rsidR="00F90F12">
        <w:rPr>
          <w:rFonts w:eastAsia="Times New Roman"/>
          <w:bCs/>
          <w:color w:val="auto"/>
          <w:szCs w:val="22"/>
        </w:rPr>
        <w:t>current period values as measured under previous guidance to the revenues measured under ASC 606.</w:t>
      </w:r>
    </w:p>
    <w:p w14:paraId="5D9F2BD3" w14:textId="77777777" w:rsidR="00F90F12" w:rsidRDefault="00F90F12" w:rsidP="00F90F12">
      <w:pPr>
        <w:pStyle w:val="ListParagraph"/>
        <w:spacing w:line="240" w:lineRule="auto"/>
        <w:ind w:left="1440"/>
        <w:rPr>
          <w:rFonts w:eastAsia="Times New Roman"/>
          <w:bCs/>
          <w:color w:val="auto"/>
          <w:szCs w:val="22"/>
        </w:rPr>
      </w:pPr>
    </w:p>
    <w:p w14:paraId="374F55CE" w14:textId="3D3EB79D" w:rsidR="00F90F12" w:rsidRDefault="00F90F12" w:rsidP="00F90F12">
      <w:pPr>
        <w:pStyle w:val="ListParagraph"/>
        <w:numPr>
          <w:ilvl w:val="0"/>
          <w:numId w:val="19"/>
        </w:numPr>
        <w:spacing w:line="240" w:lineRule="auto"/>
        <w:rPr>
          <w:rFonts w:eastAsia="Times New Roman"/>
          <w:bCs/>
          <w:color w:val="auto"/>
          <w:szCs w:val="22"/>
        </w:rPr>
      </w:pPr>
      <w:r>
        <w:rPr>
          <w:rFonts w:eastAsia="Times New Roman"/>
          <w:bCs/>
          <w:color w:val="auto"/>
          <w:szCs w:val="22"/>
        </w:rPr>
        <w:t xml:space="preserve">Chase indicated that his firm had reviewed the document and will not have a major impact on their </w:t>
      </w:r>
      <w:r w:rsidR="00D5012E">
        <w:rPr>
          <w:rFonts w:eastAsia="Times New Roman"/>
          <w:bCs/>
          <w:color w:val="auto"/>
          <w:szCs w:val="22"/>
        </w:rPr>
        <w:t>clients</w:t>
      </w:r>
      <w:r>
        <w:rPr>
          <w:rFonts w:eastAsia="Times New Roman"/>
          <w:bCs/>
          <w:color w:val="auto"/>
          <w:szCs w:val="22"/>
        </w:rPr>
        <w:t>.</w:t>
      </w:r>
    </w:p>
    <w:p w14:paraId="0ACE30D2" w14:textId="77777777" w:rsidR="00F90F12" w:rsidRPr="00295C0F" w:rsidRDefault="00F90F12" w:rsidP="00F90F12">
      <w:pPr>
        <w:pStyle w:val="ListParagraph"/>
        <w:spacing w:line="240" w:lineRule="auto"/>
        <w:rPr>
          <w:rFonts w:eastAsia="Times New Roman"/>
          <w:bCs/>
          <w:color w:val="auto"/>
          <w:szCs w:val="22"/>
        </w:rPr>
      </w:pPr>
    </w:p>
    <w:p w14:paraId="2C5F5FA9" w14:textId="712378CC" w:rsidR="00295C0F" w:rsidRPr="00B61CA4" w:rsidRDefault="00295C0F" w:rsidP="00295C0F">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w:t>
      </w:r>
      <w:r w:rsidR="00F90F12">
        <w:rPr>
          <w:rFonts w:eastAsia="Times New Roman"/>
        </w:rPr>
        <w:t xml:space="preserve">Rule Set 7 </w:t>
      </w:r>
      <w:r>
        <w:rPr>
          <w:rFonts w:eastAsia="Times New Roman"/>
        </w:rPr>
        <w:t xml:space="preserve">DQC_0067-DQC_0074, DQC_0076-DQC_0078 and Revenue Guidance, </w:t>
      </w:r>
      <w:r w:rsidRPr="00B61CA4">
        <w:rPr>
          <w:rFonts w:eastAsia="Times New Roman"/>
        </w:rPr>
        <w:t>by</w:t>
      </w:r>
      <w:r>
        <w:rPr>
          <w:rFonts w:eastAsia="Times New Roman"/>
        </w:rPr>
        <w:t xml:space="preserve"> Chase </w:t>
      </w:r>
      <w:proofErr w:type="spellStart"/>
      <w:r>
        <w:rPr>
          <w:rFonts w:eastAsia="Times New Roman"/>
        </w:rPr>
        <w:t>Bongirno</w:t>
      </w:r>
      <w:proofErr w:type="spellEnd"/>
      <w:r w:rsidRPr="00B61CA4">
        <w:rPr>
          <w:rFonts w:eastAsia="Times New Roman"/>
        </w:rPr>
        <w:t>, seconded by</w:t>
      </w:r>
      <w:r w:rsidR="00F90F12">
        <w:rPr>
          <w:rFonts w:eastAsia="Times New Roman"/>
        </w:rPr>
        <w:t xml:space="preserve"> Pranav </w:t>
      </w:r>
      <w:proofErr w:type="spellStart"/>
      <w:r w:rsidR="00F90F12">
        <w:rPr>
          <w:rFonts w:eastAsia="Times New Roman"/>
        </w:rPr>
        <w:t>Ghai</w:t>
      </w:r>
      <w:proofErr w:type="spellEnd"/>
      <w:r>
        <w:rPr>
          <w:rFonts w:eastAsia="Times New Roman"/>
        </w:rPr>
        <w:t>.</w:t>
      </w:r>
    </w:p>
    <w:p w14:paraId="5C3D459F" w14:textId="3974C06B" w:rsidR="00295C0F" w:rsidRDefault="00295C0F" w:rsidP="00295C0F">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99362B">
        <w:rPr>
          <w:rFonts w:eastAsia="Times New Roman"/>
          <w:bCs/>
          <w:color w:val="auto"/>
          <w:szCs w:val="22"/>
        </w:rPr>
        <w:t>7</w:t>
      </w:r>
      <w:r w:rsidRPr="009E29DC">
        <w:rPr>
          <w:rFonts w:eastAsia="Times New Roman"/>
          <w:bCs/>
          <w:color w:val="auto"/>
          <w:szCs w:val="22"/>
        </w:rPr>
        <w:t>, 0 Against)</w:t>
      </w:r>
    </w:p>
    <w:p w14:paraId="093EC5DB" w14:textId="553659BD" w:rsidR="00872ADC" w:rsidRPr="00295C0F" w:rsidRDefault="00295C0F" w:rsidP="00295C0F">
      <w:pPr>
        <w:pStyle w:val="ListParagraph"/>
        <w:numPr>
          <w:ilvl w:val="0"/>
          <w:numId w:val="1"/>
        </w:numPr>
        <w:spacing w:line="240" w:lineRule="auto"/>
        <w:rPr>
          <w:rFonts w:eastAsia="Times New Roman"/>
          <w:bCs/>
          <w:color w:val="auto"/>
          <w:szCs w:val="22"/>
        </w:rPr>
      </w:pPr>
      <w:r w:rsidRPr="00295C0F">
        <w:rPr>
          <w:rFonts w:eastAsia="Times New Roman"/>
          <w:bCs/>
          <w:color w:val="auto"/>
          <w:szCs w:val="22"/>
        </w:rPr>
        <w:t xml:space="preserve">Motion passed. </w:t>
      </w:r>
      <w:r>
        <w:rPr>
          <w:rFonts w:eastAsia="Times New Roman"/>
        </w:rPr>
        <w:t>DQC_0067-DQC_0074, DQC_0076-DQC_0078 and Revenue Guidance approved.</w:t>
      </w:r>
    </w:p>
    <w:p w14:paraId="0BF69664" w14:textId="77777777" w:rsidR="00193771" w:rsidRPr="00193771" w:rsidRDefault="00193771" w:rsidP="00193771">
      <w:pPr>
        <w:pStyle w:val="ListParagraph"/>
        <w:spacing w:line="312" w:lineRule="auto"/>
        <w:ind w:left="780"/>
      </w:pPr>
    </w:p>
    <w:p w14:paraId="2144107C" w14:textId="77777777" w:rsidR="00144ADB" w:rsidRPr="00144ADB" w:rsidRDefault="00144ADB" w:rsidP="00144ADB">
      <w:pPr>
        <w:spacing w:line="312" w:lineRule="auto"/>
        <w:rPr>
          <w:rFonts w:ascii="Arial" w:eastAsia="Arial" w:hAnsi="Arial" w:cs="Arial"/>
          <w:b/>
          <w:sz w:val="22"/>
        </w:rPr>
      </w:pPr>
      <w:r w:rsidRPr="00144ADB">
        <w:rPr>
          <w:rFonts w:ascii="Arial" w:eastAsia="Arial" w:hAnsi="Arial" w:cs="Arial"/>
          <w:b/>
          <w:sz w:val="22"/>
        </w:rPr>
        <w:t>Nonconsolidated Legal Entity Guidance Update</w:t>
      </w:r>
    </w:p>
    <w:p w14:paraId="1399BE55" w14:textId="63C01287" w:rsidR="00B22AAE" w:rsidRDefault="00B22AAE" w:rsidP="00144ADB">
      <w:pPr>
        <w:pStyle w:val="ListParagraph"/>
        <w:numPr>
          <w:ilvl w:val="0"/>
          <w:numId w:val="17"/>
        </w:numPr>
        <w:spacing w:after="160" w:line="288" w:lineRule="auto"/>
        <w:rPr>
          <w:szCs w:val="22"/>
        </w:rPr>
      </w:pPr>
      <w:r>
        <w:rPr>
          <w:szCs w:val="22"/>
        </w:rPr>
        <w:t>Guidance document is under review and we are still obtaining comments and awaiting FASB review.</w:t>
      </w:r>
    </w:p>
    <w:p w14:paraId="37765752" w14:textId="5CDBBF49" w:rsidR="00BD24C2" w:rsidRDefault="00F90F12" w:rsidP="00144ADB">
      <w:pPr>
        <w:pStyle w:val="ListParagraph"/>
        <w:numPr>
          <w:ilvl w:val="0"/>
          <w:numId w:val="17"/>
        </w:numPr>
        <w:spacing w:after="160" w:line="288" w:lineRule="auto"/>
        <w:rPr>
          <w:szCs w:val="22"/>
        </w:rPr>
      </w:pPr>
      <w:r w:rsidRPr="00F90F12">
        <w:rPr>
          <w:szCs w:val="22"/>
        </w:rPr>
        <w:t>Document provides guidance on how axes should be used</w:t>
      </w:r>
      <w:r w:rsidR="00B22AAE">
        <w:rPr>
          <w:szCs w:val="22"/>
        </w:rPr>
        <w:t xml:space="preserve"> related to legal entities</w:t>
      </w:r>
      <w:r w:rsidRPr="00F90F12">
        <w:rPr>
          <w:szCs w:val="22"/>
        </w:rPr>
        <w:t>.</w:t>
      </w:r>
      <w:r w:rsidR="00B22AAE">
        <w:rPr>
          <w:szCs w:val="22"/>
        </w:rPr>
        <w:t xml:space="preserve"> Topics include:</w:t>
      </w:r>
    </w:p>
    <w:p w14:paraId="5A93A819" w14:textId="46D657B6" w:rsidR="00B22AAE" w:rsidRDefault="00F90F12" w:rsidP="00F90F12">
      <w:pPr>
        <w:pStyle w:val="ListParagraph"/>
        <w:numPr>
          <w:ilvl w:val="1"/>
          <w:numId w:val="17"/>
        </w:numPr>
        <w:spacing w:after="160" w:line="288" w:lineRule="auto"/>
        <w:rPr>
          <w:szCs w:val="22"/>
        </w:rPr>
      </w:pPr>
      <w:r>
        <w:rPr>
          <w:szCs w:val="22"/>
        </w:rPr>
        <w:t>Legal Entity Axis – allows filers to report values for legal entities.  Table in guidance provides example</w:t>
      </w:r>
      <w:r w:rsidR="00B22AAE">
        <w:rPr>
          <w:szCs w:val="22"/>
        </w:rPr>
        <w:t>s</w:t>
      </w:r>
      <w:r w:rsidR="00016AA4">
        <w:rPr>
          <w:szCs w:val="22"/>
        </w:rPr>
        <w:t xml:space="preserve"> of legal entities that might </w:t>
      </w:r>
      <w:r>
        <w:rPr>
          <w:szCs w:val="22"/>
        </w:rPr>
        <w:t>be used to tag revenue</w:t>
      </w:r>
      <w:r w:rsidR="00472478">
        <w:rPr>
          <w:szCs w:val="22"/>
        </w:rPr>
        <w:t xml:space="preserve">, </w:t>
      </w:r>
      <w:r w:rsidR="00016AA4">
        <w:rPr>
          <w:szCs w:val="22"/>
        </w:rPr>
        <w:t xml:space="preserve">table </w:t>
      </w:r>
      <w:r w:rsidR="00472478">
        <w:rPr>
          <w:szCs w:val="22"/>
        </w:rPr>
        <w:t>provides meaning when reported in the registrant’s filing</w:t>
      </w:r>
      <w:r>
        <w:rPr>
          <w:szCs w:val="22"/>
        </w:rPr>
        <w:t xml:space="preserve">. </w:t>
      </w:r>
    </w:p>
    <w:p w14:paraId="37C41C85" w14:textId="66A128EF" w:rsidR="00F90F12" w:rsidRDefault="00B22AAE" w:rsidP="00F90F12">
      <w:pPr>
        <w:pStyle w:val="ListParagraph"/>
        <w:numPr>
          <w:ilvl w:val="1"/>
          <w:numId w:val="17"/>
        </w:numPr>
        <w:spacing w:after="160" w:line="288" w:lineRule="auto"/>
        <w:rPr>
          <w:szCs w:val="22"/>
        </w:rPr>
      </w:pPr>
      <w:r>
        <w:rPr>
          <w:szCs w:val="22"/>
        </w:rPr>
        <w:t xml:space="preserve">Consolidated Company Reporting – report </w:t>
      </w:r>
      <w:r w:rsidR="00472478">
        <w:rPr>
          <w:szCs w:val="22"/>
        </w:rPr>
        <w:t>the aggregate sales of sub</w:t>
      </w:r>
      <w:r>
        <w:rPr>
          <w:szCs w:val="22"/>
        </w:rPr>
        <w:t>sidiary in the holding company.</w:t>
      </w:r>
      <w:r w:rsidR="00472478">
        <w:rPr>
          <w:szCs w:val="22"/>
        </w:rPr>
        <w:t xml:space="preserve"> T</w:t>
      </w:r>
      <w:r>
        <w:rPr>
          <w:szCs w:val="22"/>
        </w:rPr>
        <w:t>he guidance provides example of how the holding company reports consolidated revenues of the subsidiaries.</w:t>
      </w:r>
      <w:r w:rsidR="00F90F12">
        <w:rPr>
          <w:szCs w:val="22"/>
        </w:rPr>
        <w:t xml:space="preserve">   </w:t>
      </w:r>
      <w:r>
        <w:rPr>
          <w:szCs w:val="22"/>
        </w:rPr>
        <w:t>Table shows how Consolidated Entities Axis and Consolidation Items Axis should be used.</w:t>
      </w:r>
      <w:r w:rsidR="00472478">
        <w:rPr>
          <w:szCs w:val="22"/>
        </w:rPr>
        <w:t xml:space="preserve">  </w:t>
      </w:r>
      <w:r w:rsidR="00220D59">
        <w:rPr>
          <w:szCs w:val="22"/>
        </w:rPr>
        <w:t>DCQ_0001 a</w:t>
      </w:r>
      <w:r w:rsidR="00472478">
        <w:rPr>
          <w:szCs w:val="22"/>
        </w:rPr>
        <w:t>ddress</w:t>
      </w:r>
      <w:r w:rsidR="00C31B06">
        <w:rPr>
          <w:szCs w:val="22"/>
        </w:rPr>
        <w:t>es</w:t>
      </w:r>
      <w:r w:rsidR="00472478">
        <w:rPr>
          <w:szCs w:val="22"/>
        </w:rPr>
        <w:t xml:space="preserve"> much of this guidance; h</w:t>
      </w:r>
      <w:r w:rsidR="00220D59">
        <w:rPr>
          <w:szCs w:val="22"/>
        </w:rPr>
        <w:t>owever, more rules may be written in the future</w:t>
      </w:r>
      <w:r w:rsidR="00472478">
        <w:rPr>
          <w:szCs w:val="22"/>
        </w:rPr>
        <w:t>.</w:t>
      </w:r>
    </w:p>
    <w:p w14:paraId="3A2FFADD" w14:textId="32115A18" w:rsidR="00B22AAE" w:rsidRDefault="00B22AAE" w:rsidP="00F90F12">
      <w:pPr>
        <w:pStyle w:val="ListParagraph"/>
        <w:numPr>
          <w:ilvl w:val="1"/>
          <w:numId w:val="17"/>
        </w:numPr>
        <w:spacing w:after="160" w:line="288" w:lineRule="auto"/>
        <w:rPr>
          <w:szCs w:val="22"/>
        </w:rPr>
      </w:pPr>
      <w:r>
        <w:rPr>
          <w:szCs w:val="22"/>
        </w:rPr>
        <w:t>Transactions with C</w:t>
      </w:r>
      <w:r w:rsidR="00AB7D41">
        <w:rPr>
          <w:szCs w:val="22"/>
        </w:rPr>
        <w:t>ustomer</w:t>
      </w:r>
      <w:r>
        <w:rPr>
          <w:szCs w:val="22"/>
        </w:rPr>
        <w:t>s</w:t>
      </w:r>
      <w:r w:rsidR="00472478">
        <w:rPr>
          <w:szCs w:val="22"/>
        </w:rPr>
        <w:t xml:space="preserve"> – typically use the Major Custom</w:t>
      </w:r>
      <w:r w:rsidR="00AB7D41">
        <w:rPr>
          <w:szCs w:val="22"/>
        </w:rPr>
        <w:t>ers Axis for sales to customer (revenue breakdown by customer). Revenues for a subsidiary, from a customer, use customer name in conjunction with Legal Entity A</w:t>
      </w:r>
      <w:r w:rsidR="00220D59">
        <w:rPr>
          <w:szCs w:val="22"/>
        </w:rPr>
        <w:t>xis.</w:t>
      </w:r>
      <w:r w:rsidR="00AB7D41">
        <w:rPr>
          <w:szCs w:val="22"/>
        </w:rPr>
        <w:t xml:space="preserve"> </w:t>
      </w:r>
    </w:p>
    <w:p w14:paraId="5DB7BA2A" w14:textId="3F52892C" w:rsidR="00B22AAE" w:rsidRDefault="00B22AAE" w:rsidP="00F90F12">
      <w:pPr>
        <w:pStyle w:val="ListParagraph"/>
        <w:numPr>
          <w:ilvl w:val="1"/>
          <w:numId w:val="17"/>
        </w:numPr>
        <w:spacing w:after="160" w:line="288" w:lineRule="auto"/>
        <w:rPr>
          <w:szCs w:val="22"/>
        </w:rPr>
      </w:pPr>
      <w:r>
        <w:rPr>
          <w:szCs w:val="22"/>
        </w:rPr>
        <w:t>Transactions with Related Parties</w:t>
      </w:r>
      <w:r w:rsidR="00AB7D41">
        <w:rPr>
          <w:szCs w:val="22"/>
        </w:rPr>
        <w:t xml:space="preserve"> – use Legal E</w:t>
      </w:r>
      <w:r w:rsidR="00220D59">
        <w:rPr>
          <w:szCs w:val="22"/>
        </w:rPr>
        <w:t xml:space="preserve">ntity </w:t>
      </w:r>
      <w:r w:rsidR="00AB7D41">
        <w:rPr>
          <w:szCs w:val="22"/>
        </w:rPr>
        <w:t xml:space="preserve">Axis </w:t>
      </w:r>
      <w:r w:rsidR="00220D59">
        <w:rPr>
          <w:szCs w:val="22"/>
        </w:rPr>
        <w:t>wi</w:t>
      </w:r>
      <w:r w:rsidR="00AB7D41">
        <w:rPr>
          <w:szCs w:val="22"/>
        </w:rPr>
        <w:t>th Related Party A</w:t>
      </w:r>
      <w:r w:rsidR="00220D59">
        <w:rPr>
          <w:szCs w:val="22"/>
        </w:rPr>
        <w:t>xis.</w:t>
      </w:r>
    </w:p>
    <w:p w14:paraId="765404FB" w14:textId="4FAC3AD4" w:rsidR="0087480B" w:rsidRPr="0087480B" w:rsidRDefault="00B22AAE" w:rsidP="0087480B">
      <w:pPr>
        <w:pStyle w:val="Heading2"/>
        <w:numPr>
          <w:ilvl w:val="0"/>
          <w:numId w:val="21"/>
        </w:numPr>
        <w:ind w:left="1530"/>
        <w:contextualSpacing/>
        <w:rPr>
          <w:color w:val="000000"/>
          <w:sz w:val="22"/>
          <w:szCs w:val="22"/>
          <w:lang w:val="en-US"/>
        </w:rPr>
      </w:pPr>
      <w:r w:rsidRPr="0087480B">
        <w:rPr>
          <w:color w:val="000000"/>
          <w:sz w:val="22"/>
          <w:szCs w:val="22"/>
          <w:lang w:val="en-US"/>
        </w:rPr>
        <w:lastRenderedPageBreak/>
        <w:t>Ownership Axis</w:t>
      </w:r>
      <w:r w:rsidR="00AB7D41" w:rsidRPr="0087480B">
        <w:rPr>
          <w:color w:val="000000"/>
          <w:sz w:val="22"/>
          <w:szCs w:val="22"/>
          <w:lang w:val="en-US"/>
        </w:rPr>
        <w:t xml:space="preserve"> – identifies when the Ownership A</w:t>
      </w:r>
      <w:r w:rsidR="00220D59" w:rsidRPr="0087480B">
        <w:rPr>
          <w:color w:val="000000"/>
          <w:sz w:val="22"/>
          <w:szCs w:val="22"/>
          <w:lang w:val="en-US"/>
        </w:rPr>
        <w:t>xis should be used.  Rule DQC_0078</w:t>
      </w:r>
      <w:r w:rsidR="00220D59">
        <w:rPr>
          <w:szCs w:val="22"/>
        </w:rPr>
        <w:t xml:space="preserve"> </w:t>
      </w:r>
      <w:r w:rsidR="00220D59" w:rsidRPr="0087480B">
        <w:rPr>
          <w:color w:val="000000"/>
          <w:sz w:val="22"/>
          <w:szCs w:val="22"/>
          <w:lang w:val="en-US"/>
        </w:rPr>
        <w:t>ad</w:t>
      </w:r>
      <w:r w:rsidR="00AB7D41" w:rsidRPr="0087480B">
        <w:rPr>
          <w:color w:val="000000"/>
          <w:sz w:val="22"/>
          <w:szCs w:val="22"/>
          <w:lang w:val="en-US"/>
        </w:rPr>
        <w:t>dress</w:t>
      </w:r>
      <w:r w:rsidR="00C31B06">
        <w:rPr>
          <w:color w:val="000000"/>
          <w:sz w:val="22"/>
          <w:szCs w:val="22"/>
          <w:lang w:val="en-US"/>
        </w:rPr>
        <w:t>es</w:t>
      </w:r>
      <w:r w:rsidR="00AB7D41" w:rsidRPr="0087480B">
        <w:rPr>
          <w:color w:val="000000"/>
          <w:sz w:val="22"/>
          <w:szCs w:val="22"/>
          <w:lang w:val="en-US"/>
        </w:rPr>
        <w:t xml:space="preserve"> when a list of element i</w:t>
      </w:r>
      <w:r w:rsidR="00220D59" w:rsidRPr="0087480B">
        <w:rPr>
          <w:color w:val="000000"/>
          <w:sz w:val="22"/>
          <w:szCs w:val="22"/>
          <w:lang w:val="en-US"/>
        </w:rPr>
        <w:t xml:space="preserve">s used w/o ownership axis. </w:t>
      </w:r>
    </w:p>
    <w:p w14:paraId="3E5E1111" w14:textId="69D4BEDA" w:rsidR="0087480B" w:rsidRDefault="0087480B" w:rsidP="0087480B">
      <w:pPr>
        <w:pStyle w:val="Heading2"/>
        <w:numPr>
          <w:ilvl w:val="0"/>
          <w:numId w:val="20"/>
        </w:numPr>
        <w:contextualSpacing/>
        <w:rPr>
          <w:color w:val="231F20"/>
          <w:sz w:val="20"/>
          <w:szCs w:val="20"/>
        </w:rPr>
      </w:pPr>
      <w:proofErr w:type="spellStart"/>
      <w:r>
        <w:rPr>
          <w:color w:val="231F20"/>
          <w:sz w:val="20"/>
          <w:szCs w:val="20"/>
        </w:rPr>
        <w:t>ManagingMemberOrGeneralPartnerOwnershipInterest</w:t>
      </w:r>
      <w:proofErr w:type="spellEnd"/>
    </w:p>
    <w:p w14:paraId="39C18BE6" w14:textId="77777777" w:rsidR="0087480B" w:rsidRDefault="0087480B" w:rsidP="0087480B">
      <w:pPr>
        <w:pStyle w:val="Heading2"/>
        <w:numPr>
          <w:ilvl w:val="0"/>
          <w:numId w:val="20"/>
        </w:numPr>
        <w:contextualSpacing/>
        <w:rPr>
          <w:color w:val="231F20"/>
          <w:sz w:val="20"/>
          <w:szCs w:val="20"/>
        </w:rPr>
      </w:pPr>
      <w:bookmarkStart w:id="1" w:name="_bmav2orjgeob" w:colFirst="0" w:colLast="0"/>
      <w:bookmarkEnd w:id="1"/>
      <w:proofErr w:type="spellStart"/>
      <w:r>
        <w:rPr>
          <w:color w:val="231F20"/>
          <w:sz w:val="20"/>
          <w:szCs w:val="20"/>
        </w:rPr>
        <w:t>MinorityInterestOwnershipPercentageByParent</w:t>
      </w:r>
      <w:proofErr w:type="spellEnd"/>
    </w:p>
    <w:p w14:paraId="5120BE69" w14:textId="77777777" w:rsidR="0087480B" w:rsidRDefault="0087480B" w:rsidP="0087480B">
      <w:pPr>
        <w:numPr>
          <w:ilvl w:val="0"/>
          <w:numId w:val="20"/>
        </w:numPr>
      </w:pPr>
      <w:proofErr w:type="spellStart"/>
      <w:r>
        <w:rPr>
          <w:rFonts w:ascii="Arial" w:eastAsia="Arial" w:hAnsi="Arial" w:cs="Arial"/>
          <w:color w:val="231F20"/>
        </w:rPr>
        <w:t>MinorityInterestOwnershipPercentageByNoncontrollingOwners</w:t>
      </w:r>
      <w:proofErr w:type="spellEnd"/>
    </w:p>
    <w:p w14:paraId="7035A366" w14:textId="77777777" w:rsidR="0087480B" w:rsidRDefault="0087480B" w:rsidP="0087480B">
      <w:pPr>
        <w:pStyle w:val="Heading2"/>
        <w:numPr>
          <w:ilvl w:val="0"/>
          <w:numId w:val="20"/>
        </w:numPr>
        <w:contextualSpacing/>
        <w:rPr>
          <w:sz w:val="20"/>
          <w:szCs w:val="20"/>
          <w:highlight w:val="white"/>
        </w:rPr>
      </w:pPr>
      <w:bookmarkStart w:id="2" w:name="_xz34fn5bxfu2" w:colFirst="0" w:colLast="0"/>
      <w:bookmarkEnd w:id="2"/>
      <w:r>
        <w:rPr>
          <w:sz w:val="20"/>
          <w:szCs w:val="20"/>
          <w:highlight w:val="white"/>
        </w:rPr>
        <w:t>LimitedLiabilityCompanyLLCOrLimitedPartnershipLPMembersOrLimitedPartnersOwnershipInterest</w:t>
      </w:r>
    </w:p>
    <w:p w14:paraId="54CA776A" w14:textId="77777777" w:rsidR="0087480B" w:rsidRPr="0087480B" w:rsidRDefault="0087480B" w:rsidP="0087480B">
      <w:pPr>
        <w:pStyle w:val="Heading2"/>
        <w:numPr>
          <w:ilvl w:val="0"/>
          <w:numId w:val="20"/>
        </w:numPr>
        <w:contextualSpacing/>
        <w:rPr>
          <w:sz w:val="20"/>
          <w:szCs w:val="20"/>
          <w:highlight w:val="white"/>
        </w:rPr>
      </w:pPr>
      <w:bookmarkStart w:id="3" w:name="_flx7d11xuis8" w:colFirst="0" w:colLast="0"/>
      <w:bookmarkEnd w:id="3"/>
      <w:r>
        <w:rPr>
          <w:sz w:val="20"/>
          <w:szCs w:val="20"/>
          <w:highlight w:val="white"/>
        </w:rPr>
        <w:t>SubsidiaryOfLimitedLiabilityCompanyOrLimitedPartnershipOwnershipInterest</w:t>
      </w:r>
    </w:p>
    <w:p w14:paraId="48A5C54A" w14:textId="2E0A3D27" w:rsidR="00B22AAE" w:rsidRDefault="00220D59" w:rsidP="0087480B">
      <w:pPr>
        <w:pStyle w:val="ListParagraph"/>
        <w:numPr>
          <w:ilvl w:val="2"/>
          <w:numId w:val="17"/>
        </w:numPr>
        <w:spacing w:after="160" w:line="288" w:lineRule="auto"/>
        <w:rPr>
          <w:szCs w:val="22"/>
        </w:rPr>
      </w:pPr>
      <w:r>
        <w:rPr>
          <w:szCs w:val="22"/>
        </w:rPr>
        <w:t xml:space="preserve">Guidance provides an example.  Ownership axis should not be used to represent the ownership structure of the consolidated group due to circular nature of the disclosure. </w:t>
      </w:r>
    </w:p>
    <w:p w14:paraId="1654606F" w14:textId="266C61FF" w:rsidR="00B22AAE" w:rsidRDefault="00B22AAE" w:rsidP="009816AC">
      <w:pPr>
        <w:pStyle w:val="ListParagraph"/>
        <w:spacing w:after="160" w:line="288" w:lineRule="auto"/>
        <w:ind w:left="1440"/>
        <w:rPr>
          <w:szCs w:val="22"/>
        </w:rPr>
      </w:pPr>
    </w:p>
    <w:p w14:paraId="10E77FA3" w14:textId="5DE3965D" w:rsidR="009816AC" w:rsidRDefault="009816AC" w:rsidP="009816AC">
      <w:pPr>
        <w:pStyle w:val="ListParagraph"/>
        <w:spacing w:after="160" w:line="288" w:lineRule="auto"/>
        <w:rPr>
          <w:b/>
          <w:i/>
          <w:color w:val="FF0000"/>
          <w:szCs w:val="22"/>
        </w:rPr>
      </w:pPr>
      <w:r w:rsidRPr="009816AC">
        <w:rPr>
          <w:b/>
          <w:i/>
          <w:color w:val="FF0000"/>
          <w:szCs w:val="22"/>
        </w:rPr>
        <w:t>Action Item - Will post revised version on website for further comment.  XBRL US will communicate to members that revised document is available</w:t>
      </w:r>
      <w:r w:rsidR="00AB7D41">
        <w:rPr>
          <w:b/>
          <w:i/>
          <w:color w:val="FF0000"/>
          <w:szCs w:val="22"/>
        </w:rPr>
        <w:t xml:space="preserve">.  Email vote for approval once all comments received. </w:t>
      </w:r>
    </w:p>
    <w:p w14:paraId="2A16E9AA" w14:textId="77777777" w:rsidR="00D5012E" w:rsidRPr="009816AC" w:rsidRDefault="00D5012E" w:rsidP="009816AC">
      <w:pPr>
        <w:pStyle w:val="ListParagraph"/>
        <w:spacing w:after="160" w:line="288" w:lineRule="auto"/>
        <w:rPr>
          <w:b/>
          <w:i/>
          <w:color w:val="FF0000"/>
          <w:szCs w:val="22"/>
        </w:rPr>
      </w:pPr>
    </w:p>
    <w:p w14:paraId="2877DB3E" w14:textId="74A0D764" w:rsidR="0021499F" w:rsidRDefault="00144ADB" w:rsidP="00312759">
      <w:pPr>
        <w:pStyle w:val="ListParagraph"/>
        <w:spacing w:after="160" w:line="288" w:lineRule="auto"/>
        <w:ind w:left="0"/>
        <w:rPr>
          <w:b/>
          <w:szCs w:val="22"/>
        </w:rPr>
      </w:pPr>
      <w:r>
        <w:rPr>
          <w:b/>
          <w:szCs w:val="22"/>
        </w:rPr>
        <w:t>Future Rules Version 8</w:t>
      </w:r>
    </w:p>
    <w:p w14:paraId="59741954" w14:textId="6107C4B5" w:rsidR="00144ADB" w:rsidRDefault="00A61324" w:rsidP="006E7395">
      <w:pPr>
        <w:pStyle w:val="ListParagraph"/>
        <w:numPr>
          <w:ilvl w:val="0"/>
          <w:numId w:val="16"/>
        </w:numPr>
        <w:spacing w:after="160" w:line="288" w:lineRule="auto"/>
        <w:rPr>
          <w:szCs w:val="22"/>
        </w:rPr>
      </w:pPr>
      <w:r>
        <w:rPr>
          <w:szCs w:val="22"/>
        </w:rPr>
        <w:t>Campbell di</w:t>
      </w:r>
      <w:r w:rsidR="00472478">
        <w:rPr>
          <w:szCs w:val="22"/>
        </w:rPr>
        <w:t>s</w:t>
      </w:r>
      <w:r w:rsidR="00440AAE">
        <w:rPr>
          <w:szCs w:val="22"/>
        </w:rPr>
        <w:t>cussed that we are f</w:t>
      </w:r>
      <w:r>
        <w:rPr>
          <w:szCs w:val="22"/>
        </w:rPr>
        <w:t>ocused on nonnegative</w:t>
      </w:r>
      <w:r w:rsidR="00440AAE">
        <w:rPr>
          <w:szCs w:val="22"/>
        </w:rPr>
        <w:t xml:space="preserve"> item</w:t>
      </w:r>
      <w:r>
        <w:rPr>
          <w:szCs w:val="22"/>
        </w:rPr>
        <w:t xml:space="preserve">s from IFRS taxonomy.  </w:t>
      </w:r>
      <w:r w:rsidR="00C31B06">
        <w:rPr>
          <w:szCs w:val="22"/>
        </w:rPr>
        <w:t>Elements</w:t>
      </w:r>
      <w:r w:rsidR="00440AAE">
        <w:rPr>
          <w:szCs w:val="22"/>
        </w:rPr>
        <w:t xml:space="preserve"> in the Formula </w:t>
      </w:r>
      <w:proofErr w:type="spellStart"/>
      <w:r w:rsidR="00440AAE">
        <w:rPr>
          <w:szCs w:val="22"/>
        </w:rPr>
        <w:t>L</w:t>
      </w:r>
      <w:r w:rsidR="006467C5">
        <w:rPr>
          <w:szCs w:val="22"/>
        </w:rPr>
        <w:t>inkbase</w:t>
      </w:r>
      <w:proofErr w:type="spellEnd"/>
      <w:r w:rsidR="00440AAE">
        <w:rPr>
          <w:szCs w:val="22"/>
        </w:rPr>
        <w:t xml:space="preserve"> rules</w:t>
      </w:r>
      <w:r w:rsidR="00C31B06">
        <w:rPr>
          <w:szCs w:val="22"/>
        </w:rPr>
        <w:t xml:space="preserve"> used</w:t>
      </w:r>
      <w:r w:rsidR="00440AAE">
        <w:rPr>
          <w:szCs w:val="22"/>
        </w:rPr>
        <w:t xml:space="preserve"> as a starting point</w:t>
      </w:r>
      <w:r w:rsidR="006467C5">
        <w:rPr>
          <w:szCs w:val="22"/>
        </w:rPr>
        <w:t xml:space="preserve">.  </w:t>
      </w:r>
      <w:r w:rsidR="00440AAE">
        <w:rPr>
          <w:szCs w:val="22"/>
        </w:rPr>
        <w:t xml:space="preserve">The working group is </w:t>
      </w:r>
      <w:r w:rsidR="006467C5">
        <w:rPr>
          <w:szCs w:val="22"/>
        </w:rPr>
        <w:t>review</w:t>
      </w:r>
      <w:r w:rsidR="00440AAE">
        <w:rPr>
          <w:szCs w:val="22"/>
        </w:rPr>
        <w:t>ing</w:t>
      </w:r>
      <w:r w:rsidR="006467C5">
        <w:rPr>
          <w:szCs w:val="22"/>
        </w:rPr>
        <w:t xml:space="preserve"> th</w:t>
      </w:r>
      <w:r w:rsidR="00440AAE">
        <w:rPr>
          <w:szCs w:val="22"/>
        </w:rPr>
        <w:t>e</w:t>
      </w:r>
      <w:r w:rsidR="006467C5">
        <w:rPr>
          <w:szCs w:val="22"/>
        </w:rPr>
        <w:t xml:space="preserve"> list and have made changes or exceptions to reduce </w:t>
      </w:r>
      <w:r w:rsidR="00440AAE">
        <w:rPr>
          <w:szCs w:val="22"/>
        </w:rPr>
        <w:t xml:space="preserve">false positive </w:t>
      </w:r>
      <w:r w:rsidR="006467C5">
        <w:rPr>
          <w:szCs w:val="22"/>
        </w:rPr>
        <w:t>errors.</w:t>
      </w:r>
    </w:p>
    <w:p w14:paraId="3C20D3ED" w14:textId="61628992" w:rsidR="0031179F" w:rsidRDefault="0031179F" w:rsidP="0031179F">
      <w:pPr>
        <w:pStyle w:val="ListParagraph"/>
        <w:numPr>
          <w:ilvl w:val="0"/>
          <w:numId w:val="16"/>
        </w:numPr>
        <w:spacing w:after="160" w:line="288" w:lineRule="auto"/>
        <w:rPr>
          <w:szCs w:val="22"/>
        </w:rPr>
      </w:pPr>
      <w:r>
        <w:rPr>
          <w:szCs w:val="22"/>
        </w:rPr>
        <w:t>Lou mentioned that this rule set</w:t>
      </w:r>
      <w:r w:rsidR="00440AAE">
        <w:rPr>
          <w:szCs w:val="22"/>
        </w:rPr>
        <w:t xml:space="preserve"> version 8 will not replace rules in the IFRS Taxonomy Formula </w:t>
      </w:r>
      <w:proofErr w:type="spellStart"/>
      <w:r w:rsidR="00440AAE">
        <w:rPr>
          <w:szCs w:val="22"/>
        </w:rPr>
        <w:t>L</w:t>
      </w:r>
      <w:r>
        <w:rPr>
          <w:szCs w:val="22"/>
        </w:rPr>
        <w:t>inkbase</w:t>
      </w:r>
      <w:proofErr w:type="spellEnd"/>
      <w:r>
        <w:rPr>
          <w:szCs w:val="22"/>
        </w:rPr>
        <w:t>, filers can run both</w:t>
      </w:r>
      <w:r w:rsidR="00440AAE">
        <w:rPr>
          <w:szCs w:val="22"/>
        </w:rPr>
        <w:t xml:space="preserve"> sets of rules</w:t>
      </w:r>
      <w:r>
        <w:rPr>
          <w:szCs w:val="22"/>
        </w:rPr>
        <w:t>.</w:t>
      </w:r>
    </w:p>
    <w:p w14:paraId="235A42E9" w14:textId="319755D8" w:rsidR="00440AAE" w:rsidRDefault="00440AAE" w:rsidP="00440AAE">
      <w:pPr>
        <w:pStyle w:val="ListParagraph"/>
        <w:numPr>
          <w:ilvl w:val="0"/>
          <w:numId w:val="16"/>
        </w:numPr>
        <w:spacing w:after="160" w:line="288" w:lineRule="auto"/>
        <w:rPr>
          <w:szCs w:val="22"/>
        </w:rPr>
      </w:pPr>
      <w:r>
        <w:rPr>
          <w:szCs w:val="22"/>
        </w:rPr>
        <w:t xml:space="preserve">Campbell mentioned that we will look at developing guidance on reporting dates in filings. </w:t>
      </w:r>
    </w:p>
    <w:p w14:paraId="1C528342" w14:textId="0BFB392F" w:rsidR="006467C5" w:rsidRDefault="00440AAE" w:rsidP="006E7395">
      <w:pPr>
        <w:pStyle w:val="ListParagraph"/>
        <w:numPr>
          <w:ilvl w:val="0"/>
          <w:numId w:val="16"/>
        </w:numPr>
        <w:spacing w:after="160" w:line="288" w:lineRule="auto"/>
        <w:rPr>
          <w:szCs w:val="22"/>
        </w:rPr>
      </w:pPr>
      <w:r>
        <w:rPr>
          <w:szCs w:val="22"/>
        </w:rPr>
        <w:t xml:space="preserve">We will look </w:t>
      </w:r>
      <w:r w:rsidR="0031179F">
        <w:rPr>
          <w:szCs w:val="22"/>
        </w:rPr>
        <w:t>to conduct public review so that</w:t>
      </w:r>
      <w:r>
        <w:rPr>
          <w:szCs w:val="22"/>
        </w:rPr>
        <w:t xml:space="preserve"> filers can test rules for year</w:t>
      </w:r>
      <w:r w:rsidR="0031179F">
        <w:rPr>
          <w:szCs w:val="22"/>
        </w:rPr>
        <w:t xml:space="preserve">end filings.  We would like to approve rules before filing deadlines.  </w:t>
      </w:r>
      <w:r w:rsidR="006467C5">
        <w:rPr>
          <w:szCs w:val="22"/>
        </w:rPr>
        <w:t xml:space="preserve">  </w:t>
      </w:r>
    </w:p>
    <w:p w14:paraId="55FC8B0C" w14:textId="56CFF417" w:rsidR="00144ADB" w:rsidRDefault="006467C5" w:rsidP="006E7395">
      <w:pPr>
        <w:pStyle w:val="ListParagraph"/>
        <w:numPr>
          <w:ilvl w:val="0"/>
          <w:numId w:val="16"/>
        </w:numPr>
        <w:spacing w:after="160" w:line="288" w:lineRule="auto"/>
        <w:rPr>
          <w:szCs w:val="22"/>
        </w:rPr>
      </w:pPr>
      <w:r>
        <w:rPr>
          <w:szCs w:val="22"/>
        </w:rPr>
        <w:t xml:space="preserve">Inline XBRL – </w:t>
      </w:r>
      <w:r w:rsidR="00440AAE">
        <w:rPr>
          <w:szCs w:val="22"/>
        </w:rPr>
        <w:t>We are collecting data on hidden tag</w:t>
      </w:r>
      <w:r w:rsidR="00C31B06">
        <w:rPr>
          <w:szCs w:val="22"/>
        </w:rPr>
        <w:t>s</w:t>
      </w:r>
      <w:r>
        <w:rPr>
          <w:szCs w:val="22"/>
        </w:rPr>
        <w:t xml:space="preserve">.  </w:t>
      </w:r>
      <w:r w:rsidR="00C31B06">
        <w:rPr>
          <w:szCs w:val="22"/>
        </w:rPr>
        <w:t xml:space="preserve">There are a lot of hidden tags in filings.  </w:t>
      </w:r>
      <w:r w:rsidR="00440AAE">
        <w:rPr>
          <w:szCs w:val="22"/>
        </w:rPr>
        <w:t>Campbell asked whether we should have</w:t>
      </w:r>
      <w:r w:rsidR="00C31B06">
        <w:rPr>
          <w:szCs w:val="22"/>
        </w:rPr>
        <w:t xml:space="preserve"> rules for this and whether </w:t>
      </w:r>
      <w:r w:rsidR="00440AAE">
        <w:rPr>
          <w:szCs w:val="22"/>
        </w:rPr>
        <w:t>this</w:t>
      </w:r>
      <w:r w:rsidR="00C31B06">
        <w:rPr>
          <w:szCs w:val="22"/>
        </w:rPr>
        <w:t xml:space="preserve"> is an issue for users.  Hidden tags are used in the filings in the following ways:</w:t>
      </w:r>
      <w:r>
        <w:rPr>
          <w:szCs w:val="22"/>
        </w:rPr>
        <w:t xml:space="preserve">  </w:t>
      </w:r>
    </w:p>
    <w:p w14:paraId="42BD3822" w14:textId="1D21773A" w:rsidR="006467C5" w:rsidRDefault="006467C5" w:rsidP="006467C5">
      <w:pPr>
        <w:pStyle w:val="ListParagraph"/>
        <w:numPr>
          <w:ilvl w:val="1"/>
          <w:numId w:val="16"/>
        </w:numPr>
        <w:spacing w:after="160" w:line="288" w:lineRule="auto"/>
        <w:rPr>
          <w:szCs w:val="22"/>
        </w:rPr>
      </w:pPr>
      <w:r>
        <w:rPr>
          <w:szCs w:val="22"/>
        </w:rPr>
        <w:t>Data is reported in html but hidden so no data will be shown when rolling over in SEC viewer</w:t>
      </w:r>
      <w:r w:rsidR="0031179F">
        <w:rPr>
          <w:szCs w:val="22"/>
        </w:rPr>
        <w:t>.</w:t>
      </w:r>
      <w:r w:rsidR="00440AAE">
        <w:rPr>
          <w:szCs w:val="22"/>
        </w:rPr>
        <w:t xml:space="preserve"> This is an example of i</w:t>
      </w:r>
      <w:r w:rsidR="0031179F">
        <w:rPr>
          <w:szCs w:val="22"/>
        </w:rPr>
        <w:t>ncorrect tagging</w:t>
      </w:r>
      <w:r>
        <w:rPr>
          <w:szCs w:val="22"/>
        </w:rPr>
        <w:t xml:space="preserve">.  </w:t>
      </w:r>
    </w:p>
    <w:p w14:paraId="701F3728" w14:textId="711D3802" w:rsidR="006467C5" w:rsidRDefault="00F5567D" w:rsidP="006467C5">
      <w:pPr>
        <w:pStyle w:val="ListParagraph"/>
        <w:numPr>
          <w:ilvl w:val="1"/>
          <w:numId w:val="16"/>
        </w:numPr>
        <w:spacing w:after="160" w:line="288" w:lineRule="auto"/>
        <w:rPr>
          <w:szCs w:val="22"/>
        </w:rPr>
      </w:pPr>
      <w:r>
        <w:rPr>
          <w:szCs w:val="22"/>
        </w:rPr>
        <w:t>When d</w:t>
      </w:r>
      <w:r w:rsidR="006467C5">
        <w:rPr>
          <w:szCs w:val="22"/>
        </w:rPr>
        <w:t>ata is not reported in html</w:t>
      </w:r>
      <w:r>
        <w:rPr>
          <w:szCs w:val="22"/>
        </w:rPr>
        <w:t>,</w:t>
      </w:r>
      <w:r w:rsidR="006467C5">
        <w:rPr>
          <w:szCs w:val="22"/>
        </w:rPr>
        <w:t xml:space="preserve"> then it will be tagged</w:t>
      </w:r>
      <w:r>
        <w:rPr>
          <w:szCs w:val="22"/>
        </w:rPr>
        <w:t xml:space="preserve"> as</w:t>
      </w:r>
      <w:r w:rsidR="006467C5">
        <w:rPr>
          <w:szCs w:val="22"/>
        </w:rPr>
        <w:t xml:space="preserve"> hidden</w:t>
      </w:r>
      <w:r>
        <w:rPr>
          <w:szCs w:val="22"/>
        </w:rPr>
        <w:t>.</w:t>
      </w:r>
    </w:p>
    <w:p w14:paraId="37A3C189" w14:textId="08FA9067" w:rsidR="006467C5" w:rsidRDefault="006467C5" w:rsidP="006467C5">
      <w:pPr>
        <w:pStyle w:val="ListParagraph"/>
        <w:numPr>
          <w:ilvl w:val="1"/>
          <w:numId w:val="16"/>
        </w:numPr>
        <w:spacing w:after="160" w:line="288" w:lineRule="auto"/>
        <w:rPr>
          <w:szCs w:val="22"/>
        </w:rPr>
      </w:pPr>
      <w:r>
        <w:rPr>
          <w:szCs w:val="22"/>
        </w:rPr>
        <w:t>Data reported with link when transformed</w:t>
      </w:r>
      <w:r w:rsidR="00F5567D">
        <w:rPr>
          <w:szCs w:val="22"/>
        </w:rPr>
        <w:t>.</w:t>
      </w:r>
    </w:p>
    <w:p w14:paraId="27DBF18B" w14:textId="3371D282" w:rsidR="006467C5" w:rsidRDefault="00F5567D" w:rsidP="006467C5">
      <w:pPr>
        <w:pStyle w:val="ListParagraph"/>
        <w:numPr>
          <w:ilvl w:val="1"/>
          <w:numId w:val="16"/>
        </w:numPr>
        <w:spacing w:after="160" w:line="288" w:lineRule="auto"/>
        <w:rPr>
          <w:szCs w:val="22"/>
        </w:rPr>
      </w:pPr>
      <w:r>
        <w:rPr>
          <w:szCs w:val="22"/>
        </w:rPr>
        <w:t>Some facts reported</w:t>
      </w:r>
      <w:r w:rsidR="006467C5">
        <w:rPr>
          <w:szCs w:val="22"/>
        </w:rPr>
        <w:t xml:space="preserve"> need 2 tags</w:t>
      </w:r>
      <w:r>
        <w:rPr>
          <w:szCs w:val="22"/>
        </w:rPr>
        <w:t xml:space="preserve"> and</w:t>
      </w:r>
      <w:r w:rsidR="006467C5">
        <w:rPr>
          <w:szCs w:val="22"/>
        </w:rPr>
        <w:t xml:space="preserve"> should be reported through </w:t>
      </w:r>
      <w:r w:rsidR="00C31B06">
        <w:rPr>
          <w:szCs w:val="22"/>
        </w:rPr>
        <w:t>a mechanism called “</w:t>
      </w:r>
      <w:r w:rsidR="006467C5">
        <w:rPr>
          <w:szCs w:val="22"/>
        </w:rPr>
        <w:t>nesting</w:t>
      </w:r>
      <w:r w:rsidR="00C31B06">
        <w:rPr>
          <w:szCs w:val="22"/>
        </w:rPr>
        <w:t>”</w:t>
      </w:r>
      <w:r w:rsidR="006467C5">
        <w:rPr>
          <w:szCs w:val="22"/>
        </w:rPr>
        <w:t>.  Some software does not support this.</w:t>
      </w:r>
      <w:r w:rsidR="0031179F">
        <w:rPr>
          <w:szCs w:val="22"/>
        </w:rPr>
        <w:t xml:space="preserve"> Software needs to support nesting and transformations.</w:t>
      </w:r>
    </w:p>
    <w:p w14:paraId="7F4FD092" w14:textId="554E1CCF" w:rsidR="006467C5" w:rsidRDefault="006467C5" w:rsidP="006467C5">
      <w:pPr>
        <w:pStyle w:val="ListParagraph"/>
        <w:numPr>
          <w:ilvl w:val="1"/>
          <w:numId w:val="16"/>
        </w:numPr>
        <w:spacing w:after="160" w:line="288" w:lineRule="auto"/>
        <w:rPr>
          <w:szCs w:val="22"/>
        </w:rPr>
      </w:pPr>
      <w:r>
        <w:rPr>
          <w:szCs w:val="22"/>
        </w:rPr>
        <w:t>It is estimated that filings should have less than 20 hidden facts, but we have seen some filings with over 300 hidden facts.</w:t>
      </w:r>
      <w:r w:rsidR="0031179F">
        <w:rPr>
          <w:szCs w:val="22"/>
        </w:rPr>
        <w:t xml:space="preserve"> These are not necessarily errors, but software needs to be improved.</w:t>
      </w:r>
    </w:p>
    <w:p w14:paraId="01182FD1" w14:textId="30A59B2C" w:rsidR="001A0737" w:rsidRDefault="001A0737" w:rsidP="006467C5">
      <w:pPr>
        <w:pStyle w:val="ListParagraph"/>
        <w:numPr>
          <w:ilvl w:val="1"/>
          <w:numId w:val="16"/>
        </w:numPr>
        <w:spacing w:after="160" w:line="288" w:lineRule="auto"/>
        <w:rPr>
          <w:szCs w:val="22"/>
        </w:rPr>
      </w:pPr>
      <w:r>
        <w:rPr>
          <w:szCs w:val="22"/>
        </w:rPr>
        <w:t>DQC will discuss with SEC need for FAQ</w:t>
      </w:r>
      <w:r w:rsidR="00C31B06">
        <w:rPr>
          <w:szCs w:val="22"/>
        </w:rPr>
        <w:t xml:space="preserve"> on inline reporting</w:t>
      </w:r>
      <w:bookmarkStart w:id="4" w:name="_GoBack"/>
      <w:bookmarkEnd w:id="4"/>
      <w:r>
        <w:rPr>
          <w:szCs w:val="22"/>
        </w:rPr>
        <w:t>.</w:t>
      </w:r>
    </w:p>
    <w:p w14:paraId="64BCE1A6" w14:textId="09EC2F46" w:rsidR="00476B5C" w:rsidRPr="00144ADB" w:rsidRDefault="00A65ABD" w:rsidP="00144ADB">
      <w:pPr>
        <w:spacing w:line="332" w:lineRule="auto"/>
        <w:rPr>
          <w:rFonts w:ascii="Arial" w:eastAsia="Arial" w:hAnsi="Arial" w:cs="Arial"/>
          <w:sz w:val="22"/>
        </w:rPr>
      </w:pPr>
      <w:r w:rsidRPr="00144ADB">
        <w:rPr>
          <w:rFonts w:ascii="Arial" w:eastAsia="Arial" w:hAnsi="Arial" w:cs="Arial"/>
          <w:sz w:val="22"/>
        </w:rPr>
        <w:lastRenderedPageBreak/>
        <w:t>The DQC members conducted a closed session.</w:t>
      </w:r>
    </w:p>
    <w:p w14:paraId="32E2F37E" w14:textId="77777777" w:rsidR="00144ADB" w:rsidRDefault="00144ADB">
      <w:pPr>
        <w:spacing w:line="332" w:lineRule="auto"/>
        <w:rPr>
          <w:rFonts w:ascii="Arial" w:eastAsia="Arial" w:hAnsi="Arial" w:cs="Arial"/>
          <w:sz w:val="22"/>
        </w:rPr>
      </w:pPr>
    </w:p>
    <w:p w14:paraId="6A796DE8" w14:textId="2051D74F" w:rsidR="002C7013" w:rsidRDefault="00020EA9">
      <w:pPr>
        <w:spacing w:line="332" w:lineRule="auto"/>
        <w:rPr>
          <w:rFonts w:ascii="Arial" w:eastAsia="Arial" w:hAnsi="Arial" w:cs="Arial"/>
          <w:sz w:val="22"/>
        </w:rPr>
      </w:pPr>
      <w:r>
        <w:rPr>
          <w:rFonts w:ascii="Arial" w:eastAsia="Arial" w:hAnsi="Arial" w:cs="Arial"/>
          <w:sz w:val="22"/>
        </w:rPr>
        <w:t>M</w:t>
      </w:r>
      <w:r w:rsidR="00CF688D">
        <w:rPr>
          <w:rFonts w:ascii="Arial" w:eastAsia="Arial" w:hAnsi="Arial" w:cs="Arial"/>
          <w:sz w:val="22"/>
        </w:rPr>
        <w:t xml:space="preserve">eeting adjourned </w:t>
      </w:r>
      <w:r w:rsidR="0093673C">
        <w:rPr>
          <w:rFonts w:ascii="Arial" w:eastAsia="Arial" w:hAnsi="Arial" w:cs="Arial"/>
          <w:sz w:val="22"/>
        </w:rPr>
        <w:t>1</w:t>
      </w:r>
      <w:r w:rsidR="00476B5C">
        <w:rPr>
          <w:rFonts w:ascii="Arial" w:eastAsia="Arial" w:hAnsi="Arial" w:cs="Arial"/>
          <w:sz w:val="22"/>
        </w:rPr>
        <w:t>2:</w:t>
      </w:r>
      <w:r w:rsidR="005D6513">
        <w:rPr>
          <w:rFonts w:ascii="Arial" w:eastAsia="Arial" w:hAnsi="Arial" w:cs="Arial"/>
          <w:sz w:val="22"/>
        </w:rPr>
        <w:t>0</w:t>
      </w:r>
      <w:r w:rsidR="00476B5C">
        <w:rPr>
          <w:rFonts w:ascii="Arial" w:eastAsia="Arial" w:hAnsi="Arial" w:cs="Arial"/>
          <w:sz w:val="22"/>
        </w:rPr>
        <w:t>0P</w:t>
      </w:r>
      <w:r w:rsidR="00A96BB0">
        <w:rPr>
          <w:rFonts w:ascii="Arial" w:eastAsia="Arial" w:hAnsi="Arial" w:cs="Arial"/>
          <w:sz w:val="22"/>
        </w:rPr>
        <w:t>M</w:t>
      </w:r>
      <w:r w:rsidR="002C763D">
        <w:rPr>
          <w:rFonts w:ascii="Arial" w:eastAsia="Arial" w:hAnsi="Arial" w:cs="Arial"/>
          <w:sz w:val="22"/>
        </w:rPr>
        <w:t>.</w:t>
      </w:r>
    </w:p>
    <w:sectPr w:rsidR="002C7013">
      <w:headerReference w:type="default" r:id="rId9"/>
      <w:footerReference w:type="default" r:id="rId10"/>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EE933" w14:textId="77777777" w:rsidR="00482CDA" w:rsidRDefault="00482CDA">
      <w:r>
        <w:separator/>
      </w:r>
    </w:p>
  </w:endnote>
  <w:endnote w:type="continuationSeparator" w:id="0">
    <w:p w14:paraId="228DEA85" w14:textId="77777777" w:rsidR="00482CDA" w:rsidRDefault="00482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F7B5" w14:textId="77777777" w:rsidR="0052105C" w:rsidRDefault="0052105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D58CC" w14:textId="77777777" w:rsidR="00482CDA" w:rsidRDefault="00482CDA">
      <w:r>
        <w:separator/>
      </w:r>
    </w:p>
  </w:footnote>
  <w:footnote w:type="continuationSeparator" w:id="0">
    <w:p w14:paraId="68448F54" w14:textId="77777777" w:rsidR="00482CDA" w:rsidRDefault="00482C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29EC" w14:textId="77777777" w:rsidR="0052105C" w:rsidRDefault="0052105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4374"/>
    <w:multiLevelType w:val="hybridMultilevel"/>
    <w:tmpl w:val="6332C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337AB"/>
    <w:multiLevelType w:val="hybridMultilevel"/>
    <w:tmpl w:val="C910F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A34C1"/>
    <w:multiLevelType w:val="multilevel"/>
    <w:tmpl w:val="FA809124"/>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3">
    <w:nsid w:val="14BF11B7"/>
    <w:multiLevelType w:val="multilevel"/>
    <w:tmpl w:val="B3F2E22A"/>
    <w:lvl w:ilvl="0">
      <w:start w:val="1"/>
      <w:numFmt w:val="bullet"/>
      <w:lvlText w:val="o"/>
      <w:lvlJc w:val="left"/>
      <w:pPr>
        <w:ind w:left="720" w:hanging="360"/>
      </w:pPr>
      <w:rPr>
        <w:rFonts w:ascii="Courier New" w:hAnsi="Courier New" w:cs="Courier New"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4C74E72"/>
    <w:multiLevelType w:val="hybridMultilevel"/>
    <w:tmpl w:val="7C3ED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022791"/>
    <w:multiLevelType w:val="hybridMultilevel"/>
    <w:tmpl w:val="C308C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1D4008"/>
    <w:multiLevelType w:val="hybridMultilevel"/>
    <w:tmpl w:val="62FA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F65DFE"/>
    <w:multiLevelType w:val="hybridMultilevel"/>
    <w:tmpl w:val="4E0A4E24"/>
    <w:lvl w:ilvl="0" w:tplc="365CC1AE">
      <w:start w:val="1"/>
      <w:numFmt w:val="bullet"/>
      <w:lvlText w:val="•"/>
      <w:lvlJc w:val="left"/>
      <w:pPr>
        <w:tabs>
          <w:tab w:val="num" w:pos="720"/>
        </w:tabs>
        <w:ind w:left="720" w:hanging="360"/>
      </w:pPr>
      <w:rPr>
        <w:rFonts w:ascii="Arial" w:hAnsi="Arial" w:hint="default"/>
      </w:rPr>
    </w:lvl>
    <w:lvl w:ilvl="1" w:tplc="E1E46E98">
      <w:numFmt w:val="bullet"/>
      <w:lvlText w:val="–"/>
      <w:lvlJc w:val="left"/>
      <w:pPr>
        <w:tabs>
          <w:tab w:val="num" w:pos="1440"/>
        </w:tabs>
        <w:ind w:left="1440" w:hanging="360"/>
      </w:pPr>
      <w:rPr>
        <w:rFonts w:ascii="Arial" w:hAnsi="Arial" w:hint="default"/>
      </w:rPr>
    </w:lvl>
    <w:lvl w:ilvl="2" w:tplc="538C784C" w:tentative="1">
      <w:start w:val="1"/>
      <w:numFmt w:val="bullet"/>
      <w:lvlText w:val="•"/>
      <w:lvlJc w:val="left"/>
      <w:pPr>
        <w:tabs>
          <w:tab w:val="num" w:pos="2160"/>
        </w:tabs>
        <w:ind w:left="2160" w:hanging="360"/>
      </w:pPr>
      <w:rPr>
        <w:rFonts w:ascii="Arial" w:hAnsi="Arial" w:hint="default"/>
      </w:rPr>
    </w:lvl>
    <w:lvl w:ilvl="3" w:tplc="6F2A1E10" w:tentative="1">
      <w:start w:val="1"/>
      <w:numFmt w:val="bullet"/>
      <w:lvlText w:val="•"/>
      <w:lvlJc w:val="left"/>
      <w:pPr>
        <w:tabs>
          <w:tab w:val="num" w:pos="2880"/>
        </w:tabs>
        <w:ind w:left="2880" w:hanging="360"/>
      </w:pPr>
      <w:rPr>
        <w:rFonts w:ascii="Arial" w:hAnsi="Arial" w:hint="default"/>
      </w:rPr>
    </w:lvl>
    <w:lvl w:ilvl="4" w:tplc="D098E7B0" w:tentative="1">
      <w:start w:val="1"/>
      <w:numFmt w:val="bullet"/>
      <w:lvlText w:val="•"/>
      <w:lvlJc w:val="left"/>
      <w:pPr>
        <w:tabs>
          <w:tab w:val="num" w:pos="3600"/>
        </w:tabs>
        <w:ind w:left="3600" w:hanging="360"/>
      </w:pPr>
      <w:rPr>
        <w:rFonts w:ascii="Arial" w:hAnsi="Arial" w:hint="default"/>
      </w:rPr>
    </w:lvl>
    <w:lvl w:ilvl="5" w:tplc="FA540BAC" w:tentative="1">
      <w:start w:val="1"/>
      <w:numFmt w:val="bullet"/>
      <w:lvlText w:val="•"/>
      <w:lvlJc w:val="left"/>
      <w:pPr>
        <w:tabs>
          <w:tab w:val="num" w:pos="4320"/>
        </w:tabs>
        <w:ind w:left="4320" w:hanging="360"/>
      </w:pPr>
      <w:rPr>
        <w:rFonts w:ascii="Arial" w:hAnsi="Arial" w:hint="default"/>
      </w:rPr>
    </w:lvl>
    <w:lvl w:ilvl="6" w:tplc="151AEC24" w:tentative="1">
      <w:start w:val="1"/>
      <w:numFmt w:val="bullet"/>
      <w:lvlText w:val="•"/>
      <w:lvlJc w:val="left"/>
      <w:pPr>
        <w:tabs>
          <w:tab w:val="num" w:pos="5040"/>
        </w:tabs>
        <w:ind w:left="5040" w:hanging="360"/>
      </w:pPr>
      <w:rPr>
        <w:rFonts w:ascii="Arial" w:hAnsi="Arial" w:hint="default"/>
      </w:rPr>
    </w:lvl>
    <w:lvl w:ilvl="7" w:tplc="D8EEE312" w:tentative="1">
      <w:start w:val="1"/>
      <w:numFmt w:val="bullet"/>
      <w:lvlText w:val="•"/>
      <w:lvlJc w:val="left"/>
      <w:pPr>
        <w:tabs>
          <w:tab w:val="num" w:pos="5760"/>
        </w:tabs>
        <w:ind w:left="5760" w:hanging="360"/>
      </w:pPr>
      <w:rPr>
        <w:rFonts w:ascii="Arial" w:hAnsi="Arial" w:hint="default"/>
      </w:rPr>
    </w:lvl>
    <w:lvl w:ilvl="8" w:tplc="B92C4A48" w:tentative="1">
      <w:start w:val="1"/>
      <w:numFmt w:val="bullet"/>
      <w:lvlText w:val="•"/>
      <w:lvlJc w:val="left"/>
      <w:pPr>
        <w:tabs>
          <w:tab w:val="num" w:pos="6480"/>
        </w:tabs>
        <w:ind w:left="6480" w:hanging="360"/>
      </w:pPr>
      <w:rPr>
        <w:rFonts w:ascii="Arial" w:hAnsi="Arial" w:hint="default"/>
      </w:rPr>
    </w:lvl>
  </w:abstractNum>
  <w:abstractNum w:abstractNumId="8">
    <w:nsid w:val="42E93073"/>
    <w:multiLevelType w:val="hybridMultilevel"/>
    <w:tmpl w:val="ADF03EFC"/>
    <w:lvl w:ilvl="0" w:tplc="D7D83C04">
      <w:start w:val="1"/>
      <w:numFmt w:val="bullet"/>
      <w:lvlText w:val="•"/>
      <w:lvlJc w:val="left"/>
      <w:pPr>
        <w:tabs>
          <w:tab w:val="num" w:pos="720"/>
        </w:tabs>
        <w:ind w:left="720" w:hanging="360"/>
      </w:pPr>
      <w:rPr>
        <w:rFonts w:ascii="Arial" w:hAnsi="Arial" w:hint="default"/>
      </w:rPr>
    </w:lvl>
    <w:lvl w:ilvl="1" w:tplc="ED6E1BE2" w:tentative="1">
      <w:start w:val="1"/>
      <w:numFmt w:val="bullet"/>
      <w:lvlText w:val="•"/>
      <w:lvlJc w:val="left"/>
      <w:pPr>
        <w:tabs>
          <w:tab w:val="num" w:pos="1440"/>
        </w:tabs>
        <w:ind w:left="1440" w:hanging="360"/>
      </w:pPr>
      <w:rPr>
        <w:rFonts w:ascii="Arial" w:hAnsi="Arial" w:hint="default"/>
      </w:rPr>
    </w:lvl>
    <w:lvl w:ilvl="2" w:tplc="FF1C667E" w:tentative="1">
      <w:start w:val="1"/>
      <w:numFmt w:val="bullet"/>
      <w:lvlText w:val="•"/>
      <w:lvlJc w:val="left"/>
      <w:pPr>
        <w:tabs>
          <w:tab w:val="num" w:pos="2160"/>
        </w:tabs>
        <w:ind w:left="2160" w:hanging="360"/>
      </w:pPr>
      <w:rPr>
        <w:rFonts w:ascii="Arial" w:hAnsi="Arial" w:hint="default"/>
      </w:rPr>
    </w:lvl>
    <w:lvl w:ilvl="3" w:tplc="63AC23AE" w:tentative="1">
      <w:start w:val="1"/>
      <w:numFmt w:val="bullet"/>
      <w:lvlText w:val="•"/>
      <w:lvlJc w:val="left"/>
      <w:pPr>
        <w:tabs>
          <w:tab w:val="num" w:pos="2880"/>
        </w:tabs>
        <w:ind w:left="2880" w:hanging="360"/>
      </w:pPr>
      <w:rPr>
        <w:rFonts w:ascii="Arial" w:hAnsi="Arial" w:hint="default"/>
      </w:rPr>
    </w:lvl>
    <w:lvl w:ilvl="4" w:tplc="45F8933C" w:tentative="1">
      <w:start w:val="1"/>
      <w:numFmt w:val="bullet"/>
      <w:lvlText w:val="•"/>
      <w:lvlJc w:val="left"/>
      <w:pPr>
        <w:tabs>
          <w:tab w:val="num" w:pos="3600"/>
        </w:tabs>
        <w:ind w:left="3600" w:hanging="360"/>
      </w:pPr>
      <w:rPr>
        <w:rFonts w:ascii="Arial" w:hAnsi="Arial" w:hint="default"/>
      </w:rPr>
    </w:lvl>
    <w:lvl w:ilvl="5" w:tplc="CAACE4F2" w:tentative="1">
      <w:start w:val="1"/>
      <w:numFmt w:val="bullet"/>
      <w:lvlText w:val="•"/>
      <w:lvlJc w:val="left"/>
      <w:pPr>
        <w:tabs>
          <w:tab w:val="num" w:pos="4320"/>
        </w:tabs>
        <w:ind w:left="4320" w:hanging="360"/>
      </w:pPr>
      <w:rPr>
        <w:rFonts w:ascii="Arial" w:hAnsi="Arial" w:hint="default"/>
      </w:rPr>
    </w:lvl>
    <w:lvl w:ilvl="6" w:tplc="CAFA6F86" w:tentative="1">
      <w:start w:val="1"/>
      <w:numFmt w:val="bullet"/>
      <w:lvlText w:val="•"/>
      <w:lvlJc w:val="left"/>
      <w:pPr>
        <w:tabs>
          <w:tab w:val="num" w:pos="5040"/>
        </w:tabs>
        <w:ind w:left="5040" w:hanging="360"/>
      </w:pPr>
      <w:rPr>
        <w:rFonts w:ascii="Arial" w:hAnsi="Arial" w:hint="default"/>
      </w:rPr>
    </w:lvl>
    <w:lvl w:ilvl="7" w:tplc="08CAB200" w:tentative="1">
      <w:start w:val="1"/>
      <w:numFmt w:val="bullet"/>
      <w:lvlText w:val="•"/>
      <w:lvlJc w:val="left"/>
      <w:pPr>
        <w:tabs>
          <w:tab w:val="num" w:pos="5760"/>
        </w:tabs>
        <w:ind w:left="5760" w:hanging="360"/>
      </w:pPr>
      <w:rPr>
        <w:rFonts w:ascii="Arial" w:hAnsi="Arial" w:hint="default"/>
      </w:rPr>
    </w:lvl>
    <w:lvl w:ilvl="8" w:tplc="410CD38C" w:tentative="1">
      <w:start w:val="1"/>
      <w:numFmt w:val="bullet"/>
      <w:lvlText w:val="•"/>
      <w:lvlJc w:val="left"/>
      <w:pPr>
        <w:tabs>
          <w:tab w:val="num" w:pos="6480"/>
        </w:tabs>
        <w:ind w:left="6480" w:hanging="360"/>
      </w:pPr>
      <w:rPr>
        <w:rFonts w:ascii="Arial" w:hAnsi="Arial" w:hint="default"/>
      </w:rPr>
    </w:lvl>
  </w:abstractNum>
  <w:abstractNum w:abstractNumId="9">
    <w:nsid w:val="461F5E6C"/>
    <w:multiLevelType w:val="hybridMultilevel"/>
    <w:tmpl w:val="4D8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8065D"/>
    <w:multiLevelType w:val="hybridMultilevel"/>
    <w:tmpl w:val="B574A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1827D9"/>
    <w:multiLevelType w:val="hybridMultilevel"/>
    <w:tmpl w:val="E39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97577"/>
    <w:multiLevelType w:val="hybridMultilevel"/>
    <w:tmpl w:val="4FB07B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58A16288"/>
    <w:multiLevelType w:val="hybridMultilevel"/>
    <w:tmpl w:val="7826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DD08F4"/>
    <w:multiLevelType w:val="hybridMultilevel"/>
    <w:tmpl w:val="684A7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E0112C3"/>
    <w:multiLevelType w:val="hybridMultilevel"/>
    <w:tmpl w:val="9414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4038BF"/>
    <w:multiLevelType w:val="hybridMultilevel"/>
    <w:tmpl w:val="7D88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BF48DC"/>
    <w:multiLevelType w:val="hybridMultilevel"/>
    <w:tmpl w:val="B3BA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5F3A46"/>
    <w:multiLevelType w:val="hybridMultilevel"/>
    <w:tmpl w:val="9C8C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5"/>
  </w:num>
  <w:num w:numId="4">
    <w:abstractNumId w:val="6"/>
  </w:num>
  <w:num w:numId="5">
    <w:abstractNumId w:val="14"/>
  </w:num>
  <w:num w:numId="6">
    <w:abstractNumId w:val="19"/>
  </w:num>
  <w:num w:numId="7">
    <w:abstractNumId w:val="15"/>
  </w:num>
  <w:num w:numId="8">
    <w:abstractNumId w:val="13"/>
  </w:num>
  <w:num w:numId="9">
    <w:abstractNumId w:val="20"/>
  </w:num>
  <w:num w:numId="10">
    <w:abstractNumId w:val="12"/>
  </w:num>
  <w:num w:numId="11">
    <w:abstractNumId w:val="16"/>
  </w:num>
  <w:num w:numId="12">
    <w:abstractNumId w:val="9"/>
  </w:num>
  <w:num w:numId="13">
    <w:abstractNumId w:val="11"/>
  </w:num>
  <w:num w:numId="14">
    <w:abstractNumId w:val="7"/>
  </w:num>
  <w:num w:numId="15">
    <w:abstractNumId w:val="8"/>
  </w:num>
  <w:num w:numId="16">
    <w:abstractNumId w:val="1"/>
  </w:num>
  <w:num w:numId="17">
    <w:abstractNumId w:val="0"/>
  </w:num>
  <w:num w:numId="18">
    <w:abstractNumId w:val="4"/>
  </w:num>
  <w:num w:numId="19">
    <w:abstractNumId w:val="17"/>
  </w:num>
  <w:num w:numId="20">
    <w:abstractNumId w:val="2"/>
  </w:num>
  <w:num w:numId="2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81"/>
    <w:rsid w:val="000016D8"/>
    <w:rsid w:val="000065BF"/>
    <w:rsid w:val="000075A0"/>
    <w:rsid w:val="00016AA4"/>
    <w:rsid w:val="000204AB"/>
    <w:rsid w:val="00020EA9"/>
    <w:rsid w:val="00021BB0"/>
    <w:rsid w:val="00026C18"/>
    <w:rsid w:val="00043834"/>
    <w:rsid w:val="00052B41"/>
    <w:rsid w:val="000558DD"/>
    <w:rsid w:val="00056425"/>
    <w:rsid w:val="0005737B"/>
    <w:rsid w:val="000B7303"/>
    <w:rsid w:val="000C5EDD"/>
    <w:rsid w:val="000D521E"/>
    <w:rsid w:val="000E1397"/>
    <w:rsid w:val="000E1FFC"/>
    <w:rsid w:val="000E2734"/>
    <w:rsid w:val="000E2D28"/>
    <w:rsid w:val="000E66B1"/>
    <w:rsid w:val="000E7DCC"/>
    <w:rsid w:val="000F2604"/>
    <w:rsid w:val="000F4123"/>
    <w:rsid w:val="000F59DE"/>
    <w:rsid w:val="001046DD"/>
    <w:rsid w:val="00116D46"/>
    <w:rsid w:val="00122964"/>
    <w:rsid w:val="00126640"/>
    <w:rsid w:val="00135A3A"/>
    <w:rsid w:val="001369D9"/>
    <w:rsid w:val="001410BB"/>
    <w:rsid w:val="00143014"/>
    <w:rsid w:val="00144ADB"/>
    <w:rsid w:val="001469D0"/>
    <w:rsid w:val="00151CA6"/>
    <w:rsid w:val="00154EEA"/>
    <w:rsid w:val="00164F24"/>
    <w:rsid w:val="00173232"/>
    <w:rsid w:val="00193771"/>
    <w:rsid w:val="00197558"/>
    <w:rsid w:val="001A0737"/>
    <w:rsid w:val="001A0D9A"/>
    <w:rsid w:val="001A36D1"/>
    <w:rsid w:val="001A3C89"/>
    <w:rsid w:val="00212E84"/>
    <w:rsid w:val="0021499F"/>
    <w:rsid w:val="00220D59"/>
    <w:rsid w:val="00230A9B"/>
    <w:rsid w:val="00235DD8"/>
    <w:rsid w:val="0024118F"/>
    <w:rsid w:val="00242E5A"/>
    <w:rsid w:val="0025152A"/>
    <w:rsid w:val="00254C84"/>
    <w:rsid w:val="00261302"/>
    <w:rsid w:val="002671C3"/>
    <w:rsid w:val="00280B44"/>
    <w:rsid w:val="00286985"/>
    <w:rsid w:val="002878C8"/>
    <w:rsid w:val="00295C0F"/>
    <w:rsid w:val="002A14AA"/>
    <w:rsid w:val="002B49CC"/>
    <w:rsid w:val="002C7013"/>
    <w:rsid w:val="002C763D"/>
    <w:rsid w:val="002C77AA"/>
    <w:rsid w:val="002D0471"/>
    <w:rsid w:val="002D5CA0"/>
    <w:rsid w:val="002E2269"/>
    <w:rsid w:val="002F74D5"/>
    <w:rsid w:val="00300401"/>
    <w:rsid w:val="0031179F"/>
    <w:rsid w:val="00312759"/>
    <w:rsid w:val="003318D8"/>
    <w:rsid w:val="00346E12"/>
    <w:rsid w:val="0035018E"/>
    <w:rsid w:val="00354581"/>
    <w:rsid w:val="003643AF"/>
    <w:rsid w:val="0036531D"/>
    <w:rsid w:val="00366E6F"/>
    <w:rsid w:val="003830A0"/>
    <w:rsid w:val="003A2B6F"/>
    <w:rsid w:val="003B3597"/>
    <w:rsid w:val="003C312A"/>
    <w:rsid w:val="003F1A04"/>
    <w:rsid w:val="00403FF5"/>
    <w:rsid w:val="004304EB"/>
    <w:rsid w:val="0043160A"/>
    <w:rsid w:val="00431A03"/>
    <w:rsid w:val="00440AAE"/>
    <w:rsid w:val="00452126"/>
    <w:rsid w:val="00466105"/>
    <w:rsid w:val="00467BC4"/>
    <w:rsid w:val="00472478"/>
    <w:rsid w:val="0047313A"/>
    <w:rsid w:val="00475CE3"/>
    <w:rsid w:val="00476B5C"/>
    <w:rsid w:val="00482CDA"/>
    <w:rsid w:val="004A1956"/>
    <w:rsid w:val="004B09A2"/>
    <w:rsid w:val="004B4BD3"/>
    <w:rsid w:val="004C40B0"/>
    <w:rsid w:val="004C4DF0"/>
    <w:rsid w:val="00502AE5"/>
    <w:rsid w:val="00515552"/>
    <w:rsid w:val="0052105C"/>
    <w:rsid w:val="0052752D"/>
    <w:rsid w:val="0052799A"/>
    <w:rsid w:val="00530B0C"/>
    <w:rsid w:val="005423CE"/>
    <w:rsid w:val="00542A4E"/>
    <w:rsid w:val="005454BB"/>
    <w:rsid w:val="00556956"/>
    <w:rsid w:val="005741AD"/>
    <w:rsid w:val="00591B7D"/>
    <w:rsid w:val="005A1F09"/>
    <w:rsid w:val="005A6E7E"/>
    <w:rsid w:val="005C5A47"/>
    <w:rsid w:val="005C693B"/>
    <w:rsid w:val="005D223A"/>
    <w:rsid w:val="005D6513"/>
    <w:rsid w:val="006005D5"/>
    <w:rsid w:val="00611DA0"/>
    <w:rsid w:val="00641B08"/>
    <w:rsid w:val="006467C5"/>
    <w:rsid w:val="0066246C"/>
    <w:rsid w:val="00663B29"/>
    <w:rsid w:val="0068060D"/>
    <w:rsid w:val="006860F0"/>
    <w:rsid w:val="00692982"/>
    <w:rsid w:val="006A1F47"/>
    <w:rsid w:val="006B7294"/>
    <w:rsid w:val="006C47F9"/>
    <w:rsid w:val="006C4F0F"/>
    <w:rsid w:val="006E5E2F"/>
    <w:rsid w:val="006E6393"/>
    <w:rsid w:val="006E7395"/>
    <w:rsid w:val="007011F3"/>
    <w:rsid w:val="00702AAF"/>
    <w:rsid w:val="00705B84"/>
    <w:rsid w:val="007249A3"/>
    <w:rsid w:val="00750B0E"/>
    <w:rsid w:val="007544F4"/>
    <w:rsid w:val="00762E07"/>
    <w:rsid w:val="00765D5B"/>
    <w:rsid w:val="007667EF"/>
    <w:rsid w:val="00770FDE"/>
    <w:rsid w:val="007855EC"/>
    <w:rsid w:val="007863AC"/>
    <w:rsid w:val="00794C46"/>
    <w:rsid w:val="00794D7E"/>
    <w:rsid w:val="007A5966"/>
    <w:rsid w:val="007B31DC"/>
    <w:rsid w:val="007C7A0B"/>
    <w:rsid w:val="007F3FC6"/>
    <w:rsid w:val="007F46DE"/>
    <w:rsid w:val="00811793"/>
    <w:rsid w:val="00821F2A"/>
    <w:rsid w:val="008348B6"/>
    <w:rsid w:val="008646D3"/>
    <w:rsid w:val="008676DC"/>
    <w:rsid w:val="008724A6"/>
    <w:rsid w:val="00872ADC"/>
    <w:rsid w:val="0087480B"/>
    <w:rsid w:val="00877CAB"/>
    <w:rsid w:val="008832AA"/>
    <w:rsid w:val="00885777"/>
    <w:rsid w:val="008A00BB"/>
    <w:rsid w:val="008B0414"/>
    <w:rsid w:val="008E7CE9"/>
    <w:rsid w:val="0090041A"/>
    <w:rsid w:val="00903A18"/>
    <w:rsid w:val="009119BA"/>
    <w:rsid w:val="009361C7"/>
    <w:rsid w:val="0093673C"/>
    <w:rsid w:val="00936A8B"/>
    <w:rsid w:val="00942C6A"/>
    <w:rsid w:val="009435E6"/>
    <w:rsid w:val="009816AC"/>
    <w:rsid w:val="0098685A"/>
    <w:rsid w:val="0099362B"/>
    <w:rsid w:val="009A0E5C"/>
    <w:rsid w:val="009B23D6"/>
    <w:rsid w:val="009B3D47"/>
    <w:rsid w:val="009C4BCA"/>
    <w:rsid w:val="009F2418"/>
    <w:rsid w:val="00A019FB"/>
    <w:rsid w:val="00A02FFE"/>
    <w:rsid w:val="00A205AE"/>
    <w:rsid w:val="00A259F1"/>
    <w:rsid w:val="00A33373"/>
    <w:rsid w:val="00A36CDE"/>
    <w:rsid w:val="00A37881"/>
    <w:rsid w:val="00A379AF"/>
    <w:rsid w:val="00A467F0"/>
    <w:rsid w:val="00A5025E"/>
    <w:rsid w:val="00A5660C"/>
    <w:rsid w:val="00A61324"/>
    <w:rsid w:val="00A65ABD"/>
    <w:rsid w:val="00A67D7D"/>
    <w:rsid w:val="00A96BB0"/>
    <w:rsid w:val="00A97E3C"/>
    <w:rsid w:val="00AB1688"/>
    <w:rsid w:val="00AB4B2A"/>
    <w:rsid w:val="00AB5F8C"/>
    <w:rsid w:val="00AB7D41"/>
    <w:rsid w:val="00AD0202"/>
    <w:rsid w:val="00AE3A04"/>
    <w:rsid w:val="00AF511A"/>
    <w:rsid w:val="00B11D9E"/>
    <w:rsid w:val="00B1378C"/>
    <w:rsid w:val="00B20B3A"/>
    <w:rsid w:val="00B22AAE"/>
    <w:rsid w:val="00B22CB2"/>
    <w:rsid w:val="00B452FC"/>
    <w:rsid w:val="00B540E5"/>
    <w:rsid w:val="00B54FE9"/>
    <w:rsid w:val="00B70243"/>
    <w:rsid w:val="00B87D1B"/>
    <w:rsid w:val="00B958EB"/>
    <w:rsid w:val="00B96227"/>
    <w:rsid w:val="00BA5501"/>
    <w:rsid w:val="00BC3BA3"/>
    <w:rsid w:val="00BD24C2"/>
    <w:rsid w:val="00BE7BCC"/>
    <w:rsid w:val="00BF412D"/>
    <w:rsid w:val="00C12268"/>
    <w:rsid w:val="00C20C85"/>
    <w:rsid w:val="00C238C0"/>
    <w:rsid w:val="00C24CB9"/>
    <w:rsid w:val="00C30558"/>
    <w:rsid w:val="00C31B06"/>
    <w:rsid w:val="00C346F1"/>
    <w:rsid w:val="00C444A4"/>
    <w:rsid w:val="00C470E9"/>
    <w:rsid w:val="00C52CD9"/>
    <w:rsid w:val="00C7439A"/>
    <w:rsid w:val="00C967BC"/>
    <w:rsid w:val="00CA06B9"/>
    <w:rsid w:val="00CC7AAD"/>
    <w:rsid w:val="00CD32C0"/>
    <w:rsid w:val="00CD44A5"/>
    <w:rsid w:val="00CE3535"/>
    <w:rsid w:val="00CF2499"/>
    <w:rsid w:val="00CF688D"/>
    <w:rsid w:val="00D16116"/>
    <w:rsid w:val="00D16C06"/>
    <w:rsid w:val="00D224DC"/>
    <w:rsid w:val="00D32CF2"/>
    <w:rsid w:val="00D36F4D"/>
    <w:rsid w:val="00D434A6"/>
    <w:rsid w:val="00D5012E"/>
    <w:rsid w:val="00D548D4"/>
    <w:rsid w:val="00D65797"/>
    <w:rsid w:val="00D67616"/>
    <w:rsid w:val="00D73A2F"/>
    <w:rsid w:val="00D749F7"/>
    <w:rsid w:val="00D82434"/>
    <w:rsid w:val="00D867F7"/>
    <w:rsid w:val="00DA293E"/>
    <w:rsid w:val="00DA37E0"/>
    <w:rsid w:val="00DA4B02"/>
    <w:rsid w:val="00DA7CE9"/>
    <w:rsid w:val="00DC4648"/>
    <w:rsid w:val="00DD1867"/>
    <w:rsid w:val="00DE0265"/>
    <w:rsid w:val="00DE58C5"/>
    <w:rsid w:val="00DF0ADF"/>
    <w:rsid w:val="00DF10B7"/>
    <w:rsid w:val="00E07CAD"/>
    <w:rsid w:val="00E114E3"/>
    <w:rsid w:val="00E3133C"/>
    <w:rsid w:val="00E322B0"/>
    <w:rsid w:val="00E33295"/>
    <w:rsid w:val="00E430E3"/>
    <w:rsid w:val="00E448C5"/>
    <w:rsid w:val="00E45A5B"/>
    <w:rsid w:val="00E7140A"/>
    <w:rsid w:val="00E82FB6"/>
    <w:rsid w:val="00EA1CDC"/>
    <w:rsid w:val="00ED16AE"/>
    <w:rsid w:val="00EE2C03"/>
    <w:rsid w:val="00EE32D5"/>
    <w:rsid w:val="00EF0CE1"/>
    <w:rsid w:val="00EF227F"/>
    <w:rsid w:val="00F04404"/>
    <w:rsid w:val="00F0716E"/>
    <w:rsid w:val="00F20D36"/>
    <w:rsid w:val="00F2187C"/>
    <w:rsid w:val="00F43B77"/>
    <w:rsid w:val="00F442D3"/>
    <w:rsid w:val="00F5567D"/>
    <w:rsid w:val="00F70ADA"/>
    <w:rsid w:val="00F73B78"/>
    <w:rsid w:val="00F76594"/>
    <w:rsid w:val="00F77A92"/>
    <w:rsid w:val="00F866DD"/>
    <w:rsid w:val="00F90BF2"/>
    <w:rsid w:val="00F90F12"/>
    <w:rsid w:val="00FB2C20"/>
    <w:rsid w:val="00FB420B"/>
    <w:rsid w:val="00FC0B9E"/>
    <w:rsid w:val="00FE1E1A"/>
    <w:rsid w:val="00FE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3E73"/>
  <w15:docId w15:val="{777F4D34-8D23-4E6E-8281-AC95A58D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1424034476">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291785680">
          <w:marLeft w:val="547"/>
          <w:marRight w:val="0"/>
          <w:marTop w:val="120"/>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sChild>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317222319">
          <w:marLeft w:val="547"/>
          <w:marRight w:val="0"/>
          <w:marTop w:val="120"/>
          <w:marBottom w:val="0"/>
          <w:divBdr>
            <w:top w:val="none" w:sz="0" w:space="0" w:color="auto"/>
            <w:left w:val="none" w:sz="0" w:space="0" w:color="auto"/>
            <w:bottom w:val="none" w:sz="0" w:space="0" w:color="auto"/>
            <w:right w:val="none" w:sz="0" w:space="0" w:color="auto"/>
          </w:divBdr>
        </w:div>
        <w:div w:id="1042636618">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beers\AppData\Local\Microsoft\Windows\Temporary%20Internet%20Files\Content.IE5\UYIOHRRP\lou.rohman@merrillcor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B0274-F442-4DD3-9D6C-125B2AC4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6</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12</cp:revision>
  <dcterms:created xsi:type="dcterms:W3CDTF">2018-10-08T15:59:00Z</dcterms:created>
  <dcterms:modified xsi:type="dcterms:W3CDTF">2018-11-05T17:23:00Z</dcterms:modified>
</cp:coreProperties>
</file>