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app0.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d3fb1c64a" Type="http://schemas.openxmlformats.org/officeDocument/2006/extended-properties" Target="docProps/app0.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735A7F" w14:textId="77777777" w:rsidR="00354581" w:rsidRDefault="00431A03">
      <w:pPr>
        <w:spacing w:line="288" w:lineRule="auto"/>
        <w:jc w:val="center"/>
        <w:rPr>
          <w:rFonts w:ascii="Arial" w:eastAsia="Arial" w:hAnsi="Arial" w:cs="Arial"/>
          <w:b/>
          <w:sz w:val="24"/>
        </w:rPr>
      </w:pPr>
      <w:r>
        <w:rPr>
          <w:rFonts w:ascii="Arial" w:eastAsia="Arial" w:hAnsi="Arial" w:cs="Arial"/>
          <w:b/>
          <w:sz w:val="24"/>
        </w:rPr>
        <w:t>Data Quality Committee</w:t>
      </w:r>
      <w:bookmarkStart w:id="0" w:name="Section_1"/>
      <w:bookmarkEnd w:id="0"/>
    </w:p>
    <w:p w14:paraId="1C63824C" w14:textId="348B6489" w:rsidR="00354581" w:rsidRDefault="00431A03">
      <w:pPr>
        <w:spacing w:line="288" w:lineRule="auto"/>
        <w:jc w:val="center"/>
        <w:rPr>
          <w:rFonts w:ascii="Arial" w:eastAsia="Arial" w:hAnsi="Arial" w:cs="Arial"/>
          <w:sz w:val="24"/>
        </w:rPr>
      </w:pPr>
      <w:r>
        <w:rPr>
          <w:rFonts w:ascii="Arial" w:eastAsia="Arial" w:hAnsi="Arial" w:cs="Arial"/>
          <w:sz w:val="24"/>
        </w:rPr>
        <w:t xml:space="preserve"> </w:t>
      </w:r>
      <w:r w:rsidR="00502AE5">
        <w:rPr>
          <w:rFonts w:ascii="Arial" w:eastAsia="Arial" w:hAnsi="Arial" w:cs="Arial"/>
          <w:b/>
          <w:sz w:val="23"/>
        </w:rPr>
        <w:t>Webcall</w:t>
      </w:r>
    </w:p>
    <w:p w14:paraId="44DFAFF7" w14:textId="05C282A2" w:rsidR="00354581" w:rsidRDefault="00502AE5">
      <w:pPr>
        <w:spacing w:line="288" w:lineRule="auto"/>
        <w:jc w:val="center"/>
        <w:rPr>
          <w:rFonts w:ascii="Arial" w:eastAsia="Arial" w:hAnsi="Arial" w:cs="Arial"/>
          <w:b/>
          <w:sz w:val="24"/>
        </w:rPr>
      </w:pPr>
      <w:r>
        <w:rPr>
          <w:rFonts w:ascii="Arial" w:eastAsia="Arial" w:hAnsi="Arial" w:cs="Arial"/>
          <w:b/>
          <w:sz w:val="24"/>
        </w:rPr>
        <w:t>Nov</w:t>
      </w:r>
      <w:r w:rsidR="00431A03">
        <w:rPr>
          <w:rFonts w:ascii="Arial" w:eastAsia="Arial" w:hAnsi="Arial" w:cs="Arial"/>
          <w:b/>
          <w:sz w:val="24"/>
        </w:rPr>
        <w:t>ember 29, 2016</w:t>
      </w:r>
    </w:p>
    <w:p w14:paraId="546E7FA1" w14:textId="77777777" w:rsidR="00354581" w:rsidRDefault="00431A03">
      <w:pPr>
        <w:spacing w:line="332" w:lineRule="auto"/>
        <w:jc w:val="center"/>
        <w:rPr>
          <w:rFonts w:ascii="Arial" w:eastAsia="Arial" w:hAnsi="Arial" w:cs="Arial"/>
          <w:b/>
          <w:sz w:val="24"/>
        </w:rPr>
      </w:pPr>
      <w:r>
        <w:rPr>
          <w:rFonts w:ascii="Arial" w:eastAsia="Arial" w:hAnsi="Arial" w:cs="Arial"/>
          <w:b/>
          <w:sz w:val="24"/>
        </w:rPr>
        <w:t>Meeting Notes</w:t>
      </w:r>
    </w:p>
    <w:p w14:paraId="2E2328B8" w14:textId="77777777" w:rsidR="00354581" w:rsidRDefault="00354581">
      <w:pPr>
        <w:spacing w:line="332" w:lineRule="auto"/>
        <w:jc w:val="center"/>
        <w:rPr>
          <w:rFonts w:ascii="Arial" w:eastAsia="Arial" w:hAnsi="Arial" w:cs="Arial"/>
          <w:sz w:val="22"/>
        </w:rPr>
      </w:pPr>
    </w:p>
    <w:p w14:paraId="15DDDD88" w14:textId="77777777" w:rsidR="00354581" w:rsidRDefault="00431A03">
      <w:pPr>
        <w:tabs>
          <w:tab w:val="left" w:pos="1140"/>
          <w:tab w:val="left" w:pos="2320"/>
        </w:tabs>
        <w:spacing w:line="332" w:lineRule="auto"/>
        <w:rPr>
          <w:rFonts w:ascii="Arial" w:eastAsia="Arial" w:hAnsi="Arial" w:cs="Arial"/>
          <w:b/>
          <w:sz w:val="22"/>
        </w:rPr>
      </w:pPr>
      <w:r>
        <w:rPr>
          <w:rFonts w:ascii="Arial" w:eastAsia="Arial" w:hAnsi="Arial" w:cs="Arial"/>
          <w:b/>
          <w:sz w:val="22"/>
        </w:rPr>
        <w:t>Attendees</w:t>
      </w:r>
    </w:p>
    <w:p w14:paraId="7B887734" w14:textId="77777777" w:rsidR="00354581" w:rsidRDefault="00431A03">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Committee Members</w:t>
      </w:r>
    </w:p>
    <w:p w14:paraId="3D520D10" w14:textId="73F83D3E" w:rsidR="00354581" w:rsidRDefault="00431A03">
      <w:pPr>
        <w:tabs>
          <w:tab w:val="left" w:pos="1140"/>
          <w:tab w:val="left" w:pos="2320"/>
        </w:tabs>
        <w:spacing w:line="332" w:lineRule="auto"/>
        <w:rPr>
          <w:rFonts w:ascii="Arial" w:eastAsia="Arial" w:hAnsi="Arial" w:cs="Arial"/>
          <w:sz w:val="22"/>
        </w:rPr>
      </w:pPr>
      <w:r>
        <w:rPr>
          <w:rFonts w:ascii="Arial" w:eastAsia="Arial" w:hAnsi="Arial" w:cs="Arial"/>
          <w:sz w:val="22"/>
        </w:rPr>
        <w:t xml:space="preserve">Mike Starr, </w:t>
      </w:r>
      <w:r w:rsidRPr="00026C18">
        <w:rPr>
          <w:rFonts w:ascii="Arial" w:eastAsia="Arial" w:hAnsi="Arial" w:cs="Arial"/>
          <w:sz w:val="22"/>
        </w:rPr>
        <w:t xml:space="preserve">Chase Bongirno, Emil Efthimides Pranav Ghai, </w:t>
      </w:r>
      <w:r w:rsidR="00DF0ADF" w:rsidRPr="00026C18">
        <w:rPr>
          <w:rFonts w:ascii="Arial" w:eastAsia="Arial" w:hAnsi="Arial" w:cs="Arial"/>
          <w:sz w:val="22"/>
        </w:rPr>
        <w:t xml:space="preserve">Craig Lewis, </w:t>
      </w:r>
      <w:r w:rsidRPr="00026C18">
        <w:rPr>
          <w:rFonts w:ascii="Arial" w:eastAsia="Arial" w:hAnsi="Arial" w:cs="Arial"/>
          <w:sz w:val="22"/>
        </w:rPr>
        <w:t xml:space="preserve">Campbell Pryde, </w:t>
      </w:r>
      <w:hyperlink r:id="rId8">
        <w:r w:rsidRPr="00026C18">
          <w:rPr>
            <w:rFonts w:ascii="Arial" w:eastAsia="Arial" w:hAnsi="Arial" w:cs="Arial"/>
            <w:sz w:val="22"/>
          </w:rPr>
          <w:t>Lou</w:t>
        </w:r>
      </w:hyperlink>
      <w:r w:rsidRPr="00026C18">
        <w:rPr>
          <w:rFonts w:ascii="Arial" w:eastAsia="Arial" w:hAnsi="Arial" w:cs="Arial"/>
          <w:sz w:val="22"/>
        </w:rPr>
        <w:t xml:space="preserve"> Rohman, Mohini Singh,</w:t>
      </w:r>
      <w:r>
        <w:rPr>
          <w:rFonts w:ascii="Arial" w:eastAsia="Arial" w:hAnsi="Arial" w:cs="Arial"/>
          <w:sz w:val="22"/>
        </w:rPr>
        <w:t xml:space="preserve"> Steve Soter, Amit Varshney</w:t>
      </w:r>
    </w:p>
    <w:p w14:paraId="0FCBEC5E" w14:textId="77777777" w:rsidR="00354581" w:rsidRDefault="00354581">
      <w:pPr>
        <w:spacing w:line="332" w:lineRule="auto"/>
        <w:rPr>
          <w:rFonts w:ascii="Arial" w:eastAsia="Arial" w:hAnsi="Arial" w:cs="Arial"/>
          <w:sz w:val="22"/>
        </w:rPr>
      </w:pPr>
    </w:p>
    <w:p w14:paraId="1D37858D" w14:textId="77777777" w:rsidR="00354581" w:rsidRDefault="00431A03">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Absent</w:t>
      </w:r>
    </w:p>
    <w:p w14:paraId="760B3CEC" w14:textId="286CB26C" w:rsidR="00354581" w:rsidRDefault="00DF0ADF">
      <w:pPr>
        <w:spacing w:line="332" w:lineRule="auto"/>
        <w:rPr>
          <w:rFonts w:ascii="Arial" w:eastAsia="Arial" w:hAnsi="Arial" w:cs="Arial"/>
          <w:sz w:val="22"/>
        </w:rPr>
      </w:pPr>
      <w:r>
        <w:rPr>
          <w:rFonts w:ascii="Arial" w:eastAsia="Arial" w:hAnsi="Arial" w:cs="Arial"/>
          <w:sz w:val="22"/>
        </w:rPr>
        <w:t xml:space="preserve">Emily Huang, </w:t>
      </w:r>
      <w:r w:rsidR="00431A03">
        <w:rPr>
          <w:rFonts w:ascii="Arial" w:eastAsia="Arial" w:hAnsi="Arial" w:cs="Arial"/>
          <w:sz w:val="22"/>
        </w:rPr>
        <w:t>Minu Palani</w:t>
      </w:r>
    </w:p>
    <w:p w14:paraId="282D2D9C" w14:textId="77777777" w:rsidR="00354581" w:rsidRDefault="00354581">
      <w:pPr>
        <w:spacing w:line="332" w:lineRule="auto"/>
        <w:rPr>
          <w:rFonts w:ascii="Arial" w:eastAsia="Arial" w:hAnsi="Arial" w:cs="Arial"/>
          <w:sz w:val="22"/>
        </w:rPr>
      </w:pPr>
    </w:p>
    <w:p w14:paraId="683B8785"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Staff</w:t>
      </w:r>
    </w:p>
    <w:p w14:paraId="4ECAEEF4" w14:textId="332C61F6" w:rsidR="00354581" w:rsidRDefault="00431A03">
      <w:pPr>
        <w:spacing w:line="332" w:lineRule="auto"/>
        <w:rPr>
          <w:rFonts w:ascii="Arial" w:eastAsia="Arial" w:hAnsi="Arial" w:cs="Arial"/>
          <w:sz w:val="22"/>
        </w:rPr>
      </w:pPr>
      <w:r>
        <w:rPr>
          <w:rFonts w:ascii="Arial" w:eastAsia="Arial" w:hAnsi="Arial" w:cs="Arial"/>
          <w:sz w:val="22"/>
        </w:rPr>
        <w:t>Ami Beers, David Tauriello, Susan Yount</w:t>
      </w:r>
      <w:r w:rsidR="00DF0ADF">
        <w:rPr>
          <w:rFonts w:ascii="Arial" w:eastAsia="Arial" w:hAnsi="Arial" w:cs="Arial"/>
          <w:sz w:val="22"/>
        </w:rPr>
        <w:t>, Marc Ward</w:t>
      </w:r>
    </w:p>
    <w:p w14:paraId="5A3DE739" w14:textId="77777777" w:rsidR="00354581" w:rsidRDefault="00354581">
      <w:pPr>
        <w:spacing w:line="332" w:lineRule="auto"/>
        <w:rPr>
          <w:rFonts w:ascii="Arial" w:eastAsia="Arial" w:hAnsi="Arial" w:cs="Arial"/>
          <w:sz w:val="22"/>
        </w:rPr>
      </w:pPr>
    </w:p>
    <w:p w14:paraId="13DC54B8"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Observers</w:t>
      </w:r>
    </w:p>
    <w:p w14:paraId="06AAD69D" w14:textId="1DA9B572" w:rsidR="00354581" w:rsidRDefault="00502AE5">
      <w:pPr>
        <w:spacing w:line="332" w:lineRule="auto"/>
        <w:rPr>
          <w:rFonts w:ascii="Arial" w:eastAsia="Arial" w:hAnsi="Arial" w:cs="Arial"/>
          <w:sz w:val="22"/>
        </w:rPr>
      </w:pPr>
      <w:r>
        <w:rPr>
          <w:rFonts w:ascii="Arial" w:eastAsia="Arial" w:hAnsi="Arial" w:cs="Arial"/>
          <w:sz w:val="22"/>
        </w:rPr>
        <w:t>Louis Matherne, Andie Wood</w:t>
      </w:r>
    </w:p>
    <w:p w14:paraId="1C0CA075" w14:textId="77777777" w:rsidR="00354581" w:rsidRDefault="00354581">
      <w:pPr>
        <w:spacing w:line="332" w:lineRule="auto"/>
        <w:rPr>
          <w:rFonts w:ascii="Arial" w:eastAsia="Arial" w:hAnsi="Arial" w:cs="Arial"/>
          <w:i/>
          <w:sz w:val="22"/>
        </w:rPr>
      </w:pPr>
    </w:p>
    <w:p w14:paraId="2B747229" w14:textId="77777777" w:rsidR="00354581" w:rsidRDefault="00431A03">
      <w:pPr>
        <w:spacing w:line="312" w:lineRule="auto"/>
        <w:rPr>
          <w:rFonts w:ascii="Arial" w:eastAsia="Arial" w:hAnsi="Arial" w:cs="Arial"/>
          <w:b/>
          <w:sz w:val="22"/>
        </w:rPr>
      </w:pPr>
      <w:r>
        <w:rPr>
          <w:rFonts w:ascii="Arial" w:eastAsia="Arial" w:hAnsi="Arial" w:cs="Arial"/>
          <w:b/>
          <w:sz w:val="22"/>
        </w:rPr>
        <w:t>Welcome</w:t>
      </w:r>
    </w:p>
    <w:p w14:paraId="4EF4AB41" w14:textId="518EA7F5" w:rsidR="00A36CDE" w:rsidRDefault="00DF0ADF" w:rsidP="00DF0ADF">
      <w:pPr>
        <w:pStyle w:val="ListParagraph"/>
        <w:numPr>
          <w:ilvl w:val="0"/>
          <w:numId w:val="18"/>
        </w:numPr>
        <w:spacing w:line="312" w:lineRule="auto"/>
      </w:pPr>
      <w:r w:rsidRPr="00DF0ADF">
        <w:t>Chair welcomed Committee members</w:t>
      </w:r>
      <w:r w:rsidR="00AB4B2A">
        <w:t>.</w:t>
      </w:r>
    </w:p>
    <w:p w14:paraId="1A2E68D7" w14:textId="68CE41AF" w:rsidR="00354581" w:rsidRPr="00DF0ADF" w:rsidRDefault="00A36CDE" w:rsidP="00DF0ADF">
      <w:pPr>
        <w:pStyle w:val="ListParagraph"/>
        <w:numPr>
          <w:ilvl w:val="0"/>
          <w:numId w:val="18"/>
        </w:numPr>
        <w:spacing w:line="312" w:lineRule="auto"/>
      </w:pPr>
      <w:r>
        <w:t>I</w:t>
      </w:r>
      <w:r w:rsidR="00DF0ADF">
        <w:t>ntroduced new permanent observer to the DQC meetings</w:t>
      </w:r>
      <w:r w:rsidR="00AB4B2A">
        <w:t>.</w:t>
      </w:r>
      <w:r w:rsidR="00026C18">
        <w:t xml:space="preserve"> Andie Wood, IFRS, Co-chair of XBRL</w:t>
      </w:r>
      <w:r w:rsidR="005C5A47">
        <w:t xml:space="preserve"> International</w:t>
      </w:r>
      <w:r w:rsidR="00026C18">
        <w:t xml:space="preserve"> Entity Specific </w:t>
      </w:r>
      <w:r w:rsidR="00DF0ADF">
        <w:t>D</w:t>
      </w:r>
      <w:r w:rsidR="00026C18">
        <w:t xml:space="preserve">isclosure </w:t>
      </w:r>
      <w:r w:rsidR="00DF0ADF">
        <w:t>T</w:t>
      </w:r>
      <w:r w:rsidR="00026C18">
        <w:t xml:space="preserve">ask </w:t>
      </w:r>
      <w:r w:rsidR="00DF0ADF">
        <w:t>F</w:t>
      </w:r>
      <w:r w:rsidR="00026C18">
        <w:t>orce</w:t>
      </w:r>
      <w:r w:rsidR="00DF0ADF">
        <w:t>.  The DQC</w:t>
      </w:r>
      <w:r>
        <w:t xml:space="preserve"> will leverage the work of th</w:t>
      </w:r>
      <w:r w:rsidR="00026C18">
        <w:t>is Task Force for guidance on extensions.</w:t>
      </w:r>
    </w:p>
    <w:p w14:paraId="4C8FD8BE" w14:textId="0A0EBFF7" w:rsidR="00502AE5" w:rsidRDefault="00502AE5">
      <w:pPr>
        <w:spacing w:line="312" w:lineRule="auto"/>
        <w:rPr>
          <w:rFonts w:ascii="Arial" w:eastAsia="Arial" w:hAnsi="Arial" w:cs="Arial"/>
          <w:b/>
          <w:sz w:val="22"/>
        </w:rPr>
      </w:pPr>
    </w:p>
    <w:p w14:paraId="3526E4DA" w14:textId="0D94C2D5" w:rsidR="00502AE5" w:rsidRDefault="00A36CDE">
      <w:pPr>
        <w:spacing w:line="312" w:lineRule="auto"/>
        <w:rPr>
          <w:rFonts w:ascii="Arial" w:eastAsia="Arial" w:hAnsi="Arial" w:cs="Arial"/>
          <w:b/>
          <w:sz w:val="22"/>
        </w:rPr>
      </w:pPr>
      <w:r>
        <w:rPr>
          <w:rFonts w:ascii="Arial" w:eastAsia="Arial" w:hAnsi="Arial" w:cs="Arial"/>
          <w:b/>
          <w:sz w:val="22"/>
        </w:rPr>
        <w:t>Minutes Approval</w:t>
      </w:r>
    </w:p>
    <w:p w14:paraId="7A94B245" w14:textId="192391F4" w:rsidR="00502AE5" w:rsidRPr="00B61CA4" w:rsidRDefault="00502AE5" w:rsidP="00502AE5">
      <w:pPr>
        <w:pStyle w:val="ListParagraph"/>
        <w:numPr>
          <w:ilvl w:val="0"/>
          <w:numId w:val="14"/>
        </w:numPr>
        <w:spacing w:line="240" w:lineRule="auto"/>
        <w:rPr>
          <w:rFonts w:eastAsia="Times New Roman"/>
          <w:bCs/>
          <w:color w:val="auto"/>
          <w:szCs w:val="22"/>
        </w:rPr>
      </w:pPr>
      <w:r w:rsidRPr="009E29DC">
        <w:rPr>
          <w:rFonts w:eastAsia="Times New Roman"/>
        </w:rPr>
        <w:t xml:space="preserve">Motion to approve minutes from </w:t>
      </w:r>
      <w:r>
        <w:rPr>
          <w:rFonts w:eastAsia="Times New Roman"/>
        </w:rPr>
        <w:t>September 29, 2016</w:t>
      </w:r>
      <w:r w:rsidRPr="00B61CA4">
        <w:rPr>
          <w:rFonts w:eastAsia="Times New Roman"/>
        </w:rPr>
        <w:t xml:space="preserve"> DQC meeting</w:t>
      </w:r>
      <w:r>
        <w:rPr>
          <w:rFonts w:eastAsia="Times New Roman"/>
        </w:rPr>
        <w:t xml:space="preserve">, </w:t>
      </w:r>
      <w:r w:rsidRPr="00B61CA4">
        <w:rPr>
          <w:rFonts w:eastAsia="Times New Roman"/>
        </w:rPr>
        <w:t xml:space="preserve">by Campbell Pryde, seconded by </w:t>
      </w:r>
      <w:r w:rsidR="00026C18">
        <w:rPr>
          <w:rFonts w:eastAsia="Times New Roman"/>
        </w:rPr>
        <w:t>Lou Rohman.</w:t>
      </w:r>
    </w:p>
    <w:p w14:paraId="358805D7" w14:textId="77777777" w:rsidR="00502AE5" w:rsidRPr="009E29DC" w:rsidRDefault="00502AE5" w:rsidP="00502AE5">
      <w:pPr>
        <w:pStyle w:val="ListParagraph"/>
        <w:numPr>
          <w:ilvl w:val="0"/>
          <w:numId w:val="14"/>
        </w:numPr>
        <w:spacing w:line="240" w:lineRule="auto"/>
        <w:rPr>
          <w:rFonts w:eastAsia="Times New Roman"/>
          <w:bCs/>
          <w:color w:val="auto"/>
          <w:szCs w:val="22"/>
        </w:rPr>
      </w:pPr>
      <w:r>
        <w:rPr>
          <w:rFonts w:eastAsia="Times New Roman"/>
          <w:bCs/>
          <w:color w:val="auto"/>
          <w:szCs w:val="22"/>
        </w:rPr>
        <w:t>Vote (For 10</w:t>
      </w:r>
      <w:r w:rsidRPr="009E29DC">
        <w:rPr>
          <w:rFonts w:eastAsia="Times New Roman"/>
          <w:bCs/>
          <w:color w:val="auto"/>
          <w:szCs w:val="22"/>
        </w:rPr>
        <w:t>, 0 Against)</w:t>
      </w:r>
    </w:p>
    <w:p w14:paraId="3E54DDDA" w14:textId="553A2353" w:rsidR="00502AE5" w:rsidRDefault="00A36CDE" w:rsidP="00502AE5">
      <w:pPr>
        <w:pStyle w:val="ListParagraph"/>
        <w:numPr>
          <w:ilvl w:val="0"/>
          <w:numId w:val="14"/>
        </w:numPr>
        <w:spacing w:line="240" w:lineRule="auto"/>
        <w:rPr>
          <w:rFonts w:eastAsia="Times New Roman"/>
        </w:rPr>
      </w:pPr>
      <w:r>
        <w:rPr>
          <w:rFonts w:eastAsia="Times New Roman"/>
          <w:bCs/>
          <w:color w:val="auto"/>
          <w:szCs w:val="22"/>
        </w:rPr>
        <w:t xml:space="preserve">Motion passed. </w:t>
      </w:r>
      <w:r w:rsidR="00502AE5">
        <w:rPr>
          <w:rFonts w:eastAsia="Times New Roman"/>
        </w:rPr>
        <w:t>September 29, 2016 DQC meeting minutes approved.</w:t>
      </w:r>
    </w:p>
    <w:p w14:paraId="35DAD42A" w14:textId="77777777" w:rsidR="00502AE5" w:rsidRDefault="00502AE5">
      <w:pPr>
        <w:spacing w:line="312" w:lineRule="auto"/>
        <w:rPr>
          <w:rFonts w:ascii="Arial" w:eastAsia="Arial" w:hAnsi="Arial" w:cs="Arial"/>
          <w:b/>
          <w:sz w:val="22"/>
        </w:rPr>
      </w:pPr>
    </w:p>
    <w:p w14:paraId="0178CCC3" w14:textId="77777777" w:rsidR="00354581" w:rsidRDefault="00354581">
      <w:pPr>
        <w:spacing w:line="312" w:lineRule="auto"/>
        <w:rPr>
          <w:rFonts w:ascii="Arial" w:eastAsia="Arial" w:hAnsi="Arial" w:cs="Arial"/>
          <w:sz w:val="22"/>
        </w:rPr>
      </w:pPr>
    </w:p>
    <w:p w14:paraId="59000760" w14:textId="77777777" w:rsidR="00502AE5" w:rsidRDefault="00502AE5" w:rsidP="00502AE5">
      <w:pPr>
        <w:spacing w:line="312" w:lineRule="auto"/>
        <w:rPr>
          <w:rFonts w:ascii="Arial" w:eastAsia="Arial" w:hAnsi="Arial" w:cs="Arial"/>
          <w:b/>
          <w:sz w:val="22"/>
        </w:rPr>
      </w:pPr>
      <w:r w:rsidRPr="00502AE5">
        <w:rPr>
          <w:rFonts w:ascii="Arial" w:eastAsia="Arial" w:hAnsi="Arial" w:cs="Arial"/>
          <w:b/>
          <w:sz w:val="22"/>
        </w:rPr>
        <w:t>Proposed Framework to Ensure Consistency and Comparability of XBRL Data (formerly Framework for Element Selection and Extension Use)</w:t>
      </w:r>
    </w:p>
    <w:p w14:paraId="7BAC6039" w14:textId="30FA28DC" w:rsidR="001A0D9A" w:rsidRPr="001A0D9A" w:rsidRDefault="00026C18" w:rsidP="007B31DC">
      <w:pPr>
        <w:pStyle w:val="ListParagraph"/>
        <w:numPr>
          <w:ilvl w:val="0"/>
          <w:numId w:val="20"/>
        </w:numPr>
        <w:spacing w:line="312" w:lineRule="auto"/>
        <w:rPr>
          <w:b/>
        </w:rPr>
      </w:pPr>
      <w:r>
        <w:t xml:space="preserve">The </w:t>
      </w:r>
      <w:r w:rsidR="001A0D9A">
        <w:t>Framework and the Application Guidance</w:t>
      </w:r>
      <w:r>
        <w:t xml:space="preserve"> </w:t>
      </w:r>
      <w:r w:rsidR="00AB4B2A">
        <w:t xml:space="preserve">document </w:t>
      </w:r>
      <w:r>
        <w:t>has been separated in</w:t>
      </w:r>
      <w:r w:rsidR="0025152A">
        <w:t>to</w:t>
      </w:r>
      <w:r>
        <w:t xml:space="preserve"> two separate </w:t>
      </w:r>
      <w:r w:rsidR="001A0D9A">
        <w:t>d</w:t>
      </w:r>
      <w:r w:rsidR="007B31DC">
        <w:t>ocument</w:t>
      </w:r>
      <w:r w:rsidR="001A0D9A">
        <w:t xml:space="preserve">s based on feedback received.  </w:t>
      </w:r>
    </w:p>
    <w:p w14:paraId="2FD18A15" w14:textId="468DC4F9" w:rsidR="001A0D9A" w:rsidRPr="001A0D9A" w:rsidRDefault="001A0D9A" w:rsidP="007B31DC">
      <w:pPr>
        <w:pStyle w:val="ListParagraph"/>
        <w:numPr>
          <w:ilvl w:val="0"/>
          <w:numId w:val="20"/>
        </w:numPr>
        <w:spacing w:line="312" w:lineRule="auto"/>
        <w:rPr>
          <w:b/>
        </w:rPr>
      </w:pPr>
      <w:r>
        <w:t>The Framework is intended to guide DQC work in reviewing required disclosures by topical area.</w:t>
      </w:r>
      <w:r w:rsidR="007B31DC">
        <w:t xml:space="preserve"> </w:t>
      </w:r>
    </w:p>
    <w:p w14:paraId="7EBF7D70" w14:textId="07FE5A4A" w:rsidR="007B31DC" w:rsidRPr="007B31DC" w:rsidRDefault="001A0D9A" w:rsidP="007B31DC">
      <w:pPr>
        <w:pStyle w:val="ListParagraph"/>
        <w:numPr>
          <w:ilvl w:val="0"/>
          <w:numId w:val="20"/>
        </w:numPr>
        <w:spacing w:line="312" w:lineRule="auto"/>
        <w:rPr>
          <w:b/>
        </w:rPr>
      </w:pPr>
      <w:r>
        <w:lastRenderedPageBreak/>
        <w:t>Guid</w:t>
      </w:r>
      <w:r w:rsidR="00A259F1">
        <w:t>ing Principles have</w:t>
      </w:r>
      <w:r w:rsidR="007B31DC">
        <w:t xml:space="preserve"> been updated </w:t>
      </w:r>
      <w:r w:rsidR="00A259F1">
        <w:t>in</w:t>
      </w:r>
      <w:r w:rsidR="007B31DC">
        <w:t xml:space="preserve"> </w:t>
      </w:r>
      <w:r w:rsidR="00A259F1">
        <w:t>the F</w:t>
      </w:r>
      <w:r w:rsidR="007B31DC">
        <w:t xml:space="preserve">ramework </w:t>
      </w:r>
      <w:r w:rsidR="00A259F1">
        <w:t>and include an emphasis on consistent data modeling which will lead to greater comparability</w:t>
      </w:r>
      <w:r w:rsidR="0025152A">
        <w:t xml:space="preserve"> and simplification in tagging</w:t>
      </w:r>
      <w:r w:rsidR="00A259F1">
        <w:t xml:space="preserve">. </w:t>
      </w:r>
    </w:p>
    <w:p w14:paraId="54B5B8B2" w14:textId="6C345EC0" w:rsidR="007B31DC" w:rsidRPr="007B31DC" w:rsidRDefault="007B31DC" w:rsidP="007B31DC">
      <w:pPr>
        <w:pStyle w:val="ListParagraph"/>
        <w:numPr>
          <w:ilvl w:val="0"/>
          <w:numId w:val="20"/>
        </w:numPr>
        <w:spacing w:line="312" w:lineRule="auto"/>
        <w:rPr>
          <w:b/>
        </w:rPr>
      </w:pPr>
      <w:r>
        <w:t>Principles are listed in front of document and will be guideline</w:t>
      </w:r>
      <w:r w:rsidR="00936A8B">
        <w:t>s for guidance developed by DQC which</w:t>
      </w:r>
      <w:r w:rsidR="00AB4B2A">
        <w:t xml:space="preserve"> will provide</w:t>
      </w:r>
      <w:r w:rsidR="00936A8B">
        <w:t xml:space="preserve"> consistency in guidance.</w:t>
      </w:r>
    </w:p>
    <w:p w14:paraId="55271D54" w14:textId="57BEF8EA" w:rsidR="00936A8B" w:rsidRPr="00936A8B" w:rsidRDefault="00936A8B" w:rsidP="00936A8B">
      <w:pPr>
        <w:pStyle w:val="ListParagraph"/>
        <w:numPr>
          <w:ilvl w:val="0"/>
          <w:numId w:val="20"/>
        </w:numPr>
        <w:spacing w:line="312" w:lineRule="auto"/>
        <w:rPr>
          <w:b/>
        </w:rPr>
      </w:pPr>
      <w:r>
        <w:t>Framework consists of</w:t>
      </w:r>
      <w:r w:rsidR="00A259F1">
        <w:t xml:space="preserve"> six Guiding </w:t>
      </w:r>
      <w:r w:rsidR="007B31DC">
        <w:t>Principles</w:t>
      </w:r>
      <w:r w:rsidR="00A259F1">
        <w:t xml:space="preserve">.  </w:t>
      </w:r>
    </w:p>
    <w:p w14:paraId="05FB45A6" w14:textId="2DA37DCF" w:rsidR="0025152A" w:rsidRDefault="0025152A" w:rsidP="0025152A">
      <w:pPr>
        <w:pStyle w:val="ListParagraph"/>
        <w:numPr>
          <w:ilvl w:val="1"/>
          <w:numId w:val="20"/>
        </w:numPr>
        <w:rPr>
          <w:szCs w:val="22"/>
        </w:rPr>
      </w:pPr>
      <w:r w:rsidRPr="001D1E52">
        <w:rPr>
          <w:i/>
          <w:szCs w:val="22"/>
        </w:rPr>
        <w:t>Selection of standard elements must be based on the disc</w:t>
      </w:r>
      <w:r>
        <w:rPr>
          <w:i/>
          <w:szCs w:val="22"/>
        </w:rPr>
        <w:t xml:space="preserve">losure requirements under U.S. </w:t>
      </w:r>
      <w:r w:rsidRPr="001D1E52">
        <w:rPr>
          <w:i/>
          <w:szCs w:val="22"/>
        </w:rPr>
        <w:t>GAAP for public companies</w:t>
      </w:r>
    </w:p>
    <w:p w14:paraId="13ABA90E" w14:textId="77777777" w:rsidR="0025152A" w:rsidRDefault="0025152A" w:rsidP="0025152A">
      <w:pPr>
        <w:pStyle w:val="ListParagraph"/>
        <w:numPr>
          <w:ilvl w:val="1"/>
          <w:numId w:val="20"/>
        </w:numPr>
        <w:rPr>
          <w:szCs w:val="22"/>
        </w:rPr>
      </w:pPr>
      <w:r w:rsidRPr="001D1E52">
        <w:rPr>
          <w:i/>
          <w:szCs w:val="22"/>
        </w:rPr>
        <w:t>The data modeling for required disclosures should be standardized with a bias for simplification</w:t>
      </w:r>
      <w:r w:rsidRPr="00AD6355">
        <w:rPr>
          <w:szCs w:val="22"/>
        </w:rPr>
        <w:t>.</w:t>
      </w:r>
    </w:p>
    <w:p w14:paraId="3B814274" w14:textId="2C881209" w:rsidR="0025152A" w:rsidRDefault="0025152A" w:rsidP="0025152A">
      <w:pPr>
        <w:pStyle w:val="ListParagraph"/>
        <w:numPr>
          <w:ilvl w:val="1"/>
          <w:numId w:val="20"/>
        </w:numPr>
        <w:rPr>
          <w:szCs w:val="22"/>
        </w:rPr>
      </w:pPr>
      <w:r w:rsidRPr="001D1E52">
        <w:rPr>
          <w:i/>
          <w:szCs w:val="22"/>
        </w:rPr>
        <w:t>There must be only one way to tag a disclosure</w:t>
      </w:r>
      <w:r>
        <w:rPr>
          <w:szCs w:val="22"/>
        </w:rPr>
        <w:t xml:space="preserve">. </w:t>
      </w:r>
    </w:p>
    <w:p w14:paraId="68DF37D5" w14:textId="7B289F95" w:rsidR="0025152A" w:rsidRDefault="0025152A" w:rsidP="0025152A">
      <w:pPr>
        <w:pStyle w:val="ListParagraph"/>
        <w:numPr>
          <w:ilvl w:val="1"/>
          <w:numId w:val="20"/>
        </w:numPr>
        <w:rPr>
          <w:szCs w:val="22"/>
        </w:rPr>
      </w:pPr>
      <w:r w:rsidRPr="001D1E52">
        <w:rPr>
          <w:i/>
          <w:szCs w:val="22"/>
        </w:rPr>
        <w:t>The use of extensions must be limited to defined, specific cases</w:t>
      </w:r>
      <w:r>
        <w:rPr>
          <w:szCs w:val="22"/>
        </w:rPr>
        <w:t>.</w:t>
      </w:r>
    </w:p>
    <w:p w14:paraId="566DD4AC" w14:textId="77777777" w:rsidR="0025152A" w:rsidRDefault="0025152A" w:rsidP="0025152A">
      <w:pPr>
        <w:pStyle w:val="ListParagraph"/>
        <w:numPr>
          <w:ilvl w:val="1"/>
          <w:numId w:val="20"/>
        </w:numPr>
        <w:rPr>
          <w:szCs w:val="22"/>
        </w:rPr>
      </w:pPr>
      <w:r w:rsidRPr="001D1E52">
        <w:rPr>
          <w:i/>
          <w:szCs w:val="22"/>
        </w:rPr>
        <w:t xml:space="preserve">Extensions, where permitted, must be linked to a standard element in the U.S. GAAP </w:t>
      </w:r>
      <w:r>
        <w:rPr>
          <w:i/>
          <w:szCs w:val="22"/>
        </w:rPr>
        <w:t>Taxonomy.</w:t>
      </w:r>
    </w:p>
    <w:p w14:paraId="32979005" w14:textId="607F1FCC" w:rsidR="007B31DC" w:rsidRPr="007B31DC" w:rsidRDefault="0025152A" w:rsidP="0025152A">
      <w:pPr>
        <w:pStyle w:val="ListParagraph"/>
        <w:numPr>
          <w:ilvl w:val="1"/>
          <w:numId w:val="20"/>
        </w:numPr>
        <w:spacing w:line="312" w:lineRule="auto"/>
        <w:rPr>
          <w:b/>
        </w:rPr>
      </w:pPr>
      <w:r w:rsidRPr="001D1E52">
        <w:rPr>
          <w:i/>
          <w:szCs w:val="22"/>
        </w:rPr>
        <w:t>The application of materiality to element selection must be the same as applied in preparing the printed financial statements</w:t>
      </w:r>
      <w:r w:rsidRPr="00064949">
        <w:rPr>
          <w:szCs w:val="22"/>
        </w:rPr>
        <w:t>.</w:t>
      </w:r>
      <w:r w:rsidRPr="001D1E52">
        <w:rPr>
          <w:szCs w:val="22"/>
        </w:rPr>
        <w:t xml:space="preserve"> </w:t>
      </w:r>
    </w:p>
    <w:p w14:paraId="383F9EB2" w14:textId="5B317CF8" w:rsidR="007B31DC" w:rsidRPr="007B31DC" w:rsidRDefault="007B31DC" w:rsidP="007B31DC">
      <w:pPr>
        <w:pStyle w:val="ListParagraph"/>
        <w:numPr>
          <w:ilvl w:val="0"/>
          <w:numId w:val="20"/>
        </w:numPr>
        <w:spacing w:line="312" w:lineRule="auto"/>
        <w:rPr>
          <w:b/>
        </w:rPr>
      </w:pPr>
      <w:r>
        <w:t xml:space="preserve">Framework </w:t>
      </w:r>
      <w:r w:rsidR="00936A8B">
        <w:t>will</w:t>
      </w:r>
      <w:r>
        <w:t xml:space="preserve"> be issued for public comment along with</w:t>
      </w:r>
      <w:r w:rsidR="00936A8B">
        <w:t xml:space="preserve"> Application G</w:t>
      </w:r>
      <w:r>
        <w:t>uidance</w:t>
      </w:r>
      <w:r w:rsidR="00936A8B">
        <w:t xml:space="preserve"> for Balance Sheet and Income Statement.</w:t>
      </w:r>
      <w:r>
        <w:t xml:space="preserve"> </w:t>
      </w:r>
    </w:p>
    <w:p w14:paraId="26F1D06F" w14:textId="3CD7AC19" w:rsidR="00B1378C" w:rsidRPr="00B1378C" w:rsidRDefault="007B31DC" w:rsidP="007B31DC">
      <w:pPr>
        <w:pStyle w:val="ListParagraph"/>
        <w:numPr>
          <w:ilvl w:val="0"/>
          <w:numId w:val="20"/>
        </w:numPr>
        <w:spacing w:line="312" w:lineRule="auto"/>
        <w:rPr>
          <w:b/>
        </w:rPr>
      </w:pPr>
      <w:r>
        <w:t>Document will be shared with subgroup of SEC Professional</w:t>
      </w:r>
      <w:r w:rsidR="00B1378C">
        <w:t>s</w:t>
      </w:r>
      <w:r>
        <w:t xml:space="preserve"> Group </w:t>
      </w:r>
    </w:p>
    <w:p w14:paraId="66FD3023" w14:textId="2C575D42" w:rsidR="007B31DC" w:rsidRPr="00254C84" w:rsidRDefault="00B1378C" w:rsidP="00B1378C">
      <w:pPr>
        <w:pStyle w:val="ListParagraph"/>
        <w:numPr>
          <w:ilvl w:val="1"/>
          <w:numId w:val="20"/>
        </w:numPr>
        <w:spacing w:line="312" w:lineRule="auto"/>
        <w:rPr>
          <w:b/>
        </w:rPr>
      </w:pPr>
      <w:r>
        <w:t xml:space="preserve">This subgroup </w:t>
      </w:r>
      <w:r w:rsidR="007B31DC">
        <w:t>was fo</w:t>
      </w:r>
      <w:r>
        <w:t>rmed in order to provide feedback to DQC.</w:t>
      </w:r>
      <w:r w:rsidR="007B31DC">
        <w:t xml:space="preserve"> </w:t>
      </w:r>
      <w:r>
        <w:t>This s</w:t>
      </w:r>
      <w:r w:rsidR="007B31DC">
        <w:t>ubgroup includes 17 participants (in various industries including: fin</w:t>
      </w:r>
      <w:r w:rsidR="0025152A">
        <w:t>an</w:t>
      </w:r>
      <w:r w:rsidR="00AB4B2A">
        <w:t>cial</w:t>
      </w:r>
      <w:r w:rsidR="007B31DC">
        <w:t xml:space="preserve"> services, retail, oil/gas, technology)</w:t>
      </w:r>
      <w:r>
        <w:t>.</w:t>
      </w:r>
    </w:p>
    <w:p w14:paraId="72773F37" w14:textId="77777777" w:rsidR="00B1378C" w:rsidRDefault="00B1378C" w:rsidP="00B1378C">
      <w:pPr>
        <w:pStyle w:val="ListParagraph"/>
        <w:spacing w:line="312" w:lineRule="auto"/>
        <w:rPr>
          <w:b/>
          <w:i/>
          <w:color w:val="FF0000"/>
        </w:rPr>
      </w:pPr>
    </w:p>
    <w:p w14:paraId="1C62D2E3" w14:textId="29BE2278" w:rsidR="00254C84" w:rsidRPr="00B1378C" w:rsidRDefault="00E33295" w:rsidP="00B1378C">
      <w:pPr>
        <w:pStyle w:val="ListParagraph"/>
        <w:spacing w:line="312" w:lineRule="auto"/>
        <w:rPr>
          <w:b/>
          <w:i/>
          <w:color w:val="FF0000"/>
        </w:rPr>
      </w:pPr>
      <w:r>
        <w:rPr>
          <w:b/>
          <w:i/>
          <w:color w:val="FF0000"/>
        </w:rPr>
        <w:t>Action item</w:t>
      </w:r>
      <w:r w:rsidR="00254C84" w:rsidRPr="00B1378C">
        <w:rPr>
          <w:b/>
          <w:i/>
          <w:color w:val="FF0000"/>
        </w:rPr>
        <w:t xml:space="preserve"> - distribute framework to</w:t>
      </w:r>
      <w:r w:rsidR="000C5EDD" w:rsidRPr="00B1378C">
        <w:rPr>
          <w:b/>
          <w:i/>
          <w:color w:val="FF0000"/>
        </w:rPr>
        <w:t xml:space="preserve"> DQC</w:t>
      </w:r>
    </w:p>
    <w:p w14:paraId="63C10515" w14:textId="77777777" w:rsidR="00B1378C" w:rsidRDefault="00B1378C" w:rsidP="007B31DC">
      <w:pPr>
        <w:spacing w:line="312" w:lineRule="auto"/>
        <w:ind w:left="360"/>
        <w:rPr>
          <w:rFonts w:ascii="Arial" w:eastAsia="Arial" w:hAnsi="Arial" w:cs="Arial"/>
          <w:b/>
          <w:sz w:val="22"/>
        </w:rPr>
      </w:pPr>
    </w:p>
    <w:p w14:paraId="5270AFCC" w14:textId="0EFE7084" w:rsidR="007B31DC" w:rsidRDefault="007B31DC" w:rsidP="00B1378C">
      <w:pPr>
        <w:spacing w:line="312" w:lineRule="auto"/>
        <w:rPr>
          <w:rFonts w:ascii="Arial" w:eastAsia="Arial" w:hAnsi="Arial" w:cs="Arial"/>
          <w:b/>
          <w:sz w:val="22"/>
        </w:rPr>
      </w:pPr>
      <w:r>
        <w:rPr>
          <w:rFonts w:ascii="Arial" w:eastAsia="Arial" w:hAnsi="Arial" w:cs="Arial"/>
          <w:b/>
          <w:sz w:val="22"/>
        </w:rPr>
        <w:t>Application Guidance on Balance Sheet and Income Statement</w:t>
      </w:r>
    </w:p>
    <w:p w14:paraId="701FCCBD" w14:textId="5EF2A2FA" w:rsidR="007B31DC" w:rsidRDefault="00B540E5" w:rsidP="007B31DC">
      <w:pPr>
        <w:pStyle w:val="ListParagraph"/>
        <w:numPr>
          <w:ilvl w:val="0"/>
          <w:numId w:val="21"/>
        </w:numPr>
        <w:spacing w:line="312" w:lineRule="auto"/>
      </w:pPr>
      <w:r>
        <w:t xml:space="preserve">Document is being revised to separate </w:t>
      </w:r>
      <w:r w:rsidR="00B1378C">
        <w:t>out Framework from Application G</w:t>
      </w:r>
      <w:r>
        <w:t xml:space="preserve">uidance.  </w:t>
      </w:r>
    </w:p>
    <w:p w14:paraId="76CE4DF1" w14:textId="7E3D14C1" w:rsidR="0090041A" w:rsidRDefault="0090041A" w:rsidP="007B31DC">
      <w:pPr>
        <w:pStyle w:val="ListParagraph"/>
        <w:numPr>
          <w:ilvl w:val="0"/>
          <w:numId w:val="21"/>
        </w:numPr>
        <w:spacing w:line="312" w:lineRule="auto"/>
      </w:pPr>
      <w:r>
        <w:t xml:space="preserve">Content related to element selection will be retained in </w:t>
      </w:r>
      <w:r w:rsidR="00B1378C">
        <w:t>Application Guidance</w:t>
      </w:r>
      <w:r>
        <w:t>.  All content related to data modeling will be removed</w:t>
      </w:r>
      <w:r w:rsidR="00E33295">
        <w:t xml:space="preserve"> from document</w:t>
      </w:r>
      <w:r>
        <w:t>.</w:t>
      </w:r>
    </w:p>
    <w:p w14:paraId="761CB940" w14:textId="50D11853" w:rsidR="0090041A" w:rsidRDefault="0090041A" w:rsidP="007B31DC">
      <w:pPr>
        <w:pStyle w:val="ListParagraph"/>
        <w:numPr>
          <w:ilvl w:val="0"/>
          <w:numId w:val="21"/>
        </w:numPr>
        <w:spacing w:line="312" w:lineRule="auto"/>
      </w:pPr>
      <w:r>
        <w:t xml:space="preserve">New section added </w:t>
      </w:r>
      <w:r w:rsidR="00E33295">
        <w:t>provides example of how to attach standard element to a disclosure requirement.</w:t>
      </w:r>
    </w:p>
    <w:p w14:paraId="7878C5E2" w14:textId="2EA17F2D" w:rsidR="0090041A" w:rsidRDefault="0090041A" w:rsidP="007B31DC">
      <w:pPr>
        <w:pStyle w:val="ListParagraph"/>
        <w:numPr>
          <w:ilvl w:val="0"/>
          <w:numId w:val="21"/>
        </w:numPr>
        <w:spacing w:line="312" w:lineRule="auto"/>
      </w:pPr>
      <w:r>
        <w:t xml:space="preserve">Analysis </w:t>
      </w:r>
      <w:r w:rsidR="003A2B6F">
        <w:t>of 200 companies in S&amp;P 500 for Net Income showed approximately one third companies would change element for net income based on</w:t>
      </w:r>
      <w:r w:rsidR="0025152A">
        <w:t xml:space="preserve"> new</w:t>
      </w:r>
      <w:r w:rsidR="003A2B6F">
        <w:t xml:space="preserve"> guidance. </w:t>
      </w:r>
    </w:p>
    <w:p w14:paraId="09E4F767" w14:textId="6E10831F" w:rsidR="003A2B6F" w:rsidRDefault="003A2B6F" w:rsidP="007B31DC">
      <w:pPr>
        <w:pStyle w:val="ListParagraph"/>
        <w:numPr>
          <w:ilvl w:val="0"/>
          <w:numId w:val="21"/>
        </w:numPr>
        <w:spacing w:line="312" w:lineRule="auto"/>
      </w:pPr>
      <w:r>
        <w:t xml:space="preserve">Feedback needed on Revenue Analysis prepared by Workiva by other service providers on DQC. FASB staff will </w:t>
      </w:r>
      <w:r w:rsidR="0025152A">
        <w:t xml:space="preserve">also </w:t>
      </w:r>
      <w:r>
        <w:t>provide feedback on part of the analysis on revenue.</w:t>
      </w:r>
    </w:p>
    <w:p w14:paraId="25A253DB" w14:textId="1DEF6A5C" w:rsidR="003A2B6F" w:rsidRDefault="003A2B6F" w:rsidP="007B31DC">
      <w:pPr>
        <w:pStyle w:val="ListParagraph"/>
        <w:numPr>
          <w:ilvl w:val="0"/>
          <w:numId w:val="21"/>
        </w:numPr>
        <w:spacing w:line="312" w:lineRule="auto"/>
      </w:pPr>
      <w:r>
        <w:t xml:space="preserve">A few issues will be discussed with the SEC staff related to how industries report revenue (e.g., oil/gas aggregate other items in revenue).  </w:t>
      </w:r>
    </w:p>
    <w:p w14:paraId="187669BE" w14:textId="0A833101" w:rsidR="002D5CA0" w:rsidRDefault="003A2B6F" w:rsidP="007B31DC">
      <w:pPr>
        <w:pStyle w:val="ListParagraph"/>
        <w:numPr>
          <w:ilvl w:val="0"/>
          <w:numId w:val="21"/>
        </w:numPr>
        <w:spacing w:line="312" w:lineRule="auto"/>
      </w:pPr>
      <w:r>
        <w:t>New draft will be ready in mid-</w:t>
      </w:r>
      <w:r w:rsidR="002D5CA0">
        <w:t>December</w:t>
      </w:r>
      <w:r w:rsidR="0025152A">
        <w:t>.</w:t>
      </w:r>
    </w:p>
    <w:p w14:paraId="5CA49D5D" w14:textId="77777777" w:rsidR="00354581" w:rsidRDefault="00354581">
      <w:pPr>
        <w:spacing w:line="312" w:lineRule="auto"/>
        <w:ind w:left="1440"/>
        <w:rPr>
          <w:rFonts w:ascii="Arial" w:eastAsia="Arial" w:hAnsi="Arial" w:cs="Arial"/>
          <w:sz w:val="22"/>
        </w:rPr>
      </w:pPr>
    </w:p>
    <w:p w14:paraId="3235E98E" w14:textId="69CC19F3" w:rsidR="00354581" w:rsidRDefault="00AB4B2A" w:rsidP="0090041A">
      <w:pPr>
        <w:spacing w:line="312" w:lineRule="auto"/>
        <w:ind w:left="720"/>
        <w:rPr>
          <w:rFonts w:ascii="Arial" w:eastAsia="Arial" w:hAnsi="Arial" w:cs="Arial"/>
          <w:b/>
          <w:i/>
          <w:color w:val="FF0000"/>
          <w:sz w:val="22"/>
        </w:rPr>
      </w:pPr>
      <w:r>
        <w:rPr>
          <w:rFonts w:ascii="Arial" w:eastAsia="Arial" w:hAnsi="Arial" w:cs="Arial"/>
          <w:b/>
          <w:i/>
          <w:color w:val="FF0000"/>
          <w:sz w:val="22"/>
        </w:rPr>
        <w:lastRenderedPageBreak/>
        <w:t xml:space="preserve">Action Items - </w:t>
      </w:r>
    </w:p>
    <w:p w14:paraId="73579FAD" w14:textId="65FBA6D6" w:rsidR="0090041A" w:rsidRDefault="0090041A" w:rsidP="0090041A">
      <w:pPr>
        <w:numPr>
          <w:ilvl w:val="0"/>
          <w:numId w:val="7"/>
        </w:numPr>
        <w:spacing w:line="312" w:lineRule="auto"/>
        <w:ind w:left="1080" w:hanging="270"/>
        <w:rPr>
          <w:rFonts w:ascii="Arial" w:eastAsia="Arial" w:hAnsi="Arial" w:cs="Arial"/>
          <w:b/>
          <w:i/>
          <w:color w:val="FF0000"/>
          <w:sz w:val="22"/>
        </w:rPr>
      </w:pPr>
      <w:r>
        <w:rPr>
          <w:rFonts w:ascii="Arial" w:eastAsia="Arial" w:hAnsi="Arial" w:cs="Arial"/>
          <w:b/>
          <w:i/>
          <w:color w:val="FF0000"/>
          <w:sz w:val="22"/>
        </w:rPr>
        <w:t>Service providers</w:t>
      </w:r>
      <w:r w:rsidR="0025152A">
        <w:rPr>
          <w:rFonts w:ascii="Arial" w:eastAsia="Arial" w:hAnsi="Arial" w:cs="Arial"/>
          <w:b/>
          <w:i/>
          <w:color w:val="FF0000"/>
          <w:sz w:val="22"/>
        </w:rPr>
        <w:t>/FASB</w:t>
      </w:r>
      <w:r>
        <w:rPr>
          <w:rFonts w:ascii="Arial" w:eastAsia="Arial" w:hAnsi="Arial" w:cs="Arial"/>
          <w:b/>
          <w:i/>
          <w:color w:val="FF0000"/>
          <w:sz w:val="22"/>
        </w:rPr>
        <w:t xml:space="preserve"> to test guidance on revenue for companies that were analyzed and compare results.</w:t>
      </w:r>
    </w:p>
    <w:p w14:paraId="366B15F7" w14:textId="023C57C8" w:rsidR="000C5EDD" w:rsidRDefault="000C5EDD" w:rsidP="0090041A">
      <w:pPr>
        <w:numPr>
          <w:ilvl w:val="0"/>
          <w:numId w:val="7"/>
        </w:numPr>
        <w:spacing w:line="312" w:lineRule="auto"/>
        <w:ind w:left="1080" w:hanging="270"/>
        <w:rPr>
          <w:rFonts w:ascii="Arial" w:eastAsia="Arial" w:hAnsi="Arial" w:cs="Arial"/>
          <w:b/>
          <w:i/>
          <w:color w:val="FF0000"/>
          <w:sz w:val="22"/>
        </w:rPr>
      </w:pPr>
      <w:r>
        <w:rPr>
          <w:rFonts w:ascii="Arial" w:eastAsia="Arial" w:hAnsi="Arial" w:cs="Arial"/>
          <w:b/>
          <w:i/>
          <w:color w:val="FF0000"/>
          <w:sz w:val="22"/>
        </w:rPr>
        <w:t>Distribute Application Guidance document to DQC for review</w:t>
      </w:r>
      <w:r w:rsidR="0025152A">
        <w:rPr>
          <w:rFonts w:ascii="Arial" w:eastAsia="Arial" w:hAnsi="Arial" w:cs="Arial"/>
          <w:b/>
          <w:i/>
          <w:color w:val="FF0000"/>
          <w:sz w:val="22"/>
        </w:rPr>
        <w:t>.</w:t>
      </w:r>
    </w:p>
    <w:p w14:paraId="742828AC" w14:textId="77777777" w:rsidR="00354581" w:rsidRDefault="00354581">
      <w:pPr>
        <w:spacing w:line="312" w:lineRule="auto"/>
        <w:rPr>
          <w:rFonts w:ascii="Arial" w:eastAsia="Arial" w:hAnsi="Arial" w:cs="Arial"/>
          <w:b/>
          <w:sz w:val="22"/>
        </w:rPr>
      </w:pPr>
    </w:p>
    <w:p w14:paraId="79567C56" w14:textId="77777777" w:rsidR="00B1378C" w:rsidRDefault="00B1378C" w:rsidP="00B1378C">
      <w:pPr>
        <w:spacing w:line="312" w:lineRule="auto"/>
        <w:rPr>
          <w:rFonts w:ascii="Arial" w:eastAsia="Arial" w:hAnsi="Arial" w:cs="Arial"/>
          <w:b/>
          <w:sz w:val="22"/>
        </w:rPr>
      </w:pPr>
      <w:r>
        <w:rPr>
          <w:rFonts w:ascii="Arial" w:eastAsia="Arial" w:hAnsi="Arial" w:cs="Arial"/>
          <w:b/>
          <w:sz w:val="22"/>
        </w:rPr>
        <w:t>Contributed Rules/Public Review</w:t>
      </w:r>
    </w:p>
    <w:p w14:paraId="05ECF2E5" w14:textId="4CF926F6" w:rsidR="00B1378C" w:rsidRPr="00A33373" w:rsidRDefault="00B1378C" w:rsidP="00B1378C">
      <w:pPr>
        <w:numPr>
          <w:ilvl w:val="0"/>
          <w:numId w:val="16"/>
        </w:numPr>
        <w:spacing w:after="100" w:afterAutospacing="1" w:line="312" w:lineRule="auto"/>
        <w:rPr>
          <w:rFonts w:ascii="Roboto" w:hAnsi="Roboto" w:cs="Helvetica"/>
          <w:i/>
          <w:color w:val="231F20"/>
        </w:rPr>
      </w:pPr>
      <w:r w:rsidRPr="00A33373">
        <w:rPr>
          <w:rFonts w:ascii="Arial" w:eastAsia="Arial" w:hAnsi="Arial" w:cs="Arial"/>
          <w:sz w:val="22"/>
        </w:rPr>
        <w:t>Rules</w:t>
      </w:r>
      <w:r>
        <w:rPr>
          <w:rFonts w:ascii="Arial" w:eastAsia="Arial" w:hAnsi="Arial" w:cs="Arial"/>
          <w:sz w:val="22"/>
        </w:rPr>
        <w:t xml:space="preserve"> </w:t>
      </w:r>
      <w:r w:rsidR="00AB4B2A">
        <w:rPr>
          <w:rFonts w:ascii="Arial" w:eastAsia="Arial" w:hAnsi="Arial" w:cs="Arial"/>
          <w:sz w:val="22"/>
        </w:rPr>
        <w:t>for public r</w:t>
      </w:r>
      <w:r w:rsidRPr="00A33373">
        <w:rPr>
          <w:rFonts w:ascii="Arial" w:eastAsia="Arial" w:hAnsi="Arial" w:cs="Arial"/>
          <w:sz w:val="22"/>
        </w:rPr>
        <w:t>eview (Q4 2016)</w:t>
      </w:r>
      <w:r>
        <w:rPr>
          <w:rFonts w:ascii="Arial" w:eastAsia="Arial" w:hAnsi="Arial" w:cs="Arial"/>
          <w:sz w:val="22"/>
        </w:rPr>
        <w:t xml:space="preserve"> open until December 13</w:t>
      </w:r>
      <w:r w:rsidRPr="00AB4B2A">
        <w:rPr>
          <w:rFonts w:ascii="Arial" w:eastAsia="Arial" w:hAnsi="Arial" w:cs="Arial"/>
          <w:sz w:val="22"/>
          <w:vertAlign w:val="superscript"/>
        </w:rPr>
        <w:t>th</w:t>
      </w:r>
      <w:r w:rsidR="00AB4B2A">
        <w:rPr>
          <w:rFonts w:ascii="Arial" w:eastAsia="Arial" w:hAnsi="Arial" w:cs="Arial"/>
          <w:sz w:val="22"/>
        </w:rPr>
        <w:t>.</w:t>
      </w:r>
    </w:p>
    <w:p w14:paraId="6E2EF436" w14:textId="31D098C0" w:rsidR="00B1378C" w:rsidRPr="00B540E5" w:rsidRDefault="00B1378C" w:rsidP="00B1378C">
      <w:pPr>
        <w:numPr>
          <w:ilvl w:val="0"/>
          <w:numId w:val="16"/>
        </w:numPr>
        <w:spacing w:before="100" w:beforeAutospacing="1" w:after="100" w:afterAutospacing="1" w:line="312" w:lineRule="auto"/>
        <w:rPr>
          <w:rFonts w:ascii="Roboto" w:hAnsi="Roboto" w:cs="Helvetica"/>
          <w:i/>
          <w:color w:val="231F20"/>
        </w:rPr>
      </w:pPr>
      <w:r>
        <w:rPr>
          <w:rFonts w:ascii="Arial" w:eastAsia="Arial" w:hAnsi="Arial" w:cs="Arial"/>
          <w:sz w:val="22"/>
        </w:rPr>
        <w:t>Three c</w:t>
      </w:r>
      <w:r w:rsidRPr="00A33373">
        <w:rPr>
          <w:rFonts w:ascii="Arial" w:eastAsia="Arial" w:hAnsi="Arial" w:cs="Arial"/>
          <w:sz w:val="22"/>
        </w:rPr>
        <w:t>omments received to date for</w:t>
      </w:r>
      <w:r>
        <w:rPr>
          <w:rFonts w:ascii="Arial" w:eastAsia="Arial" w:hAnsi="Arial" w:cs="Arial"/>
          <w:sz w:val="22"/>
        </w:rPr>
        <w:t xml:space="preserve"> </w:t>
      </w:r>
      <w:r w:rsidRPr="00A33373">
        <w:rPr>
          <w:rFonts w:ascii="Arial" w:eastAsia="Arial" w:hAnsi="Arial" w:cs="Arial"/>
          <w:sz w:val="22"/>
        </w:rPr>
        <w:t>Negative Value Rule (DQC_0015)</w:t>
      </w:r>
      <w:r w:rsidR="00AB4B2A">
        <w:rPr>
          <w:rFonts w:ascii="Arial" w:eastAsia="Arial" w:hAnsi="Arial" w:cs="Arial"/>
          <w:sz w:val="22"/>
        </w:rPr>
        <w:t>.</w:t>
      </w:r>
    </w:p>
    <w:p w14:paraId="47D1CC0B" w14:textId="2A80DAAA" w:rsidR="00B1378C" w:rsidRPr="00A33373" w:rsidRDefault="00B1378C" w:rsidP="008348B6">
      <w:pPr>
        <w:numPr>
          <w:ilvl w:val="1"/>
          <w:numId w:val="16"/>
        </w:numPr>
        <w:spacing w:before="100" w:beforeAutospacing="1" w:after="100" w:afterAutospacing="1"/>
        <w:rPr>
          <w:rFonts w:ascii="Roboto" w:hAnsi="Roboto" w:cs="Helvetica"/>
          <w:i/>
          <w:color w:val="231F20"/>
        </w:rPr>
      </w:pPr>
      <w:r w:rsidRPr="00B540E5">
        <w:rPr>
          <w:rFonts w:ascii="Arial" w:eastAsia="Arial" w:hAnsi="Arial" w:cs="Arial"/>
          <w:sz w:val="22"/>
        </w:rPr>
        <w:t>Remove from rule</w:t>
      </w:r>
      <w:r w:rsidR="00AB4B2A">
        <w:rPr>
          <w:rFonts w:ascii="Arial" w:eastAsia="Arial" w:hAnsi="Arial" w:cs="Arial"/>
          <w:sz w:val="22"/>
        </w:rPr>
        <w:t xml:space="preserve"> </w:t>
      </w:r>
      <w:r w:rsidRPr="00A33373">
        <w:rPr>
          <w:rFonts w:ascii="Roboto" w:hAnsi="Roboto" w:cs="Helvetica"/>
          <w:i/>
          <w:color w:val="231F20"/>
        </w:rPr>
        <w:t>-</w:t>
      </w:r>
    </w:p>
    <w:p w14:paraId="568DABF2" w14:textId="77777777" w:rsidR="00B1378C" w:rsidRPr="00B540E5" w:rsidRDefault="00B1378C" w:rsidP="008348B6">
      <w:pPr>
        <w:numPr>
          <w:ilvl w:val="2"/>
          <w:numId w:val="16"/>
        </w:numPr>
        <w:spacing w:before="100" w:beforeAutospacing="1" w:after="100" w:afterAutospacing="1" w:line="312" w:lineRule="auto"/>
        <w:rPr>
          <w:rFonts w:ascii="Arial" w:eastAsia="Arial" w:hAnsi="Arial" w:cs="Arial"/>
          <w:sz w:val="22"/>
        </w:rPr>
      </w:pPr>
      <w:r w:rsidRPr="00B540E5">
        <w:rPr>
          <w:rFonts w:ascii="Arial" w:eastAsia="Arial" w:hAnsi="Arial" w:cs="Arial"/>
          <w:sz w:val="22"/>
        </w:rPr>
        <w:t xml:space="preserve">ImpairmentOfLongLivedAssetsHeldForUse </w:t>
      </w:r>
    </w:p>
    <w:p w14:paraId="140A369D" w14:textId="77777777" w:rsidR="00B1378C" w:rsidRPr="00B540E5" w:rsidRDefault="00B1378C" w:rsidP="008348B6">
      <w:pPr>
        <w:numPr>
          <w:ilvl w:val="2"/>
          <w:numId w:val="16"/>
        </w:numPr>
        <w:spacing w:before="100" w:beforeAutospacing="1" w:after="100" w:afterAutospacing="1" w:line="312" w:lineRule="auto"/>
        <w:rPr>
          <w:rFonts w:ascii="Arial" w:eastAsia="Arial" w:hAnsi="Arial" w:cs="Arial"/>
          <w:sz w:val="22"/>
        </w:rPr>
      </w:pPr>
      <w:r w:rsidRPr="00B540E5">
        <w:rPr>
          <w:rFonts w:ascii="Arial" w:eastAsia="Arial" w:hAnsi="Arial" w:cs="Arial"/>
          <w:sz w:val="22"/>
        </w:rPr>
        <w:t>OtherOwnershipInterestsCapitalAccount.</w:t>
      </w:r>
    </w:p>
    <w:p w14:paraId="66DDD463" w14:textId="77777777" w:rsidR="00B1378C" w:rsidRPr="00B540E5" w:rsidRDefault="00B1378C" w:rsidP="008348B6">
      <w:pPr>
        <w:numPr>
          <w:ilvl w:val="2"/>
          <w:numId w:val="16"/>
        </w:numPr>
        <w:spacing w:before="100" w:beforeAutospacing="1" w:after="100" w:afterAutospacing="1" w:line="312" w:lineRule="auto"/>
        <w:rPr>
          <w:rFonts w:ascii="Arial" w:eastAsia="Arial" w:hAnsi="Arial" w:cs="Arial"/>
          <w:sz w:val="22"/>
        </w:rPr>
      </w:pPr>
      <w:r w:rsidRPr="00B540E5">
        <w:rPr>
          <w:rFonts w:ascii="Arial" w:eastAsia="Arial" w:hAnsi="Arial" w:cs="Arial"/>
          <w:sz w:val="22"/>
        </w:rPr>
        <w:t xml:space="preserve">NonInvestmentAssetsLessNonInvestmentLiabilitiesPercentOfNetAssets from non-negative concepts. </w:t>
      </w:r>
    </w:p>
    <w:p w14:paraId="6729D25F" w14:textId="77777777" w:rsidR="00B1378C" w:rsidRPr="00B540E5" w:rsidRDefault="00B1378C" w:rsidP="008348B6">
      <w:pPr>
        <w:pStyle w:val="ListParagraph"/>
        <w:numPr>
          <w:ilvl w:val="1"/>
          <w:numId w:val="16"/>
        </w:numPr>
        <w:spacing w:before="100" w:beforeAutospacing="1" w:after="100" w:afterAutospacing="1" w:line="240" w:lineRule="auto"/>
        <w:rPr>
          <w:color w:val="auto"/>
          <w:kern w:val="16"/>
        </w:rPr>
      </w:pPr>
      <w:r w:rsidRPr="00B540E5">
        <w:rPr>
          <w:color w:val="auto"/>
          <w:kern w:val="16"/>
        </w:rPr>
        <w:t xml:space="preserve">Add to rule – </w:t>
      </w:r>
    </w:p>
    <w:p w14:paraId="4A7882BE" w14:textId="77777777" w:rsidR="00B1378C" w:rsidRDefault="00B1378C" w:rsidP="008348B6">
      <w:pPr>
        <w:numPr>
          <w:ilvl w:val="2"/>
          <w:numId w:val="16"/>
        </w:numPr>
        <w:spacing w:before="100" w:beforeAutospacing="1" w:after="100" w:afterAutospacing="1" w:line="312" w:lineRule="auto"/>
        <w:rPr>
          <w:rFonts w:ascii="Arial" w:eastAsia="Arial" w:hAnsi="Arial" w:cs="Arial"/>
          <w:sz w:val="22"/>
        </w:rPr>
      </w:pPr>
      <w:r w:rsidRPr="00B540E5">
        <w:rPr>
          <w:rFonts w:ascii="Arial" w:eastAsia="Arial" w:hAnsi="Arial" w:cs="Arial"/>
          <w:sz w:val="22"/>
        </w:rPr>
        <w:t xml:space="preserve">Non​Investment​Assets​Less​Non​Investment​Liabilities </w:t>
      </w:r>
    </w:p>
    <w:p w14:paraId="0C3C9303" w14:textId="2C51683A" w:rsidR="00B1378C" w:rsidRDefault="00B1378C" w:rsidP="008348B6">
      <w:pPr>
        <w:numPr>
          <w:ilvl w:val="0"/>
          <w:numId w:val="27"/>
        </w:numPr>
        <w:spacing w:line="312" w:lineRule="auto"/>
        <w:ind w:left="1170"/>
        <w:rPr>
          <w:sz w:val="22"/>
        </w:rPr>
      </w:pPr>
      <w:r>
        <w:rPr>
          <w:rFonts w:ascii="Arial" w:eastAsia="Arial" w:hAnsi="Arial" w:cs="Arial"/>
          <w:sz w:val="22"/>
        </w:rPr>
        <w:t xml:space="preserve">Motion Motion to approve changes to rule DQC_0015 </w:t>
      </w:r>
      <w:r w:rsidR="00AB4B2A">
        <w:rPr>
          <w:rFonts w:ascii="Arial" w:eastAsia="Arial" w:hAnsi="Arial" w:cs="Arial"/>
          <w:sz w:val="22"/>
        </w:rPr>
        <w:t xml:space="preserve">by </w:t>
      </w:r>
      <w:r>
        <w:rPr>
          <w:rFonts w:ascii="Arial" w:eastAsia="Arial" w:hAnsi="Arial" w:cs="Arial"/>
          <w:sz w:val="22"/>
        </w:rPr>
        <w:t>Lou Rohman, seconded by Emil Efthimides</w:t>
      </w:r>
    </w:p>
    <w:p w14:paraId="0AE0815B" w14:textId="77777777" w:rsidR="00B1378C" w:rsidRDefault="00B1378C" w:rsidP="008348B6">
      <w:pPr>
        <w:numPr>
          <w:ilvl w:val="0"/>
          <w:numId w:val="27"/>
        </w:numPr>
        <w:spacing w:line="288" w:lineRule="auto"/>
        <w:ind w:left="1170"/>
        <w:rPr>
          <w:sz w:val="22"/>
        </w:rPr>
      </w:pPr>
      <w:r>
        <w:rPr>
          <w:rFonts w:ascii="Arial" w:eastAsia="Arial" w:hAnsi="Arial" w:cs="Arial"/>
          <w:sz w:val="22"/>
        </w:rPr>
        <w:t>Vote (For 10, 0 Against)</w:t>
      </w:r>
    </w:p>
    <w:p w14:paraId="61CF3A6D" w14:textId="77777777" w:rsidR="00B1378C" w:rsidRPr="0090041A" w:rsidRDefault="00B1378C" w:rsidP="008348B6">
      <w:pPr>
        <w:numPr>
          <w:ilvl w:val="0"/>
          <w:numId w:val="27"/>
        </w:numPr>
        <w:spacing w:line="288" w:lineRule="auto"/>
        <w:ind w:left="1170"/>
        <w:rPr>
          <w:sz w:val="22"/>
        </w:rPr>
      </w:pPr>
      <w:r>
        <w:rPr>
          <w:rFonts w:ascii="Arial" w:eastAsia="Arial" w:hAnsi="Arial" w:cs="Arial"/>
          <w:sz w:val="22"/>
        </w:rPr>
        <w:t xml:space="preserve">Motion passed.  </w:t>
      </w:r>
    </w:p>
    <w:p w14:paraId="6601548B" w14:textId="77777777" w:rsidR="00B1378C" w:rsidRPr="0090041A" w:rsidRDefault="00B1378C" w:rsidP="00B1378C">
      <w:pPr>
        <w:spacing w:line="288" w:lineRule="auto"/>
        <w:ind w:left="1440"/>
        <w:rPr>
          <w:sz w:val="22"/>
        </w:rPr>
      </w:pPr>
    </w:p>
    <w:p w14:paraId="34D417EE" w14:textId="538D6DD5" w:rsidR="00B1378C" w:rsidRPr="008348B6" w:rsidRDefault="00B1378C" w:rsidP="008348B6">
      <w:pPr>
        <w:spacing w:line="288" w:lineRule="auto"/>
        <w:ind w:left="1170" w:hanging="450"/>
        <w:rPr>
          <w:rFonts w:ascii="Arial" w:eastAsia="Arial" w:hAnsi="Arial" w:cs="Arial"/>
          <w:sz w:val="22"/>
        </w:rPr>
      </w:pPr>
      <w:r w:rsidRPr="002D5CA0">
        <w:rPr>
          <w:rFonts w:ascii="Arial" w:eastAsia="Arial" w:hAnsi="Arial" w:cs="Arial"/>
          <w:b/>
          <w:i/>
          <w:color w:val="FF0000"/>
          <w:sz w:val="22"/>
        </w:rPr>
        <w:t>Action Item</w:t>
      </w:r>
      <w:r w:rsidRPr="002D5CA0">
        <w:rPr>
          <w:rFonts w:ascii="Arial" w:eastAsia="Arial" w:hAnsi="Arial" w:cs="Arial"/>
          <w:sz w:val="22"/>
        </w:rPr>
        <w:t xml:space="preserve"> </w:t>
      </w:r>
      <w:r w:rsidR="008348B6" w:rsidRPr="008348B6">
        <w:rPr>
          <w:rFonts w:ascii="Arial" w:eastAsia="Arial" w:hAnsi="Arial" w:cs="Arial"/>
          <w:color w:val="FF0000"/>
          <w:sz w:val="22"/>
        </w:rPr>
        <w:t xml:space="preserve">- </w:t>
      </w:r>
      <w:r>
        <w:rPr>
          <w:rFonts w:ascii="Arial" w:eastAsia="Arial" w:hAnsi="Arial" w:cs="Arial"/>
          <w:b/>
          <w:i/>
          <w:color w:val="FF0000"/>
          <w:sz w:val="22"/>
        </w:rPr>
        <w:t>Campbell to c</w:t>
      </w:r>
      <w:r w:rsidRPr="002D5CA0">
        <w:rPr>
          <w:rFonts w:ascii="Arial" w:eastAsia="Arial" w:hAnsi="Arial" w:cs="Arial"/>
          <w:b/>
          <w:i/>
          <w:color w:val="FF0000"/>
          <w:sz w:val="22"/>
        </w:rPr>
        <w:t>onfirm with working group the effective date</w:t>
      </w:r>
      <w:r w:rsidR="008348B6">
        <w:rPr>
          <w:rFonts w:ascii="Arial" w:eastAsia="Arial" w:hAnsi="Arial" w:cs="Arial"/>
          <w:b/>
          <w:i/>
          <w:color w:val="FF0000"/>
          <w:sz w:val="22"/>
        </w:rPr>
        <w:t xml:space="preserve"> (January 1, 2017)</w:t>
      </w:r>
      <w:r w:rsidRPr="002D5CA0">
        <w:rPr>
          <w:rFonts w:ascii="Arial" w:eastAsia="Arial" w:hAnsi="Arial" w:cs="Arial"/>
          <w:b/>
          <w:i/>
          <w:color w:val="FF0000"/>
          <w:sz w:val="22"/>
        </w:rPr>
        <w:t xml:space="preserve"> </w:t>
      </w:r>
      <w:r w:rsidR="008348B6">
        <w:rPr>
          <w:rFonts w:ascii="Arial" w:eastAsia="Arial" w:hAnsi="Arial" w:cs="Arial"/>
          <w:b/>
          <w:i/>
          <w:color w:val="FF0000"/>
          <w:sz w:val="22"/>
        </w:rPr>
        <w:t>for R</w:t>
      </w:r>
      <w:r w:rsidRPr="002D5CA0">
        <w:rPr>
          <w:rFonts w:ascii="Arial" w:eastAsia="Arial" w:hAnsi="Arial" w:cs="Arial"/>
          <w:b/>
          <w:i/>
          <w:color w:val="FF0000"/>
          <w:sz w:val="22"/>
        </w:rPr>
        <w:t xml:space="preserve">ules </w:t>
      </w:r>
      <w:r>
        <w:rPr>
          <w:rFonts w:ascii="Arial" w:eastAsia="Arial" w:hAnsi="Arial" w:cs="Arial"/>
          <w:b/>
          <w:i/>
          <w:color w:val="FF0000"/>
          <w:sz w:val="22"/>
        </w:rPr>
        <w:t>under public review.</w:t>
      </w:r>
      <w:r w:rsidR="002C7013">
        <w:rPr>
          <w:rFonts w:ascii="Arial" w:eastAsia="Arial" w:hAnsi="Arial" w:cs="Arial"/>
          <w:b/>
          <w:i/>
          <w:color w:val="FF0000"/>
          <w:sz w:val="22"/>
        </w:rPr>
        <w:t xml:space="preserve"> (Subsequently confirmed)</w:t>
      </w:r>
    </w:p>
    <w:p w14:paraId="47A6E67E" w14:textId="77777777" w:rsidR="00B1378C" w:rsidRDefault="00B1378C" w:rsidP="00502AE5">
      <w:pPr>
        <w:spacing w:line="312" w:lineRule="auto"/>
        <w:rPr>
          <w:rFonts w:ascii="Arial" w:eastAsia="Arial" w:hAnsi="Arial" w:cs="Arial"/>
          <w:b/>
          <w:sz w:val="22"/>
        </w:rPr>
      </w:pPr>
    </w:p>
    <w:p w14:paraId="17C231FD" w14:textId="66159E06" w:rsidR="00502AE5" w:rsidRPr="00502AE5" w:rsidRDefault="00502AE5" w:rsidP="00502AE5">
      <w:pPr>
        <w:spacing w:line="312" w:lineRule="auto"/>
        <w:rPr>
          <w:rFonts w:ascii="Arial" w:eastAsia="Arial" w:hAnsi="Arial" w:cs="Arial"/>
          <w:b/>
          <w:sz w:val="22"/>
        </w:rPr>
      </w:pPr>
      <w:r w:rsidRPr="00502AE5">
        <w:rPr>
          <w:rFonts w:ascii="Arial" w:eastAsia="Arial" w:hAnsi="Arial" w:cs="Arial"/>
          <w:b/>
          <w:sz w:val="22"/>
        </w:rPr>
        <w:t xml:space="preserve">Entity Specific Disclosure </w:t>
      </w:r>
      <w:r w:rsidR="002D5CA0">
        <w:rPr>
          <w:rFonts w:ascii="Arial" w:eastAsia="Arial" w:hAnsi="Arial" w:cs="Arial"/>
          <w:b/>
          <w:sz w:val="22"/>
        </w:rPr>
        <w:t>Task Force</w:t>
      </w:r>
      <w:r w:rsidRPr="00502AE5">
        <w:rPr>
          <w:rFonts w:ascii="Arial" w:eastAsia="Arial" w:hAnsi="Arial" w:cs="Arial"/>
          <w:b/>
          <w:sz w:val="22"/>
        </w:rPr>
        <w:t xml:space="preserve"> </w:t>
      </w:r>
    </w:p>
    <w:p w14:paraId="2D8C3A28" w14:textId="11481C3B" w:rsidR="00354581" w:rsidRPr="002D5CA0" w:rsidRDefault="002D5CA0" w:rsidP="00502AE5">
      <w:pPr>
        <w:pStyle w:val="ListParagraph"/>
        <w:numPr>
          <w:ilvl w:val="0"/>
          <w:numId w:val="15"/>
        </w:numPr>
        <w:spacing w:line="312" w:lineRule="auto"/>
        <w:rPr>
          <w:b/>
        </w:rPr>
      </w:pPr>
      <w:r>
        <w:t xml:space="preserve">Andie Wood </w:t>
      </w:r>
      <w:r w:rsidR="005C5A47">
        <w:t>provided a</w:t>
      </w:r>
      <w:r>
        <w:t xml:space="preserve"> status </w:t>
      </w:r>
      <w:r w:rsidR="0025152A">
        <w:t>of</w:t>
      </w:r>
      <w:r w:rsidR="005C5A47">
        <w:t xml:space="preserve"> the </w:t>
      </w:r>
      <w:r>
        <w:t xml:space="preserve">work of </w:t>
      </w:r>
      <w:r w:rsidR="0025152A">
        <w:t xml:space="preserve">the </w:t>
      </w:r>
      <w:r>
        <w:t>Task Force</w:t>
      </w:r>
      <w:r w:rsidR="005C5A47">
        <w:t xml:space="preserve"> (task force under XII Best Practice Board).</w:t>
      </w:r>
      <w:r>
        <w:t xml:space="preserve"> </w:t>
      </w:r>
    </w:p>
    <w:p w14:paraId="795EF1A6" w14:textId="0D588C54" w:rsidR="002D5CA0" w:rsidRPr="002D5CA0" w:rsidRDefault="005C5A47" w:rsidP="00502AE5">
      <w:pPr>
        <w:pStyle w:val="ListParagraph"/>
        <w:numPr>
          <w:ilvl w:val="0"/>
          <w:numId w:val="15"/>
        </w:numPr>
        <w:spacing w:line="312" w:lineRule="auto"/>
        <w:rPr>
          <w:b/>
        </w:rPr>
      </w:pPr>
      <w:r>
        <w:t>An e</w:t>
      </w:r>
      <w:r w:rsidR="002D5CA0">
        <w:t>ntity</w:t>
      </w:r>
      <w:r>
        <w:t>-specific d</w:t>
      </w:r>
      <w:r w:rsidR="002D5CA0">
        <w:t>isclosure is defined as a disclosure that is specific to an entity and not found in base taxonomy</w:t>
      </w:r>
      <w:r>
        <w:t xml:space="preserve"> and do</w:t>
      </w:r>
      <w:r w:rsidR="00AB4B2A">
        <w:t>es</w:t>
      </w:r>
      <w:r>
        <w:t xml:space="preserve"> not exist in a regional taxonomy</w:t>
      </w:r>
      <w:r w:rsidR="002D5CA0">
        <w:t>.</w:t>
      </w:r>
    </w:p>
    <w:p w14:paraId="54A92618" w14:textId="01D78841" w:rsidR="005C5A47" w:rsidRDefault="009435E6" w:rsidP="00502AE5">
      <w:pPr>
        <w:pStyle w:val="ListParagraph"/>
        <w:numPr>
          <w:ilvl w:val="0"/>
          <w:numId w:val="15"/>
        </w:numPr>
        <w:spacing w:line="312" w:lineRule="auto"/>
      </w:pPr>
      <w:r>
        <w:t xml:space="preserve">XBRL needs to be able </w:t>
      </w:r>
      <w:r w:rsidR="00197558">
        <w:t xml:space="preserve">to </w:t>
      </w:r>
      <w:r>
        <w:t>accommodate e</w:t>
      </w:r>
      <w:r w:rsidR="005C5A47">
        <w:t>ntity-specific disclosures</w:t>
      </w:r>
      <w:r>
        <w:t xml:space="preserve"> to</w:t>
      </w:r>
    </w:p>
    <w:p w14:paraId="14604593" w14:textId="11E64F8E" w:rsidR="005C5A47" w:rsidRDefault="005C5A47" w:rsidP="005C5A47">
      <w:pPr>
        <w:pStyle w:val="ListParagraph"/>
        <w:numPr>
          <w:ilvl w:val="1"/>
          <w:numId w:val="15"/>
        </w:numPr>
        <w:spacing w:line="312" w:lineRule="auto"/>
      </w:pPr>
      <w:r>
        <w:t>Allow</w:t>
      </w:r>
      <w:r w:rsidR="009435E6">
        <w:t xml:space="preserve"> </w:t>
      </w:r>
      <w:r>
        <w:t>entities to provide relevant information</w:t>
      </w:r>
      <w:r w:rsidR="00AB4B2A">
        <w:t>.</w:t>
      </w:r>
    </w:p>
    <w:p w14:paraId="2B87CD11" w14:textId="4B86C690" w:rsidR="005C5A47" w:rsidRDefault="005C5A47" w:rsidP="005C5A47">
      <w:pPr>
        <w:pStyle w:val="ListParagraph"/>
        <w:numPr>
          <w:ilvl w:val="1"/>
          <w:numId w:val="15"/>
        </w:numPr>
        <w:spacing w:line="312" w:lineRule="auto"/>
      </w:pPr>
      <w:r>
        <w:t>Allow users to analyze how an entity may be different</w:t>
      </w:r>
      <w:r w:rsidR="00AB4B2A">
        <w:t>.</w:t>
      </w:r>
    </w:p>
    <w:p w14:paraId="3E8404A2" w14:textId="77777777" w:rsidR="005C5A47" w:rsidRDefault="005C5A47" w:rsidP="00502AE5">
      <w:pPr>
        <w:pStyle w:val="ListParagraph"/>
        <w:numPr>
          <w:ilvl w:val="0"/>
          <w:numId w:val="15"/>
        </w:numPr>
        <w:spacing w:line="312" w:lineRule="auto"/>
      </w:pPr>
      <w:r>
        <w:t>Purpose of task force</w:t>
      </w:r>
    </w:p>
    <w:p w14:paraId="0086B86E" w14:textId="52014E06" w:rsidR="005C5A47" w:rsidRDefault="005C5A47" w:rsidP="005C5A47">
      <w:pPr>
        <w:pStyle w:val="ListParagraph"/>
        <w:numPr>
          <w:ilvl w:val="1"/>
          <w:numId w:val="15"/>
        </w:numPr>
        <w:spacing w:line="312" w:lineRule="auto"/>
      </w:pPr>
      <w:r>
        <w:t>Investigate why entity-specific disclosures are created</w:t>
      </w:r>
      <w:r w:rsidR="00AB4B2A">
        <w:t>.</w:t>
      </w:r>
    </w:p>
    <w:p w14:paraId="6F227E72" w14:textId="3C85B7CD" w:rsidR="005C5A47" w:rsidRDefault="00AB4B2A" w:rsidP="005C5A47">
      <w:pPr>
        <w:pStyle w:val="ListParagraph"/>
        <w:numPr>
          <w:ilvl w:val="1"/>
          <w:numId w:val="15"/>
        </w:numPr>
        <w:spacing w:line="312" w:lineRule="auto"/>
      </w:pPr>
      <w:r>
        <w:t>Document common user difficul</w:t>
      </w:r>
      <w:r w:rsidR="005C5A47">
        <w:t>t</w:t>
      </w:r>
      <w:r>
        <w:t>i</w:t>
      </w:r>
      <w:r w:rsidR="005C5A47">
        <w:t>es</w:t>
      </w:r>
      <w:r>
        <w:t>.</w:t>
      </w:r>
    </w:p>
    <w:p w14:paraId="2805E5AA" w14:textId="417FD5B5" w:rsidR="005C5A47" w:rsidRDefault="005C5A47" w:rsidP="005C5A47">
      <w:pPr>
        <w:pStyle w:val="ListParagraph"/>
        <w:numPr>
          <w:ilvl w:val="1"/>
          <w:numId w:val="15"/>
        </w:numPr>
        <w:spacing w:line="312" w:lineRule="auto"/>
      </w:pPr>
      <w:r>
        <w:t>Define requirements for syntax solutions</w:t>
      </w:r>
      <w:r w:rsidR="00AB4B2A">
        <w:t>,</w:t>
      </w:r>
      <w:r>
        <w:t xml:space="preserve"> if necessary</w:t>
      </w:r>
      <w:r w:rsidR="00AB4B2A">
        <w:t>.</w:t>
      </w:r>
    </w:p>
    <w:p w14:paraId="4A1C52DE" w14:textId="166FC659" w:rsidR="005C5A47" w:rsidRDefault="002D5CA0" w:rsidP="005C5A47">
      <w:pPr>
        <w:pStyle w:val="ListParagraph"/>
        <w:numPr>
          <w:ilvl w:val="0"/>
          <w:numId w:val="15"/>
        </w:numPr>
        <w:spacing w:line="312" w:lineRule="auto"/>
      </w:pPr>
      <w:r>
        <w:lastRenderedPageBreak/>
        <w:t>Initial s</w:t>
      </w:r>
      <w:r w:rsidRPr="002D5CA0">
        <w:t>cope</w:t>
      </w:r>
      <w:r w:rsidR="00CC7AAD">
        <w:t xml:space="preserve"> </w:t>
      </w:r>
      <w:r w:rsidR="005C5A47">
        <w:t>is entity-specific disclosures in</w:t>
      </w:r>
      <w:r w:rsidR="00CC7AAD">
        <w:t xml:space="preserve"> financial reporting</w:t>
      </w:r>
      <w:r w:rsidR="005C5A47">
        <w:t xml:space="preserve"> (numeric/monetary disclosure</w:t>
      </w:r>
      <w:r w:rsidR="0025152A">
        <w:t>s</w:t>
      </w:r>
      <w:r w:rsidR="005C5A47">
        <w:t>)</w:t>
      </w:r>
      <w:r w:rsidR="00A02FFE">
        <w:t>.  Interaction with filing rules related to XBRL syntax but not overall rules for what to tag and how to identify the correct item.</w:t>
      </w:r>
    </w:p>
    <w:p w14:paraId="54DE340A" w14:textId="2B8DAEFC" w:rsidR="00154EEA" w:rsidRDefault="00154EEA" w:rsidP="00502AE5">
      <w:pPr>
        <w:pStyle w:val="ListParagraph"/>
        <w:numPr>
          <w:ilvl w:val="0"/>
          <w:numId w:val="15"/>
        </w:numPr>
        <w:spacing w:line="312" w:lineRule="auto"/>
      </w:pPr>
      <w:r>
        <w:t>Summary of Work</w:t>
      </w:r>
    </w:p>
    <w:p w14:paraId="7AE095EA" w14:textId="60365B6A" w:rsidR="00CC7AAD" w:rsidRDefault="00CC7AAD" w:rsidP="00154EEA">
      <w:pPr>
        <w:pStyle w:val="ListParagraph"/>
        <w:numPr>
          <w:ilvl w:val="1"/>
          <w:numId w:val="15"/>
        </w:numPr>
        <w:spacing w:line="312" w:lineRule="auto"/>
      </w:pPr>
      <w:r>
        <w:t>Presentations</w:t>
      </w:r>
      <w:r w:rsidR="00154EEA">
        <w:t xml:space="preserve"> have been received</w:t>
      </w:r>
      <w:r>
        <w:t xml:space="preserve"> from regulators around the world</w:t>
      </w:r>
      <w:r w:rsidR="00A02FFE">
        <w:t xml:space="preserve"> </w:t>
      </w:r>
      <w:r w:rsidR="00154EEA">
        <w:t>to describe</w:t>
      </w:r>
      <w:r w:rsidR="00A02FFE">
        <w:t xml:space="preserve"> current practices (US, Singapore, India, Netherlands, Denmark, UK)</w:t>
      </w:r>
      <w:r w:rsidR="00AB4B2A">
        <w:t>.</w:t>
      </w:r>
    </w:p>
    <w:p w14:paraId="2B4B357D" w14:textId="205DE978" w:rsidR="00A02FFE" w:rsidRDefault="00A02FFE" w:rsidP="00154EEA">
      <w:pPr>
        <w:pStyle w:val="ListParagraph"/>
        <w:numPr>
          <w:ilvl w:val="1"/>
          <w:numId w:val="15"/>
        </w:numPr>
        <w:spacing w:line="312" w:lineRule="auto"/>
      </w:pPr>
      <w:r>
        <w:t>Documen</w:t>
      </w:r>
      <w:r w:rsidR="00154EEA">
        <w:t>t</w:t>
      </w:r>
      <w:r>
        <w:t xml:space="preserve">ation of </w:t>
      </w:r>
      <w:r w:rsidR="00154EEA">
        <w:t>business cases - h</w:t>
      </w:r>
      <w:r>
        <w:t xml:space="preserve">ow problems are </w:t>
      </w:r>
      <w:r w:rsidR="00154EEA">
        <w:t xml:space="preserve">currently </w:t>
      </w:r>
      <w:r>
        <w:t>being addressed</w:t>
      </w:r>
      <w:r w:rsidR="00AB4B2A">
        <w:t>.</w:t>
      </w:r>
      <w:r>
        <w:t xml:space="preserve"> </w:t>
      </w:r>
    </w:p>
    <w:p w14:paraId="0D93A82E" w14:textId="335916F4" w:rsidR="00A02FFE" w:rsidRDefault="00154EEA" w:rsidP="00A02FFE">
      <w:pPr>
        <w:pStyle w:val="ListParagraph"/>
        <w:numPr>
          <w:ilvl w:val="1"/>
          <w:numId w:val="15"/>
        </w:numPr>
        <w:spacing w:line="312" w:lineRule="auto"/>
      </w:pPr>
      <w:r>
        <w:t>Discussions of different</w:t>
      </w:r>
      <w:r w:rsidR="00A02FFE">
        <w:t xml:space="preserve"> mechanisms </w:t>
      </w:r>
      <w:r>
        <w:t>in XBRL</w:t>
      </w:r>
      <w:r w:rsidR="00A02FFE">
        <w:t xml:space="preserve"> </w:t>
      </w:r>
      <w:r w:rsidR="00AB4B2A">
        <w:t xml:space="preserve">that </w:t>
      </w:r>
      <w:r w:rsidR="00A02FFE">
        <w:t>are being used (e.g.,</w:t>
      </w:r>
      <w:r w:rsidR="00CC7AAD">
        <w:t xml:space="preserve"> inline </w:t>
      </w:r>
      <w:r w:rsidR="00AB4B2A">
        <w:t>XBRL</w:t>
      </w:r>
      <w:r w:rsidR="00CC7AAD">
        <w:t>, dimensions</w:t>
      </w:r>
      <w:r w:rsidR="004C4DF0">
        <w:t>, etc.</w:t>
      </w:r>
      <w:r w:rsidR="00A02FFE">
        <w:t>)</w:t>
      </w:r>
      <w:r w:rsidR="00AB4B2A">
        <w:t>.</w:t>
      </w:r>
    </w:p>
    <w:p w14:paraId="51EB650D" w14:textId="3F7FDDCB" w:rsidR="00A02FFE" w:rsidRDefault="00A02FFE" w:rsidP="00A02FFE">
      <w:pPr>
        <w:pStyle w:val="ListParagraph"/>
        <w:numPr>
          <w:ilvl w:val="1"/>
          <w:numId w:val="15"/>
        </w:numPr>
        <w:spacing w:line="312" w:lineRule="auto"/>
      </w:pPr>
      <w:r>
        <w:t>Discussion of additional syntax for anchors</w:t>
      </w:r>
      <w:r w:rsidR="00AB4B2A">
        <w:t xml:space="preserve"> (linking entity-</w:t>
      </w:r>
      <w:r w:rsidR="00154EEA">
        <w:t>specific disclosures to base taxonomy).</w:t>
      </w:r>
    </w:p>
    <w:p w14:paraId="5D7B8E30" w14:textId="77777777" w:rsidR="00154EEA" w:rsidRPr="00154EEA" w:rsidRDefault="00154EEA" w:rsidP="00502AE5">
      <w:pPr>
        <w:pStyle w:val="ListParagraph"/>
        <w:numPr>
          <w:ilvl w:val="0"/>
          <w:numId w:val="15"/>
        </w:numPr>
        <w:spacing w:line="312" w:lineRule="auto"/>
        <w:rPr>
          <w:b/>
        </w:rPr>
      </w:pPr>
      <w:r>
        <w:t>Business Cases</w:t>
      </w:r>
    </w:p>
    <w:p w14:paraId="1F8553FD" w14:textId="276C9A20" w:rsidR="002D5CA0" w:rsidRPr="00CC7AAD" w:rsidRDefault="00CC7AAD" w:rsidP="00154EEA">
      <w:pPr>
        <w:pStyle w:val="ListParagraph"/>
        <w:numPr>
          <w:ilvl w:val="1"/>
          <w:numId w:val="15"/>
        </w:numPr>
        <w:spacing w:line="312" w:lineRule="auto"/>
        <w:rPr>
          <w:b/>
        </w:rPr>
      </w:pPr>
      <w:r>
        <w:t>D</w:t>
      </w:r>
      <w:r w:rsidR="00154EEA">
        <w:t>i</w:t>
      </w:r>
      <w:r>
        <w:t>sag</w:t>
      </w:r>
      <w:r w:rsidR="00154EEA">
        <w:t>g</w:t>
      </w:r>
      <w:r>
        <w:t>re</w:t>
      </w:r>
      <w:r w:rsidR="00154EEA">
        <w:t>gation of a base taxonomy</w:t>
      </w:r>
      <w:r w:rsidR="00AB4B2A">
        <w:t xml:space="preserve"> item</w:t>
      </w:r>
    </w:p>
    <w:p w14:paraId="4A5FA0D2" w14:textId="6EF01786" w:rsidR="00CC7AAD" w:rsidRPr="00CC7AAD" w:rsidRDefault="00CC7AAD" w:rsidP="00154EEA">
      <w:pPr>
        <w:pStyle w:val="ListParagraph"/>
        <w:numPr>
          <w:ilvl w:val="2"/>
          <w:numId w:val="15"/>
        </w:numPr>
        <w:spacing w:line="312" w:lineRule="auto"/>
      </w:pPr>
      <w:r w:rsidRPr="00CC7AAD">
        <w:t>Components of the disaggregated item may be</w:t>
      </w:r>
      <w:r>
        <w:t xml:space="preserve"> </w:t>
      </w:r>
      <w:r w:rsidRPr="00CC7AAD">
        <w:t>entity-specific.</w:t>
      </w:r>
    </w:p>
    <w:p w14:paraId="6AAC2341" w14:textId="45D76996" w:rsidR="00CC7AAD" w:rsidRPr="00CC7AAD" w:rsidRDefault="00CC7AAD" w:rsidP="00154EEA">
      <w:pPr>
        <w:pStyle w:val="ListParagraph"/>
        <w:numPr>
          <w:ilvl w:val="2"/>
          <w:numId w:val="15"/>
        </w:numPr>
        <w:spacing w:line="312" w:lineRule="auto"/>
      </w:pPr>
      <w:r w:rsidRPr="00CC7AAD">
        <w:t>Includes cases where the base taxonomy item is</w:t>
      </w:r>
      <w:r>
        <w:t xml:space="preserve"> </w:t>
      </w:r>
      <w:r w:rsidRPr="00CC7AAD">
        <w:t>not reported (a higher level aggregation may be</w:t>
      </w:r>
      <w:r w:rsidR="00154EEA">
        <w:t xml:space="preserve"> reported</w:t>
      </w:r>
      <w:r w:rsidRPr="00CC7AAD">
        <w:t>).</w:t>
      </w:r>
    </w:p>
    <w:p w14:paraId="5FC432F9" w14:textId="73FA8445" w:rsidR="00CC7AAD" w:rsidRPr="00154EEA" w:rsidRDefault="00CC7AAD" w:rsidP="00154EEA">
      <w:pPr>
        <w:pStyle w:val="ListParagraph"/>
        <w:numPr>
          <w:ilvl w:val="2"/>
          <w:numId w:val="15"/>
        </w:numPr>
        <w:spacing w:line="312" w:lineRule="auto"/>
      </w:pPr>
      <w:r w:rsidRPr="00CC7AAD">
        <w:t>The sum of the reported components may not</w:t>
      </w:r>
      <w:r>
        <w:t xml:space="preserve"> </w:t>
      </w:r>
      <w:r w:rsidRPr="00CC7AAD">
        <w:t>equal the value of the base taxonomy item (for</w:t>
      </w:r>
      <w:r>
        <w:t xml:space="preserve"> </w:t>
      </w:r>
      <w:r w:rsidRPr="00CC7AAD">
        <w:t>example, if the base value includes immaterial</w:t>
      </w:r>
      <w:r w:rsidR="00154EEA">
        <w:t xml:space="preserve"> </w:t>
      </w:r>
      <w:r w:rsidRPr="00CC7AAD">
        <w:t>values</w:t>
      </w:r>
      <w:r w:rsidR="00154EEA">
        <w:t xml:space="preserve"> that are not disclosed separately</w:t>
      </w:r>
      <w:r w:rsidRPr="00CC7AAD">
        <w:t>).</w:t>
      </w:r>
    </w:p>
    <w:p w14:paraId="01E9CC80" w14:textId="12BED53E" w:rsidR="00CC7AAD" w:rsidRPr="00CC7AAD" w:rsidRDefault="00CC7AAD" w:rsidP="00154EEA">
      <w:pPr>
        <w:pStyle w:val="ListParagraph"/>
        <w:numPr>
          <w:ilvl w:val="1"/>
          <w:numId w:val="15"/>
        </w:numPr>
        <w:spacing w:line="312" w:lineRule="auto"/>
        <w:rPr>
          <w:b/>
        </w:rPr>
      </w:pPr>
      <w:r>
        <w:t>A</w:t>
      </w:r>
      <w:r w:rsidR="002D0471">
        <w:t>ggregations (entity-</w:t>
      </w:r>
      <w:r>
        <w:t>specific subtotal)</w:t>
      </w:r>
    </w:p>
    <w:p w14:paraId="63C0B245" w14:textId="1D26D9CA" w:rsidR="00CC7AAD" w:rsidRPr="00CC7AAD" w:rsidRDefault="00CC7AAD" w:rsidP="00154EEA">
      <w:pPr>
        <w:pStyle w:val="ListParagraph"/>
        <w:numPr>
          <w:ilvl w:val="2"/>
          <w:numId w:val="15"/>
        </w:numPr>
        <w:spacing w:line="312" w:lineRule="auto"/>
      </w:pPr>
      <w:r w:rsidRPr="00CC7AAD">
        <w:t>The items being aggregated may be entity-specific items or</w:t>
      </w:r>
      <w:r>
        <w:t xml:space="preserve"> </w:t>
      </w:r>
      <w:r w:rsidRPr="00CC7AAD">
        <w:t>base taxonomy items or a mixture of both.</w:t>
      </w:r>
    </w:p>
    <w:p w14:paraId="4BF833D6" w14:textId="084B99AD" w:rsidR="00CC7AAD" w:rsidRPr="00CC7AAD" w:rsidRDefault="00CC7AAD" w:rsidP="00154EEA">
      <w:pPr>
        <w:pStyle w:val="ListParagraph"/>
        <w:numPr>
          <w:ilvl w:val="2"/>
          <w:numId w:val="15"/>
        </w:numPr>
        <w:spacing w:line="312" w:lineRule="auto"/>
      </w:pPr>
      <w:r w:rsidRPr="00CC7AAD">
        <w:t>Not all components of an entity-specific aggregation are</w:t>
      </w:r>
      <w:r>
        <w:t xml:space="preserve"> </w:t>
      </w:r>
      <w:r w:rsidRPr="00CC7AAD">
        <w:t>necessarily disclosed separately in a report.</w:t>
      </w:r>
      <w:r w:rsidR="00B54FE9">
        <w:t xml:space="preserve"> (Under US GAAP</w:t>
      </w:r>
      <w:r w:rsidR="002C763D">
        <w:t xml:space="preserve"> for public companies</w:t>
      </w:r>
      <w:r w:rsidR="00B54FE9">
        <w:t>, the components would not be disclosed separately only if they are deemed to be immaterial.)</w:t>
      </w:r>
    </w:p>
    <w:p w14:paraId="190D33BC" w14:textId="2B1180BD" w:rsidR="00CC7AAD" w:rsidRDefault="00CC7AAD" w:rsidP="00154EEA">
      <w:pPr>
        <w:pStyle w:val="ListParagraph"/>
        <w:numPr>
          <w:ilvl w:val="2"/>
          <w:numId w:val="15"/>
        </w:numPr>
        <w:spacing w:line="312" w:lineRule="auto"/>
      </w:pPr>
      <w:r w:rsidRPr="00CC7AAD">
        <w:t>The entity-specific aggregation may be a subtotal with</w:t>
      </w:r>
      <w:r>
        <w:t xml:space="preserve"> </w:t>
      </w:r>
      <w:r w:rsidRPr="00CC7AAD">
        <w:t>further aggregation.</w:t>
      </w:r>
    </w:p>
    <w:p w14:paraId="128C4A77" w14:textId="6B892B36" w:rsidR="007544F4" w:rsidRDefault="00AB4B2A" w:rsidP="00154EEA">
      <w:pPr>
        <w:pStyle w:val="ListParagraph"/>
        <w:numPr>
          <w:ilvl w:val="1"/>
          <w:numId w:val="15"/>
        </w:numPr>
        <w:spacing w:line="312" w:lineRule="auto"/>
      </w:pPr>
      <w:r>
        <w:t>Stand</w:t>
      </w:r>
      <w:r w:rsidR="007544F4">
        <w:t>alone items</w:t>
      </w:r>
      <w:r w:rsidR="002C763D">
        <w:t xml:space="preserve"> (also referred to as “orphan” elements)</w:t>
      </w:r>
      <w:r w:rsidR="007544F4">
        <w:t xml:space="preserve"> </w:t>
      </w:r>
      <w:r w:rsidR="00DA37E0">
        <w:t xml:space="preserve">that have no connection to a standard element </w:t>
      </w:r>
      <w:r w:rsidR="007544F4">
        <w:t>are rare.  Still looking for examples in this area.</w:t>
      </w:r>
      <w:r w:rsidR="00B54FE9">
        <w:t xml:space="preserve"> </w:t>
      </w:r>
      <w:r w:rsidR="00B54FE9" w:rsidRPr="00B11D9E">
        <w:t>(The DQC’s analysis of as-filed data submitted to the SEC has not found any extensions for so-called standalone items</w:t>
      </w:r>
      <w:r w:rsidR="002C763D" w:rsidRPr="00B11D9E">
        <w:t xml:space="preserve"> or orphan elements</w:t>
      </w:r>
      <w:r w:rsidR="00B54FE9" w:rsidRPr="00B11D9E">
        <w:t xml:space="preserve">.) </w:t>
      </w:r>
    </w:p>
    <w:p w14:paraId="36335DF0" w14:textId="5918FFAD" w:rsidR="007544F4" w:rsidRDefault="007544F4" w:rsidP="00164F24">
      <w:pPr>
        <w:pStyle w:val="ListParagraph"/>
        <w:numPr>
          <w:ilvl w:val="1"/>
          <w:numId w:val="15"/>
        </w:numPr>
        <w:spacing w:line="312" w:lineRule="auto"/>
      </w:pPr>
      <w:r>
        <w:t>D</w:t>
      </w:r>
      <w:r w:rsidR="00164F24">
        <w:t>i</w:t>
      </w:r>
      <w:r>
        <w:t>mensions used to provide information on prope</w:t>
      </w:r>
      <w:bookmarkStart w:id="1" w:name="_GoBack"/>
      <w:bookmarkEnd w:id="1"/>
      <w:r>
        <w:t>rties rather than disag</w:t>
      </w:r>
      <w:r w:rsidR="00164F24">
        <w:t>g</w:t>
      </w:r>
      <w:r>
        <w:t>r</w:t>
      </w:r>
      <w:r w:rsidR="00164F24">
        <w:t>egation</w:t>
      </w:r>
      <w:r>
        <w:t xml:space="preserve"> </w:t>
      </w:r>
      <w:r w:rsidR="00164F24">
        <w:t xml:space="preserve">of items.  This area </w:t>
      </w:r>
      <w:r>
        <w:t>will need to be looked at</w:t>
      </w:r>
      <w:r w:rsidR="0025152A">
        <w:t xml:space="preserve"> further</w:t>
      </w:r>
      <w:r>
        <w:t xml:space="preserve">. </w:t>
      </w:r>
    </w:p>
    <w:p w14:paraId="22F94FB1" w14:textId="058C4464" w:rsidR="007544F4" w:rsidRDefault="007544F4" w:rsidP="007544F4">
      <w:pPr>
        <w:pStyle w:val="ListParagraph"/>
        <w:numPr>
          <w:ilvl w:val="0"/>
          <w:numId w:val="15"/>
        </w:numPr>
        <w:spacing w:line="312" w:lineRule="auto"/>
      </w:pPr>
      <w:r>
        <w:t>XBRL mechanisms</w:t>
      </w:r>
      <w:r w:rsidR="00E448C5">
        <w:t xml:space="preserve"> for entity-specific disclosure</w:t>
      </w:r>
      <w:r w:rsidR="00E448C5" w:rsidRPr="007544F4">
        <w:t>s</w:t>
      </w:r>
    </w:p>
    <w:p w14:paraId="5F6E6C35" w14:textId="230A5D8A" w:rsidR="007544F4" w:rsidRPr="007544F4" w:rsidRDefault="007544F4" w:rsidP="007544F4">
      <w:pPr>
        <w:pStyle w:val="ListParagraph"/>
        <w:numPr>
          <w:ilvl w:val="1"/>
          <w:numId w:val="15"/>
        </w:numPr>
        <w:spacing w:line="312" w:lineRule="auto"/>
      </w:pPr>
      <w:r w:rsidRPr="007544F4">
        <w:t>Base taxonomies (without requiring entity extension) can</w:t>
      </w:r>
      <w:r>
        <w:t xml:space="preserve"> </w:t>
      </w:r>
      <w:r w:rsidRPr="007544F4">
        <w:t xml:space="preserve">support some tagging of </w:t>
      </w:r>
      <w:r w:rsidR="00AB4B2A">
        <w:t>entity-specific disclosure</w:t>
      </w:r>
      <w:r w:rsidRPr="007544F4">
        <w:t>, e.g., typed dimensions</w:t>
      </w:r>
      <w:r w:rsidR="00AB4B2A">
        <w:t>.</w:t>
      </w:r>
    </w:p>
    <w:p w14:paraId="608BEDA6" w14:textId="0CCD1CDA" w:rsidR="007544F4" w:rsidRPr="007544F4" w:rsidRDefault="007544F4" w:rsidP="007544F4">
      <w:pPr>
        <w:pStyle w:val="ListParagraph"/>
        <w:numPr>
          <w:ilvl w:val="1"/>
          <w:numId w:val="15"/>
        </w:numPr>
        <w:spacing w:line="312" w:lineRule="auto"/>
      </w:pPr>
      <w:r w:rsidRPr="007544F4">
        <w:t>Informatio</w:t>
      </w:r>
      <w:r w:rsidR="00AB4B2A">
        <w:t>n available for interpreting entity-specific disclosure</w:t>
      </w:r>
      <w:r w:rsidR="00AB4B2A" w:rsidRPr="007544F4">
        <w:t xml:space="preserve">s </w:t>
      </w:r>
      <w:r w:rsidRPr="007544F4">
        <w:t>can be influenced</w:t>
      </w:r>
      <w:r>
        <w:t xml:space="preserve"> </w:t>
      </w:r>
      <w:r w:rsidRPr="007544F4">
        <w:t>by report format:</w:t>
      </w:r>
    </w:p>
    <w:p w14:paraId="3418F552" w14:textId="77EEB0AF" w:rsidR="007544F4" w:rsidRDefault="00B54FE9" w:rsidP="007544F4">
      <w:pPr>
        <w:pStyle w:val="ListParagraph"/>
        <w:numPr>
          <w:ilvl w:val="2"/>
          <w:numId w:val="15"/>
        </w:numPr>
        <w:spacing w:line="312" w:lineRule="auto"/>
      </w:pPr>
      <w:r>
        <w:t xml:space="preserve">Because Inline XBRL enables the XBRL tags to be embedded in the HTML financial statements, it can be easier when </w:t>
      </w:r>
      <w:r w:rsidR="007544F4" w:rsidRPr="007544F4">
        <w:t xml:space="preserve">Inline XBRL </w:t>
      </w:r>
      <w:r>
        <w:t xml:space="preserve">is used to more readily get more information about an extension than when HTML financial statements and XBRL data are filed separately. </w:t>
      </w:r>
    </w:p>
    <w:p w14:paraId="4752EC95" w14:textId="14164820" w:rsidR="007544F4" w:rsidRDefault="007544F4" w:rsidP="007544F4">
      <w:pPr>
        <w:pStyle w:val="ListParagraph"/>
        <w:numPr>
          <w:ilvl w:val="1"/>
          <w:numId w:val="15"/>
        </w:numPr>
        <w:spacing w:line="312" w:lineRule="auto"/>
      </w:pPr>
      <w:r>
        <w:t>U</w:t>
      </w:r>
      <w:r w:rsidR="00E448C5">
        <w:t xml:space="preserve">se of dimensions - </w:t>
      </w:r>
      <w:r w:rsidR="00164F24">
        <w:t>mainly</w:t>
      </w:r>
      <w:r>
        <w:t xml:space="preserve"> for business</w:t>
      </w:r>
      <w:r w:rsidR="00164F24">
        <w:t xml:space="preserve"> cases involving disaggregation</w:t>
      </w:r>
    </w:p>
    <w:p w14:paraId="2EB4055C" w14:textId="35D9BDBB" w:rsidR="007544F4" w:rsidRDefault="007544F4" w:rsidP="007544F4">
      <w:pPr>
        <w:pStyle w:val="ListParagraph"/>
        <w:numPr>
          <w:ilvl w:val="2"/>
          <w:numId w:val="15"/>
        </w:numPr>
        <w:spacing w:line="312" w:lineRule="auto"/>
      </w:pPr>
      <w:r>
        <w:t>Explicit (generic) dimension – associated with a name or description line item</w:t>
      </w:r>
      <w:r w:rsidR="00E448C5">
        <w:t>.</w:t>
      </w:r>
    </w:p>
    <w:p w14:paraId="085ACA69" w14:textId="042278A3" w:rsidR="007544F4" w:rsidRDefault="00E448C5" w:rsidP="007544F4">
      <w:pPr>
        <w:pStyle w:val="ListParagraph"/>
        <w:numPr>
          <w:ilvl w:val="2"/>
          <w:numId w:val="15"/>
        </w:numPr>
        <w:spacing w:line="312" w:lineRule="auto"/>
      </w:pPr>
      <w:r>
        <w:t xml:space="preserve">Typed dimension </w:t>
      </w:r>
      <w:r w:rsidR="007544F4">
        <w:t>- general line item provided</w:t>
      </w:r>
      <w:r>
        <w:t xml:space="preserve"> in base taxonomy to tag entity-</w:t>
      </w:r>
      <w:r w:rsidR="007544F4">
        <w:t>specific components where required</w:t>
      </w:r>
      <w:r>
        <w:t>.</w:t>
      </w:r>
    </w:p>
    <w:p w14:paraId="1F00F5A0" w14:textId="77777777" w:rsidR="00164F24" w:rsidRDefault="009A0E5C" w:rsidP="007544F4">
      <w:pPr>
        <w:pStyle w:val="ListParagraph"/>
        <w:numPr>
          <w:ilvl w:val="3"/>
          <w:numId w:val="15"/>
        </w:numPr>
        <w:spacing w:line="312" w:lineRule="auto"/>
      </w:pPr>
      <w:r>
        <w:t>U</w:t>
      </w:r>
      <w:r w:rsidR="007544F4">
        <w:t xml:space="preserve">sed by UK tax authority </w:t>
      </w:r>
      <w:r w:rsidR="00164F24">
        <w:t>limitations include:</w:t>
      </w:r>
    </w:p>
    <w:p w14:paraId="45359F89" w14:textId="397ABEB0" w:rsidR="00164F24" w:rsidRDefault="00164F24" w:rsidP="00164F24">
      <w:pPr>
        <w:pStyle w:val="ListParagraph"/>
        <w:numPr>
          <w:ilvl w:val="4"/>
          <w:numId w:val="15"/>
        </w:numPr>
        <w:spacing w:line="312" w:lineRule="auto"/>
      </w:pPr>
      <w:r>
        <w:t>D</w:t>
      </w:r>
      <w:r w:rsidR="007544F4">
        <w:t>o not keep label information</w:t>
      </w:r>
      <w:r w:rsidR="00E448C5">
        <w:t>,</w:t>
      </w:r>
      <w:r>
        <w:t xml:space="preserve"> use integers instead</w:t>
      </w:r>
      <w:r w:rsidR="007544F4">
        <w:t xml:space="preserve">. </w:t>
      </w:r>
    </w:p>
    <w:p w14:paraId="42AE66F8" w14:textId="5D6CDEED" w:rsidR="007544F4" w:rsidRDefault="007544F4" w:rsidP="00164F24">
      <w:pPr>
        <w:pStyle w:val="ListParagraph"/>
        <w:numPr>
          <w:ilvl w:val="4"/>
          <w:numId w:val="15"/>
        </w:numPr>
        <w:spacing w:line="312" w:lineRule="auto"/>
      </w:pPr>
      <w:r>
        <w:t>Need to antic</w:t>
      </w:r>
      <w:r w:rsidR="00164F24">
        <w:t>i</w:t>
      </w:r>
      <w:r>
        <w:t xml:space="preserve">pate the number of </w:t>
      </w:r>
      <w:r w:rsidR="00E448C5">
        <w:t>entity-specific disclosure</w:t>
      </w:r>
      <w:r w:rsidR="00E448C5" w:rsidRPr="007544F4">
        <w:t>s</w:t>
      </w:r>
      <w:r>
        <w:t xml:space="preserve"> in advance</w:t>
      </w:r>
      <w:r w:rsidR="00E448C5">
        <w:t>,</w:t>
      </w:r>
      <w:r>
        <w:t xml:space="preserve"> not predefined.</w:t>
      </w:r>
    </w:p>
    <w:p w14:paraId="7C0A2089" w14:textId="77777777" w:rsidR="00E448C5" w:rsidRPr="007544F4" w:rsidRDefault="00E448C5" w:rsidP="00E448C5">
      <w:pPr>
        <w:pStyle w:val="ListParagraph"/>
        <w:numPr>
          <w:ilvl w:val="1"/>
          <w:numId w:val="15"/>
        </w:numPr>
        <w:spacing w:line="312" w:lineRule="auto"/>
      </w:pPr>
      <w:r w:rsidRPr="007544F4">
        <w:t xml:space="preserve">Preparer extension taxonomies can also support </w:t>
      </w:r>
      <w:r>
        <w:t>entity-specific disclosure</w:t>
      </w:r>
      <w:r w:rsidRPr="007544F4">
        <w:t>s with</w:t>
      </w:r>
      <w:r>
        <w:t xml:space="preserve"> </w:t>
      </w:r>
      <w:r w:rsidRPr="007544F4">
        <w:t>existing or new “anchoring” mechanisms</w:t>
      </w:r>
      <w:r>
        <w:t>.</w:t>
      </w:r>
    </w:p>
    <w:p w14:paraId="5AFD3B37" w14:textId="6AC33D70" w:rsidR="009A0E5C" w:rsidRDefault="000B7303" w:rsidP="000B7303">
      <w:pPr>
        <w:pStyle w:val="ListParagraph"/>
        <w:numPr>
          <w:ilvl w:val="2"/>
          <w:numId w:val="15"/>
        </w:numPr>
        <w:spacing w:line="312" w:lineRule="auto"/>
      </w:pPr>
      <w:r>
        <w:t>Assume the disclosure is v</w:t>
      </w:r>
      <w:r w:rsidR="009A0E5C">
        <w:t>alid</w:t>
      </w:r>
      <w:r w:rsidR="0025152A">
        <w:t>.</w:t>
      </w:r>
      <w:r w:rsidR="009A0E5C">
        <w:t xml:space="preserve"> </w:t>
      </w:r>
    </w:p>
    <w:p w14:paraId="419F797F" w14:textId="5F18D4D1" w:rsidR="009A0E5C" w:rsidRDefault="000B7303" w:rsidP="000B7303">
      <w:pPr>
        <w:pStyle w:val="ListParagraph"/>
        <w:numPr>
          <w:ilvl w:val="2"/>
          <w:numId w:val="15"/>
        </w:numPr>
        <w:spacing w:line="312" w:lineRule="auto"/>
      </w:pPr>
      <w:r>
        <w:t>Assume b</w:t>
      </w:r>
      <w:r w:rsidR="009A0E5C">
        <w:t>ase taxonomy is designed well</w:t>
      </w:r>
      <w:r w:rsidR="0025152A">
        <w:t>.</w:t>
      </w:r>
    </w:p>
    <w:p w14:paraId="21218F2C" w14:textId="61DB7DDD" w:rsidR="009A0E5C" w:rsidRDefault="009A0E5C" w:rsidP="009A0E5C">
      <w:pPr>
        <w:pStyle w:val="ListParagraph"/>
        <w:numPr>
          <w:ilvl w:val="2"/>
          <w:numId w:val="15"/>
        </w:numPr>
        <w:spacing w:line="312" w:lineRule="auto"/>
      </w:pPr>
      <w:r>
        <w:t>Use of existing linkbases</w:t>
      </w:r>
    </w:p>
    <w:p w14:paraId="3FBD726C" w14:textId="1C5421B1" w:rsidR="009A0E5C" w:rsidRDefault="009A0E5C" w:rsidP="009A0E5C">
      <w:pPr>
        <w:pStyle w:val="ListParagraph"/>
        <w:numPr>
          <w:ilvl w:val="3"/>
          <w:numId w:val="15"/>
        </w:numPr>
        <w:spacing w:line="312" w:lineRule="auto"/>
      </w:pPr>
      <w:r>
        <w:t>Calc</w:t>
      </w:r>
      <w:r w:rsidR="000B7303">
        <w:t>ulation</w:t>
      </w:r>
      <w:r>
        <w:t xml:space="preserve"> linkbase </w:t>
      </w:r>
    </w:p>
    <w:p w14:paraId="2C43258A" w14:textId="2B8F140B" w:rsidR="009A0E5C" w:rsidRDefault="009A0E5C" w:rsidP="009A0E5C">
      <w:pPr>
        <w:pStyle w:val="ListParagraph"/>
        <w:numPr>
          <w:ilvl w:val="4"/>
          <w:numId w:val="15"/>
        </w:numPr>
        <w:spacing w:line="312" w:lineRule="auto"/>
      </w:pPr>
      <w:r>
        <w:t xml:space="preserve">Links provide a better definition of </w:t>
      </w:r>
      <w:r w:rsidR="000B7303">
        <w:t>meaning than the presentation linkbase</w:t>
      </w:r>
      <w:r w:rsidR="00E448C5">
        <w:t>.</w:t>
      </w:r>
      <w:r>
        <w:t xml:space="preserve"> </w:t>
      </w:r>
    </w:p>
    <w:p w14:paraId="2FE63EB5" w14:textId="2B00AF9B" w:rsidR="009A0E5C" w:rsidRDefault="009A0E5C" w:rsidP="009A0E5C">
      <w:pPr>
        <w:pStyle w:val="ListParagraph"/>
        <w:numPr>
          <w:ilvl w:val="4"/>
          <w:numId w:val="15"/>
        </w:numPr>
        <w:spacing w:line="312" w:lineRule="auto"/>
      </w:pPr>
      <w:r>
        <w:t>Roll up</w:t>
      </w:r>
      <w:r w:rsidR="000B7303">
        <w:t xml:space="preserve"> of information</w:t>
      </w:r>
      <w:r>
        <w:t xml:space="preserve"> important</w:t>
      </w:r>
      <w:r w:rsidR="00E448C5">
        <w:t xml:space="preserve"> to users.</w:t>
      </w:r>
    </w:p>
    <w:p w14:paraId="0F75AFD8" w14:textId="6886937E" w:rsidR="009A0E5C" w:rsidRDefault="009A0E5C" w:rsidP="009A0E5C">
      <w:pPr>
        <w:pStyle w:val="ListParagraph"/>
        <w:numPr>
          <w:ilvl w:val="4"/>
          <w:numId w:val="15"/>
        </w:numPr>
        <w:spacing w:line="312" w:lineRule="auto"/>
      </w:pPr>
      <w:r>
        <w:t>Often not complete</w:t>
      </w:r>
      <w:r w:rsidR="002C763D">
        <w:t>.</w:t>
      </w:r>
      <w:r w:rsidR="000B7303">
        <w:t xml:space="preserve"> </w:t>
      </w:r>
      <w:r w:rsidR="002C763D">
        <w:t>(Because, if it were complete, it</w:t>
      </w:r>
      <w:r w:rsidR="000B7303">
        <w:t xml:space="preserve"> would cause a warning message</w:t>
      </w:r>
      <w:r w:rsidR="00E430E3">
        <w:t>,</w:t>
      </w:r>
      <w:r w:rsidR="000B7303">
        <w:t xml:space="preserve"> preparers do not include</w:t>
      </w:r>
      <w:r w:rsidR="0025152A">
        <w:t>.</w:t>
      </w:r>
    </w:p>
    <w:p w14:paraId="6FC0D15B" w14:textId="545D9D55" w:rsidR="009A0E5C" w:rsidRDefault="009A0E5C" w:rsidP="009A0E5C">
      <w:pPr>
        <w:pStyle w:val="ListParagraph"/>
        <w:numPr>
          <w:ilvl w:val="4"/>
          <w:numId w:val="15"/>
        </w:numPr>
        <w:spacing w:line="312" w:lineRule="auto"/>
      </w:pPr>
      <w:r>
        <w:t>Dimensions not well covered</w:t>
      </w:r>
      <w:r w:rsidR="00E448C5">
        <w:t>.</w:t>
      </w:r>
    </w:p>
    <w:p w14:paraId="0CC33A6B" w14:textId="02DC24C9" w:rsidR="009A0E5C" w:rsidRDefault="009A0E5C" w:rsidP="009A0E5C">
      <w:pPr>
        <w:pStyle w:val="ListParagraph"/>
        <w:numPr>
          <w:ilvl w:val="4"/>
          <w:numId w:val="15"/>
        </w:numPr>
        <w:spacing w:line="312" w:lineRule="auto"/>
      </w:pPr>
      <w:r>
        <w:t>No links for items that are not reported</w:t>
      </w:r>
      <w:r w:rsidR="000B7303">
        <w:t xml:space="preserve"> (only provide links for item present</w:t>
      </w:r>
      <w:r w:rsidR="00E448C5">
        <w:t xml:space="preserve"> with</w:t>
      </w:r>
      <w:r w:rsidR="000B7303">
        <w:t>in the filing)</w:t>
      </w:r>
      <w:r w:rsidR="00E448C5">
        <w:t>.</w:t>
      </w:r>
    </w:p>
    <w:p w14:paraId="6E5C70B1" w14:textId="527BD962" w:rsidR="009A0E5C" w:rsidRDefault="009A0E5C" w:rsidP="009A0E5C">
      <w:pPr>
        <w:pStyle w:val="ListParagraph"/>
        <w:numPr>
          <w:ilvl w:val="3"/>
          <w:numId w:val="15"/>
        </w:numPr>
        <w:spacing w:line="312" w:lineRule="auto"/>
      </w:pPr>
      <w:r>
        <w:t>Presentation link information is possible but</w:t>
      </w:r>
      <w:r w:rsidR="000E1397">
        <w:t xml:space="preserve"> does</w:t>
      </w:r>
      <w:r>
        <w:t xml:space="preserve"> not always reflect </w:t>
      </w:r>
      <w:r w:rsidR="000E1397">
        <w:t xml:space="preserve">a </w:t>
      </w:r>
      <w:r>
        <w:t>roll up</w:t>
      </w:r>
      <w:r w:rsidR="00E448C5">
        <w:t>.</w:t>
      </w:r>
    </w:p>
    <w:p w14:paraId="54CDD3F3" w14:textId="73D1F893" w:rsidR="009A0E5C" w:rsidRDefault="000E1397" w:rsidP="009A0E5C">
      <w:pPr>
        <w:pStyle w:val="ListParagraph"/>
        <w:numPr>
          <w:ilvl w:val="3"/>
          <w:numId w:val="15"/>
        </w:numPr>
        <w:spacing w:line="312" w:lineRule="auto"/>
      </w:pPr>
      <w:r>
        <w:t xml:space="preserve">Task Force </w:t>
      </w:r>
      <w:r w:rsidR="00235DD8">
        <w:t xml:space="preserve">is considering whether to make </w:t>
      </w:r>
      <w:r w:rsidR="000558DD">
        <w:t xml:space="preserve">the following </w:t>
      </w:r>
      <w:r w:rsidR="00235DD8">
        <w:t xml:space="preserve">recommendations </w:t>
      </w:r>
      <w:r w:rsidR="002C763D">
        <w:t xml:space="preserve">to update the specification </w:t>
      </w:r>
      <w:r w:rsidR="00EA1CDC">
        <w:t xml:space="preserve">for consideration by the XII Standards Board </w:t>
      </w:r>
      <w:r w:rsidR="000558DD">
        <w:t xml:space="preserve">or </w:t>
      </w:r>
      <w:r w:rsidR="002C763D">
        <w:t>to revise establish</w:t>
      </w:r>
      <w:r w:rsidR="00197558">
        <w:t>ed</w:t>
      </w:r>
      <w:r w:rsidR="002C763D">
        <w:t xml:space="preserve"> policy for consideration </w:t>
      </w:r>
      <w:r w:rsidR="006005D5">
        <w:t xml:space="preserve">by </w:t>
      </w:r>
      <w:r>
        <w:t>regulators</w:t>
      </w:r>
      <w:r w:rsidR="009A0E5C">
        <w:t>.</w:t>
      </w:r>
    </w:p>
    <w:p w14:paraId="76668CDD" w14:textId="56DD24BE" w:rsidR="009A0E5C" w:rsidRDefault="006005D5" w:rsidP="000F4123">
      <w:pPr>
        <w:pStyle w:val="ListParagraph"/>
        <w:numPr>
          <w:ilvl w:val="4"/>
          <w:numId w:val="15"/>
        </w:numPr>
        <w:spacing w:line="312" w:lineRule="auto"/>
      </w:pPr>
      <w:r>
        <w:t>U</w:t>
      </w:r>
      <w:r w:rsidR="009A0E5C">
        <w:t>pdate to calc</w:t>
      </w:r>
      <w:r w:rsidR="000E1397">
        <w:t>ulation</w:t>
      </w:r>
      <w:r w:rsidR="009A0E5C">
        <w:t xml:space="preserve"> linkbase specification to allow incomplete roll ups</w:t>
      </w:r>
      <w:r w:rsidR="00E448C5">
        <w:t>.</w:t>
      </w:r>
    </w:p>
    <w:p w14:paraId="1587F48B" w14:textId="7E73BADC" w:rsidR="009A0E5C" w:rsidRDefault="000F4123" w:rsidP="009A0E5C">
      <w:pPr>
        <w:pStyle w:val="ListParagraph"/>
        <w:numPr>
          <w:ilvl w:val="4"/>
          <w:numId w:val="15"/>
        </w:numPr>
        <w:spacing w:line="312" w:lineRule="auto"/>
      </w:pPr>
      <w:r>
        <w:t>U</w:t>
      </w:r>
      <w:r w:rsidR="009A0E5C">
        <w:t>pdate</w:t>
      </w:r>
      <w:r w:rsidR="00EA1CDC">
        <w:t xml:space="preserve"> </w:t>
      </w:r>
      <w:r w:rsidR="009A0E5C">
        <w:t xml:space="preserve">the </w:t>
      </w:r>
      <w:r w:rsidR="000E1397">
        <w:t>specification</w:t>
      </w:r>
      <w:r w:rsidR="009A0E5C">
        <w:t xml:space="preserve"> </w:t>
      </w:r>
      <w:r w:rsidR="00C7439A">
        <w:t>to make it clear when domain members add up.</w:t>
      </w:r>
    </w:p>
    <w:p w14:paraId="209F5661" w14:textId="3A89AB62" w:rsidR="006005D5" w:rsidRDefault="002C763D" w:rsidP="009A0E5C">
      <w:pPr>
        <w:pStyle w:val="ListParagraph"/>
        <w:numPr>
          <w:ilvl w:val="4"/>
          <w:numId w:val="15"/>
        </w:numPr>
        <w:spacing w:line="312" w:lineRule="auto"/>
      </w:pPr>
      <w:r>
        <w:t>Policy to a</w:t>
      </w:r>
      <w:r w:rsidR="00C7439A">
        <w:t>llow the inclusion of</w:t>
      </w:r>
      <w:r w:rsidR="006005D5">
        <w:t xml:space="preserve"> unreported base taxonomy items into linkbase relationships to provide context.</w:t>
      </w:r>
    </w:p>
    <w:p w14:paraId="66C4BFE4" w14:textId="032CB9EE" w:rsidR="009A0E5C" w:rsidRDefault="000E1397" w:rsidP="009A0E5C">
      <w:pPr>
        <w:pStyle w:val="ListParagraph"/>
        <w:numPr>
          <w:ilvl w:val="3"/>
          <w:numId w:val="15"/>
        </w:numPr>
        <w:spacing w:line="312" w:lineRule="auto"/>
      </w:pPr>
      <w:r>
        <w:t xml:space="preserve">Anchoring is an additional </w:t>
      </w:r>
      <w:r w:rsidR="00D749F7">
        <w:t>link in an extension</w:t>
      </w:r>
      <w:r>
        <w:t xml:space="preserve"> taxonomy</w:t>
      </w:r>
      <w:r w:rsidR="00D749F7">
        <w:t xml:space="preserve"> linkbase between a tagged </w:t>
      </w:r>
      <w:r w:rsidR="00E448C5">
        <w:t>entity-</w:t>
      </w:r>
      <w:r>
        <w:t>specific disclosure</w:t>
      </w:r>
      <w:r w:rsidR="00D749F7">
        <w:t xml:space="preserve"> and a base taxonomy item.</w:t>
      </w:r>
      <w:r w:rsidR="009A0E5C">
        <w:tab/>
      </w:r>
    </w:p>
    <w:p w14:paraId="5C40A20A" w14:textId="12759440" w:rsidR="00D749F7" w:rsidRDefault="00E448C5" w:rsidP="00D749F7">
      <w:pPr>
        <w:pStyle w:val="ListParagraph"/>
        <w:numPr>
          <w:ilvl w:val="4"/>
          <w:numId w:val="15"/>
        </w:numPr>
        <w:spacing w:line="312" w:lineRule="auto"/>
      </w:pPr>
      <w:r>
        <w:t>Provides d</w:t>
      </w:r>
      <w:r w:rsidR="00D749F7">
        <w:t>irect link bet</w:t>
      </w:r>
      <w:r>
        <w:t>ween</w:t>
      </w:r>
      <w:r w:rsidR="00D749F7">
        <w:t xml:space="preserve"> ext</w:t>
      </w:r>
      <w:r w:rsidR="000E1397">
        <w:t>ension</w:t>
      </w:r>
      <w:r w:rsidR="00D749F7">
        <w:t xml:space="preserve"> taxonomy item and appropriate base taxonomy</w:t>
      </w:r>
      <w:r w:rsidR="000E1397">
        <w:t xml:space="preserve"> item</w:t>
      </w:r>
      <w:r>
        <w:t>,</w:t>
      </w:r>
      <w:r w:rsidR="00D749F7">
        <w:t xml:space="preserve"> no need to work via indirect links</w:t>
      </w:r>
    </w:p>
    <w:p w14:paraId="1EF1C544" w14:textId="43C52368" w:rsidR="00D749F7" w:rsidRDefault="00D749F7" w:rsidP="00D749F7">
      <w:pPr>
        <w:pStyle w:val="ListParagraph"/>
        <w:numPr>
          <w:ilvl w:val="4"/>
          <w:numId w:val="15"/>
        </w:numPr>
        <w:spacing w:line="312" w:lineRule="auto"/>
      </w:pPr>
      <w:r>
        <w:t>Use existing XBRL syntax</w:t>
      </w:r>
      <w:r w:rsidR="000E1397">
        <w:t>, no specification changes required</w:t>
      </w:r>
      <w:r w:rsidR="00E448C5">
        <w:t>.</w:t>
      </w:r>
      <w:r>
        <w:t xml:space="preserve"> </w:t>
      </w:r>
    </w:p>
    <w:p w14:paraId="0369AB28" w14:textId="38D48DB9" w:rsidR="00D749F7" w:rsidRDefault="00D749F7" w:rsidP="00467CBD">
      <w:pPr>
        <w:pStyle w:val="ListParagraph"/>
        <w:numPr>
          <w:ilvl w:val="4"/>
          <w:numId w:val="15"/>
        </w:numPr>
        <w:spacing w:line="312" w:lineRule="auto"/>
      </w:pPr>
      <w:r>
        <w:t>Most useful without calculation</w:t>
      </w:r>
      <w:r w:rsidR="00C967BC">
        <w:t xml:space="preserve"> and w</w:t>
      </w:r>
      <w:r>
        <w:t>here the most app</w:t>
      </w:r>
      <w:r w:rsidR="00C967BC">
        <w:t>ropriate</w:t>
      </w:r>
      <w:r>
        <w:t xml:space="preserve"> base tax</w:t>
      </w:r>
      <w:r w:rsidR="00C967BC">
        <w:t>ono</w:t>
      </w:r>
      <w:r w:rsidR="00530B0C">
        <w:t>m</w:t>
      </w:r>
      <w:r w:rsidR="00C967BC">
        <w:t>y</w:t>
      </w:r>
      <w:r>
        <w:t xml:space="preserve"> it</w:t>
      </w:r>
      <w:r w:rsidR="00C967BC">
        <w:t>e</w:t>
      </w:r>
      <w:r>
        <w:t>m is not reported</w:t>
      </w:r>
      <w:r w:rsidR="00E448C5">
        <w:t>.</w:t>
      </w:r>
    </w:p>
    <w:p w14:paraId="06CF1862" w14:textId="3877D8CD" w:rsidR="00D749F7" w:rsidRDefault="00D749F7" w:rsidP="00D749F7">
      <w:pPr>
        <w:pStyle w:val="ListParagraph"/>
        <w:numPr>
          <w:ilvl w:val="4"/>
          <w:numId w:val="15"/>
        </w:numPr>
        <w:spacing w:line="312" w:lineRule="auto"/>
      </w:pPr>
      <w:r>
        <w:t>May not provide useful add</w:t>
      </w:r>
      <w:r w:rsidR="00C967BC">
        <w:t>itional</w:t>
      </w:r>
      <w:r>
        <w:t xml:space="preserve"> info</w:t>
      </w:r>
      <w:r w:rsidR="00C967BC">
        <w:t>rmation</w:t>
      </w:r>
      <w:r>
        <w:t xml:space="preserve"> if other linkbases are present</w:t>
      </w:r>
      <w:r w:rsidR="00C967BC">
        <w:t xml:space="preserve"> depending on how other linkbases are used.</w:t>
      </w:r>
    </w:p>
    <w:p w14:paraId="3BAE0109" w14:textId="4D4DB92A" w:rsidR="00D749F7" w:rsidRDefault="00B70243" w:rsidP="00D749F7">
      <w:pPr>
        <w:pStyle w:val="ListParagraph"/>
        <w:numPr>
          <w:ilvl w:val="4"/>
          <w:numId w:val="15"/>
        </w:numPr>
        <w:spacing w:line="312" w:lineRule="auto"/>
      </w:pPr>
      <w:r>
        <w:t xml:space="preserve">Might </w:t>
      </w:r>
      <w:r w:rsidR="00D749F7">
        <w:t>require guidance to help preparer</w:t>
      </w:r>
      <w:r w:rsidR="0025152A">
        <w:t>s</w:t>
      </w:r>
      <w:r w:rsidR="00D749F7">
        <w:t xml:space="preserve"> identify the correct base </w:t>
      </w:r>
      <w:r w:rsidR="00C967BC">
        <w:t xml:space="preserve">taxonomy </w:t>
      </w:r>
      <w:r w:rsidR="00D749F7">
        <w:t>item</w:t>
      </w:r>
      <w:r w:rsidR="00C967BC">
        <w:t>.</w:t>
      </w:r>
    </w:p>
    <w:p w14:paraId="09B6DFB3" w14:textId="0CE9839B" w:rsidR="00C967BC" w:rsidRDefault="00D749F7" w:rsidP="00D749F7">
      <w:pPr>
        <w:pStyle w:val="ListParagraph"/>
        <w:numPr>
          <w:ilvl w:val="4"/>
          <w:numId w:val="15"/>
        </w:numPr>
        <w:spacing w:line="312" w:lineRule="auto"/>
      </w:pPr>
      <w:r>
        <w:t xml:space="preserve">Open </w:t>
      </w:r>
      <w:r w:rsidR="00C967BC">
        <w:t>questions</w:t>
      </w:r>
    </w:p>
    <w:p w14:paraId="3B67E4AF" w14:textId="77777777" w:rsidR="00C967BC" w:rsidRDefault="00C967BC" w:rsidP="00C967BC">
      <w:pPr>
        <w:pStyle w:val="ListParagraph"/>
        <w:numPr>
          <w:ilvl w:val="5"/>
          <w:numId w:val="15"/>
        </w:numPr>
        <w:spacing w:line="312" w:lineRule="auto"/>
      </w:pPr>
      <w:r>
        <w:t>Is there</w:t>
      </w:r>
      <w:r w:rsidR="00D749F7">
        <w:t xml:space="preserve"> an optimal meaning for the anchoring link</w:t>
      </w:r>
      <w:r>
        <w:t>?</w:t>
      </w:r>
    </w:p>
    <w:p w14:paraId="6989591D" w14:textId="0A1C98BD" w:rsidR="00D749F7" w:rsidRDefault="00C967BC" w:rsidP="00C967BC">
      <w:pPr>
        <w:pStyle w:val="ListParagraph"/>
        <w:numPr>
          <w:ilvl w:val="5"/>
          <w:numId w:val="15"/>
        </w:numPr>
        <w:spacing w:line="312" w:lineRule="auto"/>
      </w:pPr>
      <w:r>
        <w:t>W</w:t>
      </w:r>
      <w:r w:rsidR="00D749F7">
        <w:t>hen is it necessary to recommend use of anchoring link</w:t>
      </w:r>
      <w:r w:rsidR="00E448C5">
        <w:t>s</w:t>
      </w:r>
      <w:r>
        <w:t>?</w:t>
      </w:r>
    </w:p>
    <w:p w14:paraId="55AA7110" w14:textId="06CD3C44" w:rsidR="00C967BC" w:rsidRDefault="00C967BC" w:rsidP="00C967BC">
      <w:pPr>
        <w:pStyle w:val="ListParagraph"/>
        <w:numPr>
          <w:ilvl w:val="5"/>
          <w:numId w:val="15"/>
        </w:numPr>
        <w:spacing w:line="312" w:lineRule="auto"/>
      </w:pPr>
      <w:r>
        <w:t>Should the recommendation be that anchoring links shoul</w:t>
      </w:r>
      <w:r w:rsidR="00E448C5">
        <w:t>d always be provided for entity-</w:t>
      </w:r>
      <w:r>
        <w:t>specific disclosures?</w:t>
      </w:r>
    </w:p>
    <w:p w14:paraId="546F5F00" w14:textId="58048E7E" w:rsidR="00D749F7" w:rsidRDefault="00E114E3" w:rsidP="00C967BC">
      <w:pPr>
        <w:pStyle w:val="ListParagraph"/>
        <w:numPr>
          <w:ilvl w:val="4"/>
          <w:numId w:val="15"/>
        </w:numPr>
        <w:spacing w:line="312" w:lineRule="auto"/>
      </w:pPr>
      <w:r>
        <w:t>In response to a question, Ms. Wood stated that c</w:t>
      </w:r>
      <w:r w:rsidR="00C7439A">
        <w:t>onsideration of t</w:t>
      </w:r>
      <w:r w:rsidR="00C967BC">
        <w:t>he general-</w:t>
      </w:r>
      <w:r w:rsidR="00D749F7">
        <w:t xml:space="preserve">special arc </w:t>
      </w:r>
      <w:r>
        <w:t xml:space="preserve">role </w:t>
      </w:r>
      <w:r w:rsidR="00C7439A">
        <w:t xml:space="preserve">as a potential anchoring mechanism </w:t>
      </w:r>
      <w:r w:rsidR="00D749F7">
        <w:t xml:space="preserve">has not been </w:t>
      </w:r>
      <w:r w:rsidR="00641B08">
        <w:t>discussed</w:t>
      </w:r>
      <w:r w:rsidR="00C7439A">
        <w:t xml:space="preserve"> yet. </w:t>
      </w:r>
    </w:p>
    <w:p w14:paraId="3FBEA279" w14:textId="33D39F74" w:rsidR="00641B08" w:rsidRDefault="00C967BC" w:rsidP="00C967BC">
      <w:pPr>
        <w:pStyle w:val="ListParagraph"/>
        <w:numPr>
          <w:ilvl w:val="0"/>
          <w:numId w:val="15"/>
        </w:numPr>
        <w:spacing w:line="312" w:lineRule="auto"/>
      </w:pPr>
      <w:r>
        <w:t xml:space="preserve">Preliminary </w:t>
      </w:r>
      <w:r w:rsidR="00641B08">
        <w:t>Conclusions</w:t>
      </w:r>
      <w:r w:rsidR="00641B08">
        <w:tab/>
      </w:r>
    </w:p>
    <w:p w14:paraId="4444F434" w14:textId="7A56133D" w:rsidR="00300401" w:rsidRDefault="00300401" w:rsidP="00C967BC">
      <w:pPr>
        <w:pStyle w:val="ListParagraph"/>
        <w:numPr>
          <w:ilvl w:val="1"/>
          <w:numId w:val="15"/>
        </w:numPr>
        <w:spacing w:line="312" w:lineRule="auto"/>
      </w:pPr>
      <w:r>
        <w:t xml:space="preserve">Regulators around </w:t>
      </w:r>
      <w:r w:rsidR="00E448C5">
        <w:t>the world already handle entity-</w:t>
      </w:r>
      <w:r>
        <w:t>specific disclosures in different ways.</w:t>
      </w:r>
    </w:p>
    <w:p w14:paraId="10F477D9" w14:textId="41DB65C5" w:rsidR="00300401" w:rsidRDefault="00300401" w:rsidP="00C967BC">
      <w:pPr>
        <w:pStyle w:val="ListParagraph"/>
        <w:numPr>
          <w:ilvl w:val="1"/>
          <w:numId w:val="15"/>
        </w:numPr>
        <w:spacing w:line="312" w:lineRule="auto"/>
      </w:pPr>
      <w:r>
        <w:t>If users only need limited information</w:t>
      </w:r>
      <w:r w:rsidR="00E448C5">
        <w:t>,</w:t>
      </w:r>
      <w:r>
        <w:t xml:space="preserve"> </w:t>
      </w:r>
      <w:r w:rsidR="00E114E3">
        <w:t>the context for tagged data is more readily found when Inline XBRL is used</w:t>
      </w:r>
      <w:r>
        <w:t xml:space="preserve"> and dimensions can be used for roll up information</w:t>
      </w:r>
      <w:r w:rsidR="00E448C5">
        <w:t>.</w:t>
      </w:r>
    </w:p>
    <w:p w14:paraId="2AD16DC9" w14:textId="6692EFA3" w:rsidR="00300401" w:rsidRDefault="00E448C5" w:rsidP="00C967BC">
      <w:pPr>
        <w:pStyle w:val="ListParagraph"/>
        <w:numPr>
          <w:ilvl w:val="1"/>
          <w:numId w:val="15"/>
        </w:numPr>
        <w:spacing w:line="312" w:lineRule="auto"/>
      </w:pPr>
      <w:r>
        <w:t>Entity-</w:t>
      </w:r>
      <w:r w:rsidR="00300401">
        <w:t>specific descriptions and other relationships can only be consumed if there is a preparer extension taxonomy.</w:t>
      </w:r>
    </w:p>
    <w:p w14:paraId="359D73C4" w14:textId="390BF2F0" w:rsidR="00300401" w:rsidRDefault="00300401" w:rsidP="00C967BC">
      <w:pPr>
        <w:pStyle w:val="ListParagraph"/>
        <w:numPr>
          <w:ilvl w:val="1"/>
          <w:numId w:val="15"/>
        </w:numPr>
        <w:spacing w:line="312" w:lineRule="auto"/>
      </w:pPr>
      <w:r>
        <w:t>Preparer extension taxonomies</w:t>
      </w:r>
      <w:r w:rsidR="008E7CE9">
        <w:t>,</w:t>
      </w:r>
      <w:r>
        <w:t xml:space="preserve"> that have a calculation linkbase</w:t>
      </w:r>
      <w:r w:rsidR="008E7CE9">
        <w:t>,</w:t>
      </w:r>
      <w:r>
        <w:t xml:space="preserve"> provide a mechanism to lin</w:t>
      </w:r>
      <w:r w:rsidR="008E7CE9">
        <w:t>k</w:t>
      </w:r>
      <w:r>
        <w:t xml:space="preserve"> to the base taxonomy. However</w:t>
      </w:r>
      <w:r w:rsidR="008E7CE9">
        <w:t>,</w:t>
      </w:r>
      <w:r>
        <w:t xml:space="preserve"> there are limitations to using the calculation linkbase (i.e., base taxonomy item </w:t>
      </w:r>
      <w:r w:rsidR="008646D3">
        <w:t xml:space="preserve">is </w:t>
      </w:r>
      <w:r>
        <w:t>not reported, if w</w:t>
      </w:r>
      <w:r w:rsidR="008E7CE9">
        <w:t>arning message in validation, the</w:t>
      </w:r>
      <w:r>
        <w:t>n preparers don’t provide</w:t>
      </w:r>
      <w:r w:rsidR="00EF227F">
        <w:t xml:space="preserve"> the calculation </w:t>
      </w:r>
      <w:r w:rsidR="008646D3">
        <w:t>arc role</w:t>
      </w:r>
      <w:r>
        <w:t>)</w:t>
      </w:r>
    </w:p>
    <w:p w14:paraId="41DE89D5" w14:textId="18DC02EC" w:rsidR="004B09A2" w:rsidRDefault="00E114E3" w:rsidP="00C967BC">
      <w:pPr>
        <w:pStyle w:val="ListParagraph"/>
        <w:numPr>
          <w:ilvl w:val="1"/>
          <w:numId w:val="15"/>
        </w:numPr>
        <w:spacing w:line="312" w:lineRule="auto"/>
      </w:pPr>
      <w:r>
        <w:t>Members of the Task Force believe, but have not confirmed, that u</w:t>
      </w:r>
      <w:r w:rsidR="00641B08">
        <w:t xml:space="preserve">sers would prefer a single place to look for </w:t>
      </w:r>
      <w:r w:rsidR="008E7CE9">
        <w:t>entity-</w:t>
      </w:r>
      <w:r w:rsidR="00C967BC">
        <w:t xml:space="preserve">specific disclosure </w:t>
      </w:r>
      <w:r w:rsidR="00641B08">
        <w:t>links</w:t>
      </w:r>
      <w:r w:rsidR="008E7CE9">
        <w:t>.</w:t>
      </w:r>
    </w:p>
    <w:p w14:paraId="32C9EAE8" w14:textId="4E801D2F" w:rsidR="00641B08" w:rsidRDefault="00641B08" w:rsidP="00C967BC">
      <w:pPr>
        <w:pStyle w:val="ListParagraph"/>
        <w:numPr>
          <w:ilvl w:val="1"/>
          <w:numId w:val="15"/>
        </w:numPr>
        <w:spacing w:line="312" w:lineRule="auto"/>
      </w:pPr>
      <w:r>
        <w:t xml:space="preserve">Anchoring </w:t>
      </w:r>
      <w:r w:rsidR="008646D3">
        <w:t xml:space="preserve">would be a </w:t>
      </w:r>
      <w:r>
        <w:t>direct link</w:t>
      </w:r>
      <w:r w:rsidR="00300401">
        <w:t xml:space="preserve"> and could be used alongside existing linkbases or as the only linkbase provided with the extension taxonomy (however, there is an open question about whether it would be useful on its own).</w:t>
      </w:r>
    </w:p>
    <w:p w14:paraId="771A0E4D" w14:textId="23EC7A21" w:rsidR="00641B08" w:rsidRDefault="00641B08" w:rsidP="00C967BC">
      <w:pPr>
        <w:pStyle w:val="ListParagraph"/>
        <w:numPr>
          <w:ilvl w:val="1"/>
          <w:numId w:val="15"/>
        </w:numPr>
        <w:spacing w:line="312" w:lineRule="auto"/>
      </w:pPr>
      <w:r>
        <w:t xml:space="preserve">XBRL syntax for </w:t>
      </w:r>
      <w:r w:rsidR="00C967BC">
        <w:t>dimensional information</w:t>
      </w:r>
      <w:r>
        <w:t xml:space="preserve"> is complicated</w:t>
      </w:r>
      <w:r w:rsidR="00300401">
        <w:t xml:space="preserve"> and </w:t>
      </w:r>
      <w:r w:rsidR="00E114E3">
        <w:t xml:space="preserve">the impact of its complexity is </w:t>
      </w:r>
      <w:r w:rsidR="00300401">
        <w:t xml:space="preserve">under discussion.  </w:t>
      </w:r>
    </w:p>
    <w:p w14:paraId="2CEFEEC1" w14:textId="2FA1FDD4" w:rsidR="00056425" w:rsidRDefault="00056425" w:rsidP="00C967BC">
      <w:pPr>
        <w:pStyle w:val="ListParagraph"/>
        <w:numPr>
          <w:ilvl w:val="0"/>
          <w:numId w:val="15"/>
        </w:numPr>
        <w:spacing w:line="312" w:lineRule="auto"/>
      </w:pPr>
      <w:r>
        <w:t>Desired Feedback from DQC</w:t>
      </w:r>
    </w:p>
    <w:p w14:paraId="1A4BFD7C" w14:textId="35F9C541" w:rsidR="00056425" w:rsidRPr="00056425" w:rsidRDefault="008E7CE9" w:rsidP="00C967BC">
      <w:pPr>
        <w:pStyle w:val="ListParagraph"/>
        <w:numPr>
          <w:ilvl w:val="1"/>
          <w:numId w:val="15"/>
        </w:numPr>
        <w:spacing w:line="312" w:lineRule="auto"/>
      </w:pPr>
      <w:r>
        <w:t>Range</w:t>
      </w:r>
      <w:r w:rsidR="00056425" w:rsidRPr="00056425">
        <w:t xml:space="preserve"> of XBRL options discussed</w:t>
      </w:r>
    </w:p>
    <w:p w14:paraId="1DDA0542" w14:textId="4FE3B648" w:rsidR="00056425" w:rsidRPr="00056425" w:rsidRDefault="008E7CE9" w:rsidP="00C967BC">
      <w:pPr>
        <w:pStyle w:val="ListParagraph"/>
        <w:numPr>
          <w:ilvl w:val="1"/>
          <w:numId w:val="15"/>
        </w:numPr>
        <w:spacing w:line="312" w:lineRule="auto"/>
      </w:pPr>
      <w:r>
        <w:t>I</w:t>
      </w:r>
      <w:r w:rsidR="00056425" w:rsidRPr="00056425">
        <w:t>deas for improving the use of existing XBRL linkbases</w:t>
      </w:r>
      <w:r w:rsidR="00056425">
        <w:t xml:space="preserve"> </w:t>
      </w:r>
      <w:r w:rsidR="00056425" w:rsidRPr="00056425">
        <w:t>in extension taxonomies</w:t>
      </w:r>
    </w:p>
    <w:p w14:paraId="1BB3C436" w14:textId="2298CFAE" w:rsidR="00056425" w:rsidRPr="00056425" w:rsidRDefault="008E7CE9" w:rsidP="00C967BC">
      <w:pPr>
        <w:pStyle w:val="ListParagraph"/>
        <w:numPr>
          <w:ilvl w:val="1"/>
          <w:numId w:val="15"/>
        </w:numPr>
        <w:spacing w:line="312" w:lineRule="auto"/>
      </w:pPr>
      <w:r>
        <w:t>Whether</w:t>
      </w:r>
      <w:r w:rsidR="00056425" w:rsidRPr="00056425">
        <w:t xml:space="preserve"> a linking mechanism dedicated to</w:t>
      </w:r>
      <w:r w:rsidR="00056425">
        <w:t xml:space="preserve"> </w:t>
      </w:r>
      <w:r w:rsidR="00056425" w:rsidRPr="00056425">
        <w:t>anchoring’ entity-specific disclosures to the base</w:t>
      </w:r>
      <w:r w:rsidR="00056425">
        <w:t xml:space="preserve"> </w:t>
      </w:r>
      <w:r w:rsidR="00056425" w:rsidRPr="00056425">
        <w:t>taxonomy should be provided</w:t>
      </w:r>
      <w:r>
        <w:t>.</w:t>
      </w:r>
    </w:p>
    <w:p w14:paraId="3C344668" w14:textId="6AFB365D" w:rsidR="00056425" w:rsidRPr="00056425" w:rsidRDefault="00056425" w:rsidP="00C967BC">
      <w:pPr>
        <w:pStyle w:val="ListParagraph"/>
        <w:numPr>
          <w:ilvl w:val="1"/>
          <w:numId w:val="15"/>
        </w:numPr>
        <w:spacing w:line="312" w:lineRule="auto"/>
      </w:pPr>
      <w:r w:rsidRPr="00056425">
        <w:t>Are there cases when multiple anchoring links would be useful or</w:t>
      </w:r>
      <w:r>
        <w:t xml:space="preserve"> </w:t>
      </w:r>
      <w:r w:rsidR="008E7CE9">
        <w:t>would that</w:t>
      </w:r>
      <w:r w:rsidRPr="00056425">
        <w:t xml:space="preserve"> lead to too much complexity?</w:t>
      </w:r>
    </w:p>
    <w:p w14:paraId="3C7DE4D0" w14:textId="4ADDFD52" w:rsidR="00056425" w:rsidRPr="00056425" w:rsidRDefault="00056425" w:rsidP="00C967BC">
      <w:pPr>
        <w:pStyle w:val="ListParagraph"/>
        <w:numPr>
          <w:ilvl w:val="1"/>
          <w:numId w:val="15"/>
        </w:numPr>
        <w:spacing w:line="312" w:lineRule="auto"/>
      </w:pPr>
      <w:r w:rsidRPr="00056425">
        <w:t>Is there is an optimal meaning for the anchoring link?</w:t>
      </w:r>
    </w:p>
    <w:p w14:paraId="44BFE205" w14:textId="414C0AFB" w:rsidR="00056425" w:rsidRPr="00056425" w:rsidRDefault="00056425" w:rsidP="00C967BC">
      <w:pPr>
        <w:pStyle w:val="ListParagraph"/>
        <w:numPr>
          <w:ilvl w:val="1"/>
          <w:numId w:val="15"/>
        </w:numPr>
        <w:spacing w:line="312" w:lineRule="auto"/>
      </w:pPr>
      <w:r w:rsidRPr="00056425">
        <w:t>Should the recommendation be that anchoring links are:</w:t>
      </w:r>
    </w:p>
    <w:p w14:paraId="104EA738" w14:textId="50AB3940" w:rsidR="00056425" w:rsidRPr="00056425" w:rsidRDefault="00056425" w:rsidP="00C967BC">
      <w:pPr>
        <w:pStyle w:val="ListParagraph"/>
        <w:numPr>
          <w:ilvl w:val="2"/>
          <w:numId w:val="15"/>
        </w:numPr>
        <w:spacing w:line="312" w:lineRule="auto"/>
      </w:pPr>
      <w:r w:rsidRPr="00056425">
        <w:t>only used where necessary to complete user information?</w:t>
      </w:r>
    </w:p>
    <w:p w14:paraId="0EF1F9EF" w14:textId="3149FD01" w:rsidR="00056425" w:rsidRDefault="00056425" w:rsidP="00C967BC">
      <w:pPr>
        <w:pStyle w:val="ListParagraph"/>
        <w:numPr>
          <w:ilvl w:val="2"/>
          <w:numId w:val="15"/>
        </w:numPr>
        <w:spacing w:line="312" w:lineRule="auto"/>
      </w:pPr>
      <w:r w:rsidRPr="00056425">
        <w:t xml:space="preserve">always be provided for </w:t>
      </w:r>
      <w:r w:rsidR="00280B44">
        <w:t>entity-specific disclosure</w:t>
      </w:r>
      <w:r w:rsidRPr="00056425">
        <w:t>s in order to avoid complicated</w:t>
      </w:r>
      <w:r>
        <w:t xml:space="preserve"> </w:t>
      </w:r>
      <w:r w:rsidRPr="00056425">
        <w:t>additional rules for preparers?</w:t>
      </w:r>
    </w:p>
    <w:p w14:paraId="7E7BECA5" w14:textId="691F4238" w:rsidR="00280B44" w:rsidRDefault="00280B44" w:rsidP="00280B44">
      <w:pPr>
        <w:pStyle w:val="ListParagraph"/>
        <w:numPr>
          <w:ilvl w:val="0"/>
          <w:numId w:val="15"/>
        </w:numPr>
        <w:spacing w:line="312" w:lineRule="auto"/>
      </w:pPr>
      <w:r>
        <w:t xml:space="preserve">Members of the DQC discussed the reason for discussing anchors is to eliminate the need to </w:t>
      </w:r>
      <w:r w:rsidR="00E114E3">
        <w:t>infer the meaning of</w:t>
      </w:r>
      <w:r>
        <w:t xml:space="preserve"> data.</w:t>
      </w:r>
      <w:r w:rsidR="006C4F0F">
        <w:t xml:space="preserve">  There was discussion around whether it wo</w:t>
      </w:r>
      <w:r>
        <w:t>uld be helpful to</w:t>
      </w:r>
      <w:r w:rsidR="006C4F0F">
        <w:t xml:space="preserve"> have</w:t>
      </w:r>
      <w:r>
        <w:t xml:space="preserve"> </w:t>
      </w:r>
      <w:r w:rsidR="007249A3">
        <w:t>a single place f</w:t>
      </w:r>
      <w:r w:rsidR="006C4F0F">
        <w:t xml:space="preserve">or all relationship information.  Anchoring should provide a mechanism to </w:t>
      </w:r>
      <w:r w:rsidR="00E114E3">
        <w:t>line</w:t>
      </w:r>
      <w:r w:rsidR="006C4F0F">
        <w:t xml:space="preserve"> extensions to </w:t>
      </w:r>
      <w:r w:rsidR="00E114E3">
        <w:t>a standard element in the base taxonomy</w:t>
      </w:r>
      <w:r w:rsidR="006C4F0F">
        <w:t xml:space="preserve">.  </w:t>
      </w:r>
    </w:p>
    <w:p w14:paraId="3C6E633D" w14:textId="77777777" w:rsidR="008A00BB" w:rsidRDefault="008A00BB" w:rsidP="008A00BB">
      <w:pPr>
        <w:pStyle w:val="ListParagraph"/>
        <w:spacing w:line="312" w:lineRule="auto"/>
      </w:pPr>
    </w:p>
    <w:p w14:paraId="4D711CFD" w14:textId="5373FA47" w:rsidR="008A00BB" w:rsidRPr="008A00BB" w:rsidRDefault="008A00BB" w:rsidP="008A00BB">
      <w:pPr>
        <w:pStyle w:val="ListParagraph"/>
        <w:spacing w:line="312" w:lineRule="auto"/>
        <w:rPr>
          <w:b/>
          <w:i/>
          <w:color w:val="FF0000"/>
        </w:rPr>
      </w:pPr>
      <w:r w:rsidRPr="008A00BB">
        <w:rPr>
          <w:b/>
          <w:i/>
          <w:color w:val="FF0000"/>
        </w:rPr>
        <w:t>Action Item</w:t>
      </w:r>
      <w:r>
        <w:rPr>
          <w:b/>
          <w:i/>
          <w:color w:val="FF0000"/>
        </w:rPr>
        <w:t xml:space="preserve"> – Feedback is requested from data consumers on the DQC.</w:t>
      </w:r>
    </w:p>
    <w:p w14:paraId="04BF07FC" w14:textId="6253BE5F" w:rsidR="00056425" w:rsidRPr="00CC7AAD" w:rsidRDefault="00056425" w:rsidP="00056425">
      <w:pPr>
        <w:pStyle w:val="ListParagraph"/>
        <w:spacing w:line="312" w:lineRule="auto"/>
        <w:ind w:left="2880"/>
      </w:pPr>
    </w:p>
    <w:p w14:paraId="7A6999CA" w14:textId="6AB62562" w:rsidR="00354581" w:rsidRDefault="0066246C">
      <w:pPr>
        <w:spacing w:after="160" w:line="288" w:lineRule="auto"/>
        <w:rPr>
          <w:rFonts w:ascii="Arial" w:eastAsia="Arial" w:hAnsi="Arial" w:cs="Arial"/>
          <w:b/>
          <w:sz w:val="22"/>
        </w:rPr>
      </w:pPr>
      <w:r>
        <w:rPr>
          <w:rFonts w:ascii="Arial" w:eastAsia="Arial" w:hAnsi="Arial" w:cs="Arial"/>
          <w:b/>
          <w:sz w:val="22"/>
        </w:rPr>
        <w:t xml:space="preserve">DQC Comment Letter </w:t>
      </w:r>
      <w:r w:rsidR="00431A03">
        <w:rPr>
          <w:rFonts w:ascii="Arial" w:eastAsia="Arial" w:hAnsi="Arial" w:cs="Arial"/>
          <w:b/>
          <w:sz w:val="22"/>
        </w:rPr>
        <w:t>2017 US GAAP Taxonomy</w:t>
      </w:r>
    </w:p>
    <w:p w14:paraId="22A4D422" w14:textId="10748DCE" w:rsidR="0066246C" w:rsidRPr="0066246C" w:rsidRDefault="009B23D6" w:rsidP="0066246C">
      <w:pPr>
        <w:pStyle w:val="ListParagraph"/>
        <w:numPr>
          <w:ilvl w:val="0"/>
          <w:numId w:val="23"/>
        </w:numPr>
        <w:spacing w:after="160" w:line="288" w:lineRule="auto"/>
        <w:rPr>
          <w:b/>
        </w:rPr>
      </w:pPr>
      <w:r>
        <w:t>Working group drafted initial</w:t>
      </w:r>
      <w:r w:rsidR="0066246C">
        <w:t xml:space="preserve"> letter</w:t>
      </w:r>
      <w:r w:rsidR="008E7CE9">
        <w:t xml:space="preserve"> to the FASB</w:t>
      </w:r>
      <w:r w:rsidR="0066246C">
        <w:t xml:space="preserve">.  FASB </w:t>
      </w:r>
      <w:r w:rsidR="006C4F0F">
        <w:t>updated</w:t>
      </w:r>
      <w:r w:rsidR="0066246C">
        <w:t xml:space="preserve"> the taxonomy since initial letter was drafted.</w:t>
      </w:r>
    </w:p>
    <w:p w14:paraId="2C25213E" w14:textId="3105A1AC" w:rsidR="0066246C" w:rsidRPr="009B23D6" w:rsidRDefault="0066246C" w:rsidP="0066246C">
      <w:pPr>
        <w:pStyle w:val="ListParagraph"/>
        <w:numPr>
          <w:ilvl w:val="0"/>
          <w:numId w:val="23"/>
        </w:numPr>
        <w:spacing w:after="160" w:line="288" w:lineRule="auto"/>
        <w:rPr>
          <w:b/>
        </w:rPr>
      </w:pPr>
      <w:r>
        <w:t xml:space="preserve">Ami, Campbell, Lou, Susan and Mike met with </w:t>
      </w:r>
      <w:r w:rsidR="009B23D6">
        <w:t xml:space="preserve">staffs of </w:t>
      </w:r>
      <w:r>
        <w:t>FASB and</w:t>
      </w:r>
      <w:r w:rsidR="009B23D6">
        <w:t xml:space="preserve"> the</w:t>
      </w:r>
      <w:r>
        <w:t xml:space="preserve"> SEC </w:t>
      </w:r>
      <w:r w:rsidR="006C4F0F">
        <w:t>to discuss</w:t>
      </w:r>
      <w:r>
        <w:t xml:space="preserve"> </w:t>
      </w:r>
      <w:r w:rsidR="007F3FC6">
        <w:t xml:space="preserve">following </w:t>
      </w:r>
      <w:r>
        <w:t>concerns and comments regarding timing of changes</w:t>
      </w:r>
      <w:r w:rsidR="009B23D6">
        <w:t xml:space="preserve"> in taxonomy</w:t>
      </w:r>
      <w:r>
        <w:t xml:space="preserve"> and readiness of service providers</w:t>
      </w:r>
      <w:r w:rsidR="009B23D6">
        <w:t xml:space="preserve"> to support the changes</w:t>
      </w:r>
      <w:r w:rsidR="008A00BB">
        <w:t>.</w:t>
      </w:r>
      <w:r w:rsidR="009B23D6">
        <w:t xml:space="preserve"> </w:t>
      </w:r>
    </w:p>
    <w:p w14:paraId="68C50AFF" w14:textId="34FA621F" w:rsidR="0066246C" w:rsidRPr="0066246C" w:rsidRDefault="0066246C" w:rsidP="0066246C">
      <w:pPr>
        <w:pStyle w:val="ListParagraph"/>
        <w:numPr>
          <w:ilvl w:val="1"/>
          <w:numId w:val="23"/>
        </w:numPr>
        <w:spacing w:after="160" w:line="288" w:lineRule="auto"/>
        <w:rPr>
          <w:b/>
        </w:rPr>
      </w:pPr>
      <w:r>
        <w:t xml:space="preserve">Extensible enumerations – </w:t>
      </w:r>
      <w:r w:rsidR="009B23D6">
        <w:t>should</w:t>
      </w:r>
      <w:r>
        <w:t xml:space="preserve"> not be included in 2017 update</w:t>
      </w:r>
      <w:r w:rsidR="009B23D6">
        <w:t>,</w:t>
      </w:r>
      <w:r>
        <w:t xml:space="preserve"> but</w:t>
      </w:r>
      <w:r w:rsidR="009B23D6">
        <w:t xml:space="preserve"> rather they</w:t>
      </w:r>
      <w:r>
        <w:t xml:space="preserve"> </w:t>
      </w:r>
      <w:r w:rsidR="009B23D6">
        <w:t xml:space="preserve">should </w:t>
      </w:r>
      <w:r>
        <w:t xml:space="preserve">be included in </w:t>
      </w:r>
      <w:r w:rsidR="009B23D6">
        <w:t xml:space="preserve">the </w:t>
      </w:r>
      <w:r>
        <w:t>2018</w:t>
      </w:r>
      <w:r w:rsidR="009B23D6">
        <w:t xml:space="preserve"> taxonomy and be supported by training programs, guidance and rules. </w:t>
      </w:r>
      <w:r>
        <w:t xml:space="preserve"> </w:t>
      </w:r>
    </w:p>
    <w:p w14:paraId="17F5C5D2" w14:textId="1D42C195" w:rsidR="0066246C" w:rsidRPr="0066246C" w:rsidRDefault="0066246C" w:rsidP="0066246C">
      <w:pPr>
        <w:pStyle w:val="ListParagraph"/>
        <w:numPr>
          <w:ilvl w:val="1"/>
          <w:numId w:val="23"/>
        </w:numPr>
        <w:spacing w:after="160" w:line="288" w:lineRule="auto"/>
        <w:rPr>
          <w:b/>
        </w:rPr>
      </w:pPr>
      <w:r>
        <w:t>Typed Dimensions</w:t>
      </w:r>
      <w:r w:rsidR="009B23D6">
        <w:t xml:space="preserve"> –</w:t>
      </w:r>
      <w:r>
        <w:t xml:space="preserve"> </w:t>
      </w:r>
      <w:r w:rsidR="009B23D6">
        <w:t xml:space="preserve">the 2017 </w:t>
      </w:r>
      <w:r>
        <w:t>taxonomy will include one date type typed dimension in revenue</w:t>
      </w:r>
      <w:r w:rsidR="009B23D6">
        <w:t>.  The letter includes an appendix providing recommendations on the appropriate use of typed dimension</w:t>
      </w:r>
      <w:r w:rsidR="00DF10B7">
        <w:t>s</w:t>
      </w:r>
      <w:r w:rsidR="009B23D6">
        <w:t xml:space="preserve"> in the taxonomy in the future.</w:t>
      </w:r>
      <w:r>
        <w:t xml:space="preserve"> </w:t>
      </w:r>
    </w:p>
    <w:p w14:paraId="546F3930" w14:textId="7D07EDDF" w:rsidR="0066246C" w:rsidRPr="0066246C" w:rsidRDefault="0066246C" w:rsidP="0066246C">
      <w:pPr>
        <w:pStyle w:val="ListParagraph"/>
        <w:numPr>
          <w:ilvl w:val="1"/>
          <w:numId w:val="23"/>
        </w:numPr>
        <w:spacing w:after="160" w:line="288" w:lineRule="auto"/>
        <w:rPr>
          <w:b/>
        </w:rPr>
      </w:pPr>
      <w:r>
        <w:t>Templates</w:t>
      </w:r>
      <w:r w:rsidR="009B23D6">
        <w:t xml:space="preserve"> –</w:t>
      </w:r>
      <w:r>
        <w:t xml:space="preserve"> </w:t>
      </w:r>
      <w:r w:rsidR="007F3FC6">
        <w:t xml:space="preserve">most service providers have indicated that they expect their customers </w:t>
      </w:r>
      <w:r w:rsidR="00F04404">
        <w:t>will not</w:t>
      </w:r>
      <w:r w:rsidR="007F3FC6">
        <w:t xml:space="preserve"> use the templates</w:t>
      </w:r>
      <w:r>
        <w:t xml:space="preserve">.  </w:t>
      </w:r>
    </w:p>
    <w:p w14:paraId="4151AA22" w14:textId="16AB7C17" w:rsidR="00E45A5B" w:rsidRPr="000C5EDD" w:rsidRDefault="0066246C" w:rsidP="00E45A5B">
      <w:pPr>
        <w:pStyle w:val="ListParagraph"/>
        <w:numPr>
          <w:ilvl w:val="0"/>
          <w:numId w:val="23"/>
        </w:numPr>
        <w:spacing w:after="160" w:line="288" w:lineRule="auto"/>
        <w:rPr>
          <w:b/>
        </w:rPr>
      </w:pPr>
      <w:r>
        <w:t>Letter is being finalized and will be distributed for DQC review.</w:t>
      </w:r>
    </w:p>
    <w:p w14:paraId="35D1D1F9" w14:textId="77777777" w:rsidR="008A00BB" w:rsidRDefault="008A00BB" w:rsidP="008A00BB">
      <w:pPr>
        <w:pStyle w:val="ListParagraph"/>
        <w:spacing w:after="160" w:line="288" w:lineRule="auto"/>
        <w:rPr>
          <w:b/>
        </w:rPr>
      </w:pPr>
    </w:p>
    <w:p w14:paraId="78C87A64" w14:textId="404A5146" w:rsidR="000C5EDD" w:rsidRPr="008A00BB" w:rsidRDefault="000C5EDD" w:rsidP="00B11D9E">
      <w:pPr>
        <w:pStyle w:val="Default"/>
        <w:rPr>
          <w:b/>
          <w:i/>
          <w:color w:val="FF0000"/>
        </w:rPr>
      </w:pPr>
      <w:r w:rsidRPr="008A00BB">
        <w:rPr>
          <w:b/>
          <w:i/>
          <w:color w:val="FF0000"/>
        </w:rPr>
        <w:t>Action item</w:t>
      </w:r>
      <w:r w:rsidR="008A00BB" w:rsidRPr="008A00BB">
        <w:rPr>
          <w:b/>
          <w:i/>
          <w:color w:val="FF0000"/>
        </w:rPr>
        <w:t xml:space="preserve"> - </w:t>
      </w:r>
      <w:r w:rsidRPr="008A00BB">
        <w:rPr>
          <w:b/>
          <w:i/>
          <w:color w:val="FF0000"/>
        </w:rPr>
        <w:t>Distribute revised letter to DQC for fatal flaw review</w:t>
      </w:r>
      <w:r w:rsidR="002C7013">
        <w:rPr>
          <w:b/>
          <w:i/>
          <w:color w:val="FF0000"/>
        </w:rPr>
        <w:t xml:space="preserve"> (</w:t>
      </w:r>
      <w:r w:rsidR="00B11D9E">
        <w:rPr>
          <w:b/>
          <w:i/>
          <w:color w:val="FF0000"/>
        </w:rPr>
        <w:t>S</w:t>
      </w:r>
      <w:r w:rsidR="002C7013">
        <w:rPr>
          <w:b/>
          <w:i/>
          <w:color w:val="FF0000"/>
        </w:rPr>
        <w:t>ubsequently</w:t>
      </w:r>
      <w:r w:rsidR="00B11D9E">
        <w:rPr>
          <w:b/>
          <w:i/>
          <w:color w:val="FF0000"/>
        </w:rPr>
        <w:t>,</w:t>
      </w:r>
      <w:r w:rsidR="007863AC">
        <w:rPr>
          <w:b/>
          <w:i/>
          <w:color w:val="FF0000"/>
        </w:rPr>
        <w:t xml:space="preserve"> the letter was revised </w:t>
      </w:r>
      <w:r w:rsidR="00B11D9E">
        <w:rPr>
          <w:b/>
          <w:i/>
          <w:color w:val="FF0000"/>
        </w:rPr>
        <w:t>because as a result of our informal feedback, significant</w:t>
      </w:r>
      <w:r w:rsidR="007863AC">
        <w:rPr>
          <w:b/>
          <w:i/>
          <w:color w:val="FF0000"/>
        </w:rPr>
        <w:t xml:space="preserve"> changes</w:t>
      </w:r>
      <w:r w:rsidR="00B11D9E">
        <w:rPr>
          <w:b/>
          <w:i/>
          <w:color w:val="FF0000"/>
        </w:rPr>
        <w:t xml:space="preserve"> were</w:t>
      </w:r>
      <w:r w:rsidR="007863AC">
        <w:rPr>
          <w:b/>
          <w:i/>
          <w:color w:val="FF0000"/>
        </w:rPr>
        <w:t xml:space="preserve"> made</w:t>
      </w:r>
      <w:r w:rsidR="00197558">
        <w:rPr>
          <w:b/>
          <w:i/>
          <w:color w:val="FF0000"/>
        </w:rPr>
        <w:t xml:space="preserve"> to the </w:t>
      </w:r>
      <w:r w:rsidR="00197558" w:rsidRPr="00B11D9E">
        <w:rPr>
          <w:b/>
          <w:i/>
          <w:color w:val="FF0000"/>
        </w:rPr>
        <w:t xml:space="preserve">Final 2017 taxonomy released for SEC review and approval </w:t>
      </w:r>
      <w:r w:rsidR="00197558">
        <w:rPr>
          <w:b/>
          <w:i/>
          <w:color w:val="FF0000"/>
        </w:rPr>
        <w:t>and our concerns were addressed.  The</w:t>
      </w:r>
      <w:r w:rsidR="007863AC">
        <w:rPr>
          <w:b/>
          <w:i/>
          <w:color w:val="FF0000"/>
        </w:rPr>
        <w:t xml:space="preserve"> revised letter </w:t>
      </w:r>
      <w:r w:rsidR="00197558">
        <w:rPr>
          <w:b/>
          <w:i/>
          <w:color w:val="FF0000"/>
        </w:rPr>
        <w:t>w</w:t>
      </w:r>
      <w:r w:rsidR="007863AC">
        <w:rPr>
          <w:b/>
          <w:i/>
          <w:color w:val="FF0000"/>
        </w:rPr>
        <w:t>as</w:t>
      </w:r>
      <w:r w:rsidR="002C7013">
        <w:rPr>
          <w:b/>
          <w:i/>
          <w:color w:val="FF0000"/>
        </w:rPr>
        <w:t xml:space="preserve"> distributed</w:t>
      </w:r>
      <w:r w:rsidR="007863AC">
        <w:rPr>
          <w:b/>
          <w:i/>
          <w:color w:val="FF0000"/>
        </w:rPr>
        <w:t xml:space="preserve"> to the DQC</w:t>
      </w:r>
      <w:r w:rsidR="00197558">
        <w:rPr>
          <w:b/>
          <w:i/>
          <w:color w:val="FF0000"/>
        </w:rPr>
        <w:t xml:space="preserve"> and issued to the FASB.</w:t>
      </w:r>
      <w:r w:rsidR="002C7013">
        <w:rPr>
          <w:b/>
          <w:i/>
          <w:color w:val="FF0000"/>
        </w:rPr>
        <w:t>)</w:t>
      </w:r>
    </w:p>
    <w:p w14:paraId="05D6B785" w14:textId="77777777" w:rsidR="00B11D9E" w:rsidRDefault="00B11D9E" w:rsidP="00E45A5B">
      <w:pPr>
        <w:spacing w:after="160" w:line="288" w:lineRule="auto"/>
        <w:rPr>
          <w:rFonts w:ascii="Arial" w:eastAsia="Arial" w:hAnsi="Arial" w:cs="Arial"/>
          <w:b/>
          <w:sz w:val="22"/>
        </w:rPr>
      </w:pPr>
    </w:p>
    <w:p w14:paraId="175B5158" w14:textId="4F2BC818" w:rsidR="00E45A5B" w:rsidRDefault="00E45A5B" w:rsidP="00E45A5B">
      <w:pPr>
        <w:spacing w:after="160" w:line="288" w:lineRule="auto"/>
        <w:rPr>
          <w:rFonts w:ascii="Arial" w:eastAsia="Arial" w:hAnsi="Arial" w:cs="Arial"/>
          <w:b/>
          <w:sz w:val="22"/>
        </w:rPr>
      </w:pPr>
      <w:r w:rsidRPr="00E45A5B">
        <w:rPr>
          <w:rFonts w:ascii="Arial" w:eastAsia="Arial" w:hAnsi="Arial" w:cs="Arial"/>
          <w:b/>
          <w:sz w:val="22"/>
        </w:rPr>
        <w:t>SEC Meeting</w:t>
      </w:r>
    </w:p>
    <w:p w14:paraId="0F045813" w14:textId="0E9AED9C" w:rsidR="00FB2C20" w:rsidRDefault="00E45A5B" w:rsidP="00E45A5B">
      <w:pPr>
        <w:pStyle w:val="ListParagraph"/>
        <w:numPr>
          <w:ilvl w:val="0"/>
          <w:numId w:val="24"/>
        </w:numPr>
        <w:spacing w:after="160" w:line="288" w:lineRule="auto"/>
      </w:pPr>
      <w:r w:rsidRPr="00FB2C20">
        <w:t xml:space="preserve">DQC will meet with the SEC staff. </w:t>
      </w:r>
      <w:r w:rsidR="009B23D6">
        <w:t>The agenda</w:t>
      </w:r>
      <w:r w:rsidRPr="00FB2C20">
        <w:t xml:space="preserve"> is broken out into </w:t>
      </w:r>
      <w:r w:rsidR="009B23D6">
        <w:t>two</w:t>
      </w:r>
      <w:r w:rsidRPr="00FB2C20">
        <w:t xml:space="preserve"> sections</w:t>
      </w:r>
      <w:r w:rsidR="009B23D6">
        <w:t xml:space="preserve"> (</w:t>
      </w:r>
      <w:r w:rsidRPr="00FB2C20">
        <w:t>senior</w:t>
      </w:r>
      <w:r w:rsidR="00FB2C20" w:rsidRPr="00FB2C20">
        <w:t xml:space="preserve"> officers and </w:t>
      </w:r>
      <w:r w:rsidR="009B23D6">
        <w:t xml:space="preserve">a </w:t>
      </w:r>
      <w:r w:rsidR="00FB2C20" w:rsidRPr="00FB2C20">
        <w:t>staff discussion</w:t>
      </w:r>
      <w:r w:rsidR="009B23D6">
        <w:t>)</w:t>
      </w:r>
      <w:r w:rsidR="00FB2C20" w:rsidRPr="00FB2C20">
        <w:t>.</w:t>
      </w:r>
      <w:r w:rsidRPr="00FB2C20">
        <w:t xml:space="preserve"> </w:t>
      </w:r>
    </w:p>
    <w:p w14:paraId="3549115C" w14:textId="74243DC6" w:rsidR="00E45A5B" w:rsidRDefault="00E45A5B" w:rsidP="00E45A5B">
      <w:pPr>
        <w:pStyle w:val="ListParagraph"/>
        <w:numPr>
          <w:ilvl w:val="0"/>
          <w:numId w:val="24"/>
        </w:numPr>
        <w:spacing w:after="160" w:line="288" w:lineRule="auto"/>
      </w:pPr>
      <w:r w:rsidRPr="00FB2C20">
        <w:t>The agenda includes</w:t>
      </w:r>
      <w:r w:rsidR="00FB2C20">
        <w:t>:</w:t>
      </w:r>
    </w:p>
    <w:p w14:paraId="59DFA75B" w14:textId="31ACF4A6" w:rsidR="00FB2C20" w:rsidRDefault="00FB2C20" w:rsidP="00FB2C20">
      <w:pPr>
        <w:pStyle w:val="ListParagraph"/>
        <w:numPr>
          <w:ilvl w:val="1"/>
          <w:numId w:val="24"/>
        </w:numPr>
        <w:spacing w:after="160" w:line="288" w:lineRule="auto"/>
      </w:pPr>
      <w:r>
        <w:t>Framework for Element Selection</w:t>
      </w:r>
    </w:p>
    <w:p w14:paraId="2CB9B821" w14:textId="77777777" w:rsidR="00FB2C20" w:rsidRDefault="00FB2C20" w:rsidP="009B23D6">
      <w:pPr>
        <w:pStyle w:val="ListParagraph"/>
        <w:numPr>
          <w:ilvl w:val="1"/>
          <w:numId w:val="24"/>
        </w:numPr>
        <w:spacing w:line="240" w:lineRule="auto"/>
      </w:pPr>
      <w:r>
        <w:t>Feedback on the V</w:t>
      </w:r>
      <w:r w:rsidRPr="00D22016">
        <w:t>oluntary I</w:t>
      </w:r>
      <w:r>
        <w:t xml:space="preserve">nline XBRL Filing Program </w:t>
      </w:r>
    </w:p>
    <w:p w14:paraId="005BA098" w14:textId="6B2DC3A1" w:rsidR="009B23D6" w:rsidRDefault="00FB2C20" w:rsidP="009B23D6">
      <w:pPr>
        <w:pStyle w:val="ListParagraph"/>
        <w:numPr>
          <w:ilvl w:val="1"/>
          <w:numId w:val="24"/>
        </w:numPr>
        <w:spacing w:after="160" w:line="288" w:lineRule="auto"/>
      </w:pPr>
      <w:r>
        <w:t>Frequency of Future meetings –quarterly meetings</w:t>
      </w:r>
      <w:r w:rsidR="008E7CE9">
        <w:t xml:space="preserve"> will be</w:t>
      </w:r>
      <w:r w:rsidR="008E7CE9" w:rsidRPr="008E7CE9">
        <w:t xml:space="preserve"> </w:t>
      </w:r>
      <w:r w:rsidR="008E7CE9">
        <w:t>requested</w:t>
      </w:r>
    </w:p>
    <w:p w14:paraId="3D6B99F4" w14:textId="77777777" w:rsidR="009B23D6" w:rsidRDefault="009B23D6" w:rsidP="009B23D6">
      <w:pPr>
        <w:pStyle w:val="ListParagraph"/>
        <w:numPr>
          <w:ilvl w:val="1"/>
          <w:numId w:val="24"/>
        </w:numPr>
        <w:spacing w:after="160" w:line="288" w:lineRule="auto"/>
      </w:pPr>
      <w:r>
        <w:t>Contributed R</w:t>
      </w:r>
      <w:r w:rsidRPr="00D22016">
        <w:t xml:space="preserve">ules </w:t>
      </w:r>
      <w:r>
        <w:t>update/status</w:t>
      </w:r>
    </w:p>
    <w:p w14:paraId="1FF8A85B" w14:textId="77777777" w:rsidR="009B23D6" w:rsidRDefault="009B23D6" w:rsidP="009B23D6">
      <w:pPr>
        <w:pStyle w:val="ListParagraph"/>
        <w:numPr>
          <w:ilvl w:val="1"/>
          <w:numId w:val="24"/>
        </w:numPr>
        <w:spacing w:after="160" w:line="288" w:lineRule="auto"/>
      </w:pPr>
      <w:r w:rsidRPr="000D5466">
        <w:t xml:space="preserve">Update on </w:t>
      </w:r>
      <w:r>
        <w:t>Error Rates for Targeted R</w:t>
      </w:r>
      <w:r w:rsidRPr="00D22016">
        <w:t>ules</w:t>
      </w:r>
    </w:p>
    <w:p w14:paraId="59ED7887" w14:textId="77777777" w:rsidR="009B23D6" w:rsidRDefault="009B23D6" w:rsidP="009B23D6">
      <w:pPr>
        <w:pStyle w:val="ListParagraph"/>
        <w:numPr>
          <w:ilvl w:val="1"/>
          <w:numId w:val="24"/>
        </w:numPr>
        <w:spacing w:after="160" w:line="288" w:lineRule="auto"/>
      </w:pPr>
      <w:r w:rsidRPr="00D22016">
        <w:t xml:space="preserve">Proposed 2017 Taxonomy </w:t>
      </w:r>
    </w:p>
    <w:p w14:paraId="059875E8" w14:textId="0635C1A4" w:rsidR="009B23D6" w:rsidRDefault="009B23D6" w:rsidP="009B23D6">
      <w:pPr>
        <w:pStyle w:val="ListParagraph"/>
        <w:numPr>
          <w:ilvl w:val="1"/>
          <w:numId w:val="24"/>
        </w:numPr>
        <w:spacing w:after="160" w:line="288" w:lineRule="auto"/>
      </w:pPr>
      <w:r w:rsidRPr="00D22016">
        <w:t>Entity Spe</w:t>
      </w:r>
      <w:r>
        <w:t>cific Disclosure Task Force S</w:t>
      </w:r>
      <w:r w:rsidRPr="00D22016">
        <w:t>tatus</w:t>
      </w:r>
      <w:r w:rsidRPr="000D5466">
        <w:t xml:space="preserve"> </w:t>
      </w:r>
    </w:p>
    <w:p w14:paraId="7673053B" w14:textId="77777777" w:rsidR="00FB2C20" w:rsidRPr="00FB2C20" w:rsidRDefault="00FB2C20" w:rsidP="009B23D6">
      <w:pPr>
        <w:pStyle w:val="ListParagraph"/>
        <w:spacing w:after="160" w:line="288" w:lineRule="auto"/>
        <w:ind w:left="1440"/>
      </w:pPr>
    </w:p>
    <w:p w14:paraId="6A796DE8" w14:textId="2860F3A6" w:rsidR="002C7013" w:rsidRDefault="00431A03">
      <w:pPr>
        <w:spacing w:line="332" w:lineRule="auto"/>
        <w:rPr>
          <w:rFonts w:ascii="Arial" w:eastAsia="Arial" w:hAnsi="Arial" w:cs="Arial"/>
          <w:sz w:val="22"/>
        </w:rPr>
      </w:pPr>
      <w:r>
        <w:rPr>
          <w:rFonts w:ascii="Arial" w:eastAsia="Arial" w:hAnsi="Arial" w:cs="Arial"/>
          <w:sz w:val="22"/>
        </w:rPr>
        <w:t>Meeting adjourned 3:30</w:t>
      </w:r>
      <w:r w:rsidR="002C763D">
        <w:rPr>
          <w:rFonts w:ascii="Arial" w:eastAsia="Arial" w:hAnsi="Arial" w:cs="Arial"/>
          <w:sz w:val="22"/>
        </w:rPr>
        <w:t>.</w:t>
      </w:r>
    </w:p>
    <w:sectPr w:rsidR="002C7013">
      <w:headerReference w:type="default" r:id="rId9"/>
      <w:footerReference w:type="default" r:id="rId10"/>
      <w:pgSz w:w="12240" w:h="15840"/>
      <w:pgMar w:top="1440" w:right="1440" w:bottom="1440" w:left="1440" w:header="160" w:footer="1240" w:gutter="0"/>
      <w:pgNumType w:chapSep="period"/>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F6F4EE" w14:textId="77777777" w:rsidR="00FE1E1A" w:rsidRDefault="00FE1E1A">
      <w:r>
        <w:separator/>
      </w:r>
    </w:p>
  </w:endnote>
  <w:endnote w:type="continuationSeparator" w:id="0">
    <w:p w14:paraId="12D2F53C" w14:textId="77777777" w:rsidR="00FE1E1A" w:rsidRDefault="00FE1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FF7B5" w14:textId="77777777" w:rsidR="00A467F0" w:rsidRDefault="00431A03">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72DE0E" w14:textId="77777777" w:rsidR="00FE1E1A" w:rsidRDefault="00FE1E1A">
      <w:r>
        <w:separator/>
      </w:r>
    </w:p>
  </w:footnote>
  <w:footnote w:type="continuationSeparator" w:id="0">
    <w:p w14:paraId="67B3A7CD" w14:textId="77777777" w:rsidR="00FE1E1A" w:rsidRDefault="00FE1E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729EC" w14:textId="77777777" w:rsidR="00A467F0" w:rsidRDefault="00431A03">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723B7"/>
    <w:multiLevelType w:val="hybridMultilevel"/>
    <w:tmpl w:val="96F0EAB4"/>
    <w:lvl w:ilvl="0" w:tplc="A364A968">
      <w:start w:val="1"/>
      <w:numFmt w:val="decimalEnclosedCircle"/>
      <w:lvlText w:val="◦ "/>
      <w:lvlJc w:val="left"/>
      <w:pPr>
        <w:ind w:hanging="360"/>
      </w:pPr>
    </w:lvl>
    <w:lvl w:ilvl="1" w:tplc="7EA277BE">
      <w:numFmt w:val="decimal"/>
      <w:lvlText w:val=""/>
      <w:lvlJc w:val="left"/>
    </w:lvl>
    <w:lvl w:ilvl="2" w:tplc="329C1B72">
      <w:numFmt w:val="decimal"/>
      <w:lvlText w:val=""/>
      <w:lvlJc w:val="left"/>
    </w:lvl>
    <w:lvl w:ilvl="3" w:tplc="27100E2E">
      <w:numFmt w:val="decimal"/>
      <w:lvlText w:val=""/>
      <w:lvlJc w:val="left"/>
    </w:lvl>
    <w:lvl w:ilvl="4" w:tplc="3F18FF78">
      <w:numFmt w:val="decimal"/>
      <w:lvlText w:val=""/>
      <w:lvlJc w:val="left"/>
    </w:lvl>
    <w:lvl w:ilvl="5" w:tplc="511893CE">
      <w:numFmt w:val="decimal"/>
      <w:lvlText w:val=""/>
      <w:lvlJc w:val="left"/>
    </w:lvl>
    <w:lvl w:ilvl="6" w:tplc="DABAD362">
      <w:numFmt w:val="decimal"/>
      <w:lvlText w:val=""/>
      <w:lvlJc w:val="left"/>
    </w:lvl>
    <w:lvl w:ilvl="7" w:tplc="E09C4398">
      <w:numFmt w:val="decimal"/>
      <w:lvlText w:val=""/>
      <w:lvlJc w:val="left"/>
    </w:lvl>
    <w:lvl w:ilvl="8" w:tplc="7676E9EC">
      <w:numFmt w:val="decimal"/>
      <w:lvlText w:val=""/>
      <w:lvlJc w:val="left"/>
    </w:lvl>
  </w:abstractNum>
  <w:abstractNum w:abstractNumId="1">
    <w:nsid w:val="0687218D"/>
    <w:multiLevelType w:val="hybridMultilevel"/>
    <w:tmpl w:val="87740F8C"/>
    <w:lvl w:ilvl="0" w:tplc="F3964BDE">
      <w:start w:val="1"/>
      <w:numFmt w:val="bullet"/>
      <w:lvlText w:val="• "/>
      <w:lvlJc w:val="left"/>
      <w:pPr>
        <w:ind w:hanging="360"/>
      </w:pPr>
    </w:lvl>
    <w:lvl w:ilvl="1" w:tplc="F31C2336">
      <w:start w:val="1"/>
      <w:numFmt w:val="decimalEnclosedCircle"/>
      <w:lvlText w:val="◦ "/>
      <w:lvlJc w:val="left"/>
      <w:pPr>
        <w:ind w:hanging="360"/>
      </w:pPr>
    </w:lvl>
    <w:lvl w:ilvl="2" w:tplc="3E08496C">
      <w:start w:val="1"/>
      <w:numFmt w:val="ganada"/>
      <w:lvlText w:val="▪ "/>
      <w:lvlJc w:val="left"/>
      <w:pPr>
        <w:ind w:hanging="360"/>
      </w:pPr>
    </w:lvl>
    <w:lvl w:ilvl="3" w:tplc="44A604E6">
      <w:numFmt w:val="decimal"/>
      <w:lvlText w:val=""/>
      <w:lvlJc w:val="left"/>
    </w:lvl>
    <w:lvl w:ilvl="4" w:tplc="24D0B9EE">
      <w:numFmt w:val="decimal"/>
      <w:lvlText w:val=""/>
      <w:lvlJc w:val="left"/>
    </w:lvl>
    <w:lvl w:ilvl="5" w:tplc="51049BEC">
      <w:numFmt w:val="decimal"/>
      <w:lvlText w:val=""/>
      <w:lvlJc w:val="left"/>
    </w:lvl>
    <w:lvl w:ilvl="6" w:tplc="30F0F40E">
      <w:numFmt w:val="decimal"/>
      <w:lvlText w:val=""/>
      <w:lvlJc w:val="left"/>
    </w:lvl>
    <w:lvl w:ilvl="7" w:tplc="40BAB2D8">
      <w:numFmt w:val="decimal"/>
      <w:lvlText w:val=""/>
      <w:lvlJc w:val="left"/>
    </w:lvl>
    <w:lvl w:ilvl="8" w:tplc="82B844E4">
      <w:numFmt w:val="decimal"/>
      <w:lvlText w:val=""/>
      <w:lvlJc w:val="left"/>
    </w:lvl>
  </w:abstractNum>
  <w:abstractNum w:abstractNumId="2">
    <w:nsid w:val="0BE62B7A"/>
    <w:multiLevelType w:val="hybridMultilevel"/>
    <w:tmpl w:val="5E265786"/>
    <w:lvl w:ilvl="0" w:tplc="05BAF730">
      <w:start w:val="1"/>
      <w:numFmt w:val="bullet"/>
      <w:lvlText w:val="• "/>
      <w:lvlJc w:val="left"/>
      <w:pPr>
        <w:ind w:hanging="360"/>
      </w:pPr>
    </w:lvl>
    <w:lvl w:ilvl="1" w:tplc="7A7C6A46">
      <w:numFmt w:val="decimal"/>
      <w:lvlText w:val=""/>
      <w:lvlJc w:val="left"/>
    </w:lvl>
    <w:lvl w:ilvl="2" w:tplc="6A582D0A">
      <w:numFmt w:val="decimal"/>
      <w:lvlText w:val=""/>
      <w:lvlJc w:val="left"/>
    </w:lvl>
    <w:lvl w:ilvl="3" w:tplc="31DE9360">
      <w:numFmt w:val="decimal"/>
      <w:lvlText w:val=""/>
      <w:lvlJc w:val="left"/>
    </w:lvl>
    <w:lvl w:ilvl="4" w:tplc="4B965194">
      <w:numFmt w:val="decimal"/>
      <w:lvlText w:val=""/>
      <w:lvlJc w:val="left"/>
    </w:lvl>
    <w:lvl w:ilvl="5" w:tplc="12269546">
      <w:numFmt w:val="decimal"/>
      <w:lvlText w:val=""/>
      <w:lvlJc w:val="left"/>
    </w:lvl>
    <w:lvl w:ilvl="6" w:tplc="1004AE6C">
      <w:numFmt w:val="decimal"/>
      <w:lvlText w:val=""/>
      <w:lvlJc w:val="left"/>
    </w:lvl>
    <w:lvl w:ilvl="7" w:tplc="1BD635C4">
      <w:numFmt w:val="decimal"/>
      <w:lvlText w:val=""/>
      <w:lvlJc w:val="left"/>
    </w:lvl>
    <w:lvl w:ilvl="8" w:tplc="05F8351E">
      <w:numFmt w:val="decimal"/>
      <w:lvlText w:val=""/>
      <w:lvlJc w:val="left"/>
    </w:lvl>
  </w:abstractNum>
  <w:abstractNum w:abstractNumId="3">
    <w:nsid w:val="0E5172AF"/>
    <w:multiLevelType w:val="hybridMultilevel"/>
    <w:tmpl w:val="0352A828"/>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nsid w:val="1B4C74E7"/>
    <w:multiLevelType w:val="hybridMultilevel"/>
    <w:tmpl w:val="2D5A3F02"/>
    <w:lvl w:ilvl="0" w:tplc="AF480B06">
      <w:start w:val="1"/>
      <w:numFmt w:val="decimalEnclosedCircle"/>
      <w:lvlText w:val="◦ "/>
      <w:lvlJc w:val="left"/>
      <w:pPr>
        <w:ind w:hanging="360"/>
      </w:pPr>
    </w:lvl>
    <w:lvl w:ilvl="1" w:tplc="2D5CA13E">
      <w:start w:val="1"/>
      <w:numFmt w:val="ganada"/>
      <w:lvlText w:val="▪ "/>
      <w:lvlJc w:val="left"/>
      <w:pPr>
        <w:ind w:hanging="360"/>
      </w:pPr>
    </w:lvl>
    <w:lvl w:ilvl="2" w:tplc="42948404">
      <w:numFmt w:val="decimal"/>
      <w:lvlText w:val=""/>
      <w:lvlJc w:val="left"/>
    </w:lvl>
    <w:lvl w:ilvl="3" w:tplc="FCB40B70">
      <w:numFmt w:val="decimal"/>
      <w:lvlText w:val=""/>
      <w:lvlJc w:val="left"/>
    </w:lvl>
    <w:lvl w:ilvl="4" w:tplc="26BA36B0">
      <w:numFmt w:val="decimal"/>
      <w:lvlText w:val=""/>
      <w:lvlJc w:val="left"/>
    </w:lvl>
    <w:lvl w:ilvl="5" w:tplc="5CB046DE">
      <w:numFmt w:val="decimal"/>
      <w:lvlText w:val=""/>
      <w:lvlJc w:val="left"/>
    </w:lvl>
    <w:lvl w:ilvl="6" w:tplc="0C1CD198">
      <w:numFmt w:val="decimal"/>
      <w:lvlText w:val=""/>
      <w:lvlJc w:val="left"/>
    </w:lvl>
    <w:lvl w:ilvl="7" w:tplc="33D82FA8">
      <w:numFmt w:val="decimal"/>
      <w:lvlText w:val=""/>
      <w:lvlJc w:val="left"/>
    </w:lvl>
    <w:lvl w:ilvl="8" w:tplc="C8249842">
      <w:numFmt w:val="decimal"/>
      <w:lvlText w:val=""/>
      <w:lvlJc w:val="left"/>
    </w:lvl>
  </w:abstractNum>
  <w:abstractNum w:abstractNumId="5">
    <w:nsid w:val="1BB05AF6"/>
    <w:multiLevelType w:val="hybridMultilevel"/>
    <w:tmpl w:val="AFC23AEC"/>
    <w:lvl w:ilvl="0" w:tplc="D2ACB476">
      <w:start w:val="1"/>
      <w:numFmt w:val="decimalEnclosedCircle"/>
      <w:lvlText w:val="◦ "/>
      <w:lvlJc w:val="left"/>
      <w:pPr>
        <w:ind w:hanging="360"/>
      </w:pPr>
    </w:lvl>
    <w:lvl w:ilvl="1" w:tplc="C7DA77E4">
      <w:start w:val="1"/>
      <w:numFmt w:val="ganada"/>
      <w:lvlText w:val="▪ "/>
      <w:lvlJc w:val="left"/>
      <w:pPr>
        <w:ind w:hanging="360"/>
      </w:pPr>
    </w:lvl>
    <w:lvl w:ilvl="2" w:tplc="D72E7CB8">
      <w:numFmt w:val="decimal"/>
      <w:lvlText w:val=""/>
      <w:lvlJc w:val="left"/>
    </w:lvl>
    <w:lvl w:ilvl="3" w:tplc="009E1342">
      <w:numFmt w:val="decimal"/>
      <w:lvlText w:val=""/>
      <w:lvlJc w:val="left"/>
    </w:lvl>
    <w:lvl w:ilvl="4" w:tplc="1250FDA8">
      <w:numFmt w:val="decimal"/>
      <w:lvlText w:val=""/>
      <w:lvlJc w:val="left"/>
    </w:lvl>
    <w:lvl w:ilvl="5" w:tplc="B942A21A">
      <w:numFmt w:val="decimal"/>
      <w:lvlText w:val=""/>
      <w:lvlJc w:val="left"/>
    </w:lvl>
    <w:lvl w:ilvl="6" w:tplc="4B86C558">
      <w:numFmt w:val="decimal"/>
      <w:lvlText w:val=""/>
      <w:lvlJc w:val="left"/>
    </w:lvl>
    <w:lvl w:ilvl="7" w:tplc="6F78CAF8">
      <w:numFmt w:val="decimal"/>
      <w:lvlText w:val=""/>
      <w:lvlJc w:val="left"/>
    </w:lvl>
    <w:lvl w:ilvl="8" w:tplc="293C4FE8">
      <w:numFmt w:val="decimal"/>
      <w:lvlText w:val=""/>
      <w:lvlJc w:val="left"/>
    </w:lvl>
  </w:abstractNum>
  <w:abstractNum w:abstractNumId="6">
    <w:nsid w:val="1D1A1F2B"/>
    <w:multiLevelType w:val="hybridMultilevel"/>
    <w:tmpl w:val="D454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F86CEB"/>
    <w:multiLevelType w:val="hybridMultilevel"/>
    <w:tmpl w:val="AA26E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EE3CC8"/>
    <w:multiLevelType w:val="hybridMultilevel"/>
    <w:tmpl w:val="070EF67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nsid w:val="23D6728E"/>
    <w:multiLevelType w:val="hybridMultilevel"/>
    <w:tmpl w:val="E1FAD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6F6C41"/>
    <w:multiLevelType w:val="hybridMultilevel"/>
    <w:tmpl w:val="8B688AC4"/>
    <w:lvl w:ilvl="0" w:tplc="E9A29652">
      <w:start w:val="1"/>
      <w:numFmt w:val="decimalEnclosedCircle"/>
      <w:lvlText w:val="◦ "/>
      <w:lvlJc w:val="left"/>
      <w:pPr>
        <w:ind w:hanging="360"/>
      </w:pPr>
    </w:lvl>
    <w:lvl w:ilvl="1" w:tplc="5E6A8AAC">
      <w:numFmt w:val="decimal"/>
      <w:lvlText w:val=""/>
      <w:lvlJc w:val="left"/>
    </w:lvl>
    <w:lvl w:ilvl="2" w:tplc="69BCD4A4">
      <w:numFmt w:val="decimal"/>
      <w:lvlText w:val=""/>
      <w:lvlJc w:val="left"/>
    </w:lvl>
    <w:lvl w:ilvl="3" w:tplc="1C684884">
      <w:numFmt w:val="decimal"/>
      <w:lvlText w:val=""/>
      <w:lvlJc w:val="left"/>
    </w:lvl>
    <w:lvl w:ilvl="4" w:tplc="81A8ADCC">
      <w:numFmt w:val="decimal"/>
      <w:lvlText w:val=""/>
      <w:lvlJc w:val="left"/>
    </w:lvl>
    <w:lvl w:ilvl="5" w:tplc="E27AE316">
      <w:numFmt w:val="decimal"/>
      <w:lvlText w:val=""/>
      <w:lvlJc w:val="left"/>
    </w:lvl>
    <w:lvl w:ilvl="6" w:tplc="7CEA87AC">
      <w:numFmt w:val="decimal"/>
      <w:lvlText w:val=""/>
      <w:lvlJc w:val="left"/>
    </w:lvl>
    <w:lvl w:ilvl="7" w:tplc="648A86E4">
      <w:numFmt w:val="decimal"/>
      <w:lvlText w:val=""/>
      <w:lvlJc w:val="left"/>
    </w:lvl>
    <w:lvl w:ilvl="8" w:tplc="3B20C11A">
      <w:numFmt w:val="decimal"/>
      <w:lvlText w:val=""/>
      <w:lvlJc w:val="left"/>
    </w:lvl>
  </w:abstractNum>
  <w:abstractNum w:abstractNumId="11">
    <w:nsid w:val="27D836C3"/>
    <w:multiLevelType w:val="multilevel"/>
    <w:tmpl w:val="66F2A7F8"/>
    <w:lvl w:ilvl="0">
      <w:start w:val="1"/>
      <w:numFmt w:val="bullet"/>
      <w:lvlText w:val=""/>
      <w:lvlJc w:val="left"/>
      <w:pPr>
        <w:ind w:left="720" w:hanging="360"/>
      </w:pPr>
      <w:rPr>
        <w:rFonts w:ascii="Symbol" w:hAnsi="Symbol" w:hint="default"/>
      </w:rPr>
    </w:lvl>
    <w:lvl w:ilvl="1">
      <w:start w:val="1"/>
      <w:numFmt w:val="decimal"/>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nsid w:val="2CE1692D"/>
    <w:multiLevelType w:val="hybridMultilevel"/>
    <w:tmpl w:val="857EB0F0"/>
    <w:lvl w:ilvl="0" w:tplc="86E6A12E">
      <w:start w:val="1"/>
      <w:numFmt w:val="bullet"/>
      <w:lvlText w:val="• "/>
      <w:lvlJc w:val="left"/>
      <w:pPr>
        <w:ind w:hanging="720"/>
      </w:pPr>
    </w:lvl>
    <w:lvl w:ilvl="1" w:tplc="DE5290DC">
      <w:numFmt w:val="decimal"/>
      <w:lvlText w:val=""/>
      <w:lvlJc w:val="left"/>
    </w:lvl>
    <w:lvl w:ilvl="2" w:tplc="B58C2E46">
      <w:numFmt w:val="decimal"/>
      <w:lvlText w:val=""/>
      <w:lvlJc w:val="left"/>
    </w:lvl>
    <w:lvl w:ilvl="3" w:tplc="AB4C1E52">
      <w:numFmt w:val="decimal"/>
      <w:lvlText w:val=""/>
      <w:lvlJc w:val="left"/>
    </w:lvl>
    <w:lvl w:ilvl="4" w:tplc="AAD08E78">
      <w:numFmt w:val="decimal"/>
      <w:lvlText w:val=""/>
      <w:lvlJc w:val="left"/>
    </w:lvl>
    <w:lvl w:ilvl="5" w:tplc="2604D9B2">
      <w:numFmt w:val="decimal"/>
      <w:lvlText w:val=""/>
      <w:lvlJc w:val="left"/>
    </w:lvl>
    <w:lvl w:ilvl="6" w:tplc="434401E8">
      <w:numFmt w:val="decimal"/>
      <w:lvlText w:val=""/>
      <w:lvlJc w:val="left"/>
    </w:lvl>
    <w:lvl w:ilvl="7" w:tplc="A0EE5D2C">
      <w:numFmt w:val="decimal"/>
      <w:lvlText w:val=""/>
      <w:lvlJc w:val="left"/>
    </w:lvl>
    <w:lvl w:ilvl="8" w:tplc="B4968B28">
      <w:numFmt w:val="decimal"/>
      <w:lvlText w:val=""/>
      <w:lvlJc w:val="left"/>
    </w:lvl>
  </w:abstractNum>
  <w:abstractNum w:abstractNumId="13">
    <w:nsid w:val="2EA6432B"/>
    <w:multiLevelType w:val="hybridMultilevel"/>
    <w:tmpl w:val="13842164"/>
    <w:lvl w:ilvl="0" w:tplc="287EF528">
      <w:start w:val="1"/>
      <w:numFmt w:val="decimalEnclosedCircle"/>
      <w:lvlText w:val="◦ "/>
      <w:lvlJc w:val="left"/>
      <w:pPr>
        <w:ind w:hanging="360"/>
      </w:pPr>
    </w:lvl>
    <w:lvl w:ilvl="1" w:tplc="7F567EB2">
      <w:start w:val="1"/>
      <w:numFmt w:val="decimalEnclosedCircle"/>
      <w:lvlText w:val="◦ "/>
      <w:lvlJc w:val="left"/>
      <w:pPr>
        <w:ind w:hanging="360"/>
      </w:pPr>
    </w:lvl>
    <w:lvl w:ilvl="2" w:tplc="FBAA47F0">
      <w:start w:val="1"/>
      <w:numFmt w:val="ganada"/>
      <w:lvlText w:val="▪ "/>
      <w:lvlJc w:val="left"/>
      <w:pPr>
        <w:ind w:hanging="360"/>
      </w:pPr>
    </w:lvl>
    <w:lvl w:ilvl="3" w:tplc="388E118E">
      <w:numFmt w:val="decimal"/>
      <w:lvlText w:val=""/>
      <w:lvlJc w:val="left"/>
    </w:lvl>
    <w:lvl w:ilvl="4" w:tplc="04090001">
      <w:start w:val="1"/>
      <w:numFmt w:val="bullet"/>
      <w:lvlText w:val=""/>
      <w:lvlJc w:val="left"/>
      <w:rPr>
        <w:rFonts w:ascii="Symbol" w:hAnsi="Symbol" w:hint="default"/>
      </w:rPr>
    </w:lvl>
    <w:lvl w:ilvl="5" w:tplc="312E1F1E">
      <w:numFmt w:val="decimal"/>
      <w:lvlText w:val=""/>
      <w:lvlJc w:val="left"/>
    </w:lvl>
    <w:lvl w:ilvl="6" w:tplc="13364C1A">
      <w:numFmt w:val="decimal"/>
      <w:lvlText w:val=""/>
      <w:lvlJc w:val="left"/>
    </w:lvl>
    <w:lvl w:ilvl="7" w:tplc="133A1C88">
      <w:numFmt w:val="decimal"/>
      <w:lvlText w:val=""/>
      <w:lvlJc w:val="left"/>
    </w:lvl>
    <w:lvl w:ilvl="8" w:tplc="00809524">
      <w:numFmt w:val="decimal"/>
      <w:lvlText w:val=""/>
      <w:lvlJc w:val="left"/>
    </w:lvl>
  </w:abstractNum>
  <w:abstractNum w:abstractNumId="14">
    <w:nsid w:val="423E088F"/>
    <w:multiLevelType w:val="hybridMultilevel"/>
    <w:tmpl w:val="1BB44536"/>
    <w:lvl w:ilvl="0" w:tplc="BA6EAADE">
      <w:start w:val="1"/>
      <w:numFmt w:val="decimalEnclosedCircle"/>
      <w:lvlText w:val="◦ "/>
      <w:lvlJc w:val="left"/>
      <w:pPr>
        <w:ind w:hanging="360"/>
      </w:pPr>
    </w:lvl>
    <w:lvl w:ilvl="1" w:tplc="86DE67E6">
      <w:numFmt w:val="decimal"/>
      <w:lvlText w:val=""/>
      <w:lvlJc w:val="left"/>
    </w:lvl>
    <w:lvl w:ilvl="2" w:tplc="42D4172E">
      <w:numFmt w:val="decimal"/>
      <w:lvlText w:val=""/>
      <w:lvlJc w:val="left"/>
    </w:lvl>
    <w:lvl w:ilvl="3" w:tplc="9FEA5CAA">
      <w:numFmt w:val="decimal"/>
      <w:lvlText w:val=""/>
      <w:lvlJc w:val="left"/>
    </w:lvl>
    <w:lvl w:ilvl="4" w:tplc="54C6C526">
      <w:numFmt w:val="decimal"/>
      <w:lvlText w:val=""/>
      <w:lvlJc w:val="left"/>
    </w:lvl>
    <w:lvl w:ilvl="5" w:tplc="FD044A28">
      <w:numFmt w:val="decimal"/>
      <w:lvlText w:val=""/>
      <w:lvlJc w:val="left"/>
    </w:lvl>
    <w:lvl w:ilvl="6" w:tplc="4716A530">
      <w:numFmt w:val="decimal"/>
      <w:lvlText w:val=""/>
      <w:lvlJc w:val="left"/>
    </w:lvl>
    <w:lvl w:ilvl="7" w:tplc="CC3C8E30">
      <w:numFmt w:val="decimal"/>
      <w:lvlText w:val=""/>
      <w:lvlJc w:val="left"/>
    </w:lvl>
    <w:lvl w:ilvl="8" w:tplc="595CA5F6">
      <w:numFmt w:val="decimal"/>
      <w:lvlText w:val=""/>
      <w:lvlJc w:val="left"/>
    </w:lvl>
  </w:abstractNum>
  <w:abstractNum w:abstractNumId="15">
    <w:nsid w:val="42DA73C1"/>
    <w:multiLevelType w:val="hybridMultilevel"/>
    <w:tmpl w:val="2DF20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F56999"/>
    <w:multiLevelType w:val="multilevel"/>
    <w:tmpl w:val="CFAA3A74"/>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4257A97"/>
    <w:multiLevelType w:val="hybridMultilevel"/>
    <w:tmpl w:val="74C05822"/>
    <w:lvl w:ilvl="0" w:tplc="04090001">
      <w:start w:val="1"/>
      <w:numFmt w:val="bullet"/>
      <w:lvlText w:val=""/>
      <w:lvlJc w:val="left"/>
      <w:pPr>
        <w:ind w:hanging="360"/>
      </w:pPr>
      <w:rPr>
        <w:rFonts w:ascii="Symbol" w:hAnsi="Symbol" w:hint="default"/>
      </w:rPr>
    </w:lvl>
    <w:lvl w:ilvl="1" w:tplc="7F567EB2">
      <w:start w:val="1"/>
      <w:numFmt w:val="decimalEnclosedCircle"/>
      <w:lvlText w:val="◦ "/>
      <w:lvlJc w:val="left"/>
      <w:pPr>
        <w:ind w:hanging="360"/>
      </w:pPr>
    </w:lvl>
    <w:lvl w:ilvl="2" w:tplc="FBAA47F0">
      <w:start w:val="1"/>
      <w:numFmt w:val="ganada"/>
      <w:lvlText w:val="▪ "/>
      <w:lvlJc w:val="left"/>
      <w:pPr>
        <w:ind w:hanging="360"/>
      </w:pPr>
    </w:lvl>
    <w:lvl w:ilvl="3" w:tplc="388E118E">
      <w:numFmt w:val="decimal"/>
      <w:lvlText w:val=""/>
      <w:lvlJc w:val="left"/>
    </w:lvl>
    <w:lvl w:ilvl="4" w:tplc="04090001">
      <w:start w:val="1"/>
      <w:numFmt w:val="bullet"/>
      <w:lvlText w:val=""/>
      <w:lvlJc w:val="left"/>
      <w:rPr>
        <w:rFonts w:ascii="Symbol" w:hAnsi="Symbol" w:hint="default"/>
      </w:rPr>
    </w:lvl>
    <w:lvl w:ilvl="5" w:tplc="312E1F1E">
      <w:numFmt w:val="decimal"/>
      <w:lvlText w:val=""/>
      <w:lvlJc w:val="left"/>
    </w:lvl>
    <w:lvl w:ilvl="6" w:tplc="13364C1A">
      <w:numFmt w:val="decimal"/>
      <w:lvlText w:val=""/>
      <w:lvlJc w:val="left"/>
    </w:lvl>
    <w:lvl w:ilvl="7" w:tplc="133A1C88">
      <w:numFmt w:val="decimal"/>
      <w:lvlText w:val=""/>
      <w:lvlJc w:val="left"/>
    </w:lvl>
    <w:lvl w:ilvl="8" w:tplc="00809524">
      <w:numFmt w:val="decimal"/>
      <w:lvlText w:val=""/>
      <w:lvlJc w:val="left"/>
    </w:lvl>
  </w:abstractNum>
  <w:abstractNum w:abstractNumId="18">
    <w:nsid w:val="48B62BD1"/>
    <w:multiLevelType w:val="hybridMultilevel"/>
    <w:tmpl w:val="6D74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3B5652"/>
    <w:multiLevelType w:val="hybridMultilevel"/>
    <w:tmpl w:val="8A044CD2"/>
    <w:lvl w:ilvl="0" w:tplc="A2E4B16C">
      <w:start w:val="1"/>
      <w:numFmt w:val="bullet"/>
      <w:lvlText w:val="• "/>
      <w:lvlJc w:val="left"/>
      <w:pPr>
        <w:ind w:hanging="360"/>
      </w:pPr>
    </w:lvl>
    <w:lvl w:ilvl="1" w:tplc="2534A0A0">
      <w:numFmt w:val="decimal"/>
      <w:lvlText w:val=""/>
      <w:lvlJc w:val="left"/>
    </w:lvl>
    <w:lvl w:ilvl="2" w:tplc="8088427A">
      <w:numFmt w:val="decimal"/>
      <w:lvlText w:val=""/>
      <w:lvlJc w:val="left"/>
    </w:lvl>
    <w:lvl w:ilvl="3" w:tplc="C0B203A4">
      <w:numFmt w:val="decimal"/>
      <w:lvlText w:val=""/>
      <w:lvlJc w:val="left"/>
    </w:lvl>
    <w:lvl w:ilvl="4" w:tplc="EA566C2C">
      <w:numFmt w:val="decimal"/>
      <w:lvlText w:val=""/>
      <w:lvlJc w:val="left"/>
    </w:lvl>
    <w:lvl w:ilvl="5" w:tplc="5DA84CC0">
      <w:numFmt w:val="decimal"/>
      <w:lvlText w:val=""/>
      <w:lvlJc w:val="left"/>
    </w:lvl>
    <w:lvl w:ilvl="6" w:tplc="DD70C5C0">
      <w:numFmt w:val="decimal"/>
      <w:lvlText w:val=""/>
      <w:lvlJc w:val="left"/>
    </w:lvl>
    <w:lvl w:ilvl="7" w:tplc="E064D666">
      <w:numFmt w:val="decimal"/>
      <w:lvlText w:val=""/>
      <w:lvlJc w:val="left"/>
    </w:lvl>
    <w:lvl w:ilvl="8" w:tplc="B172E266">
      <w:numFmt w:val="decimal"/>
      <w:lvlText w:val=""/>
      <w:lvlJc w:val="left"/>
    </w:lvl>
  </w:abstractNum>
  <w:abstractNum w:abstractNumId="20">
    <w:nsid w:val="4C8F607B"/>
    <w:multiLevelType w:val="hybridMultilevel"/>
    <w:tmpl w:val="3064FBF0"/>
    <w:lvl w:ilvl="0" w:tplc="B1849ED8">
      <w:start w:val="1"/>
      <w:numFmt w:val="ganada"/>
      <w:lvlText w:val="▪ "/>
      <w:lvlJc w:val="left"/>
      <w:pPr>
        <w:ind w:hanging="360"/>
      </w:pPr>
    </w:lvl>
    <w:lvl w:ilvl="1" w:tplc="4E98AD4C">
      <w:numFmt w:val="decimal"/>
      <w:lvlText w:val=""/>
      <w:lvlJc w:val="left"/>
    </w:lvl>
    <w:lvl w:ilvl="2" w:tplc="B688192C">
      <w:numFmt w:val="decimal"/>
      <w:lvlText w:val=""/>
      <w:lvlJc w:val="left"/>
    </w:lvl>
    <w:lvl w:ilvl="3" w:tplc="ED183D64">
      <w:numFmt w:val="decimal"/>
      <w:lvlText w:val=""/>
      <w:lvlJc w:val="left"/>
    </w:lvl>
    <w:lvl w:ilvl="4" w:tplc="869C834C">
      <w:numFmt w:val="decimal"/>
      <w:lvlText w:val=""/>
      <w:lvlJc w:val="left"/>
    </w:lvl>
    <w:lvl w:ilvl="5" w:tplc="876A553C">
      <w:numFmt w:val="decimal"/>
      <w:lvlText w:val=""/>
      <w:lvlJc w:val="left"/>
    </w:lvl>
    <w:lvl w:ilvl="6" w:tplc="46CC76E2">
      <w:numFmt w:val="decimal"/>
      <w:lvlText w:val=""/>
      <w:lvlJc w:val="left"/>
    </w:lvl>
    <w:lvl w:ilvl="7" w:tplc="5040F6E4">
      <w:numFmt w:val="decimal"/>
      <w:lvlText w:val=""/>
      <w:lvlJc w:val="left"/>
    </w:lvl>
    <w:lvl w:ilvl="8" w:tplc="1F5685CC">
      <w:numFmt w:val="decimal"/>
      <w:lvlText w:val=""/>
      <w:lvlJc w:val="left"/>
    </w:lvl>
  </w:abstractNum>
  <w:abstractNum w:abstractNumId="21">
    <w:nsid w:val="548D6C8C"/>
    <w:multiLevelType w:val="hybridMultilevel"/>
    <w:tmpl w:val="25DCAB9A"/>
    <w:lvl w:ilvl="0" w:tplc="ABA0A680">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56B21FC8"/>
    <w:multiLevelType w:val="hybridMultilevel"/>
    <w:tmpl w:val="FF6EB132"/>
    <w:lvl w:ilvl="0" w:tplc="04090001">
      <w:start w:val="1"/>
      <w:numFmt w:val="bullet"/>
      <w:lvlText w:val=""/>
      <w:lvlJc w:val="left"/>
      <w:pPr>
        <w:ind w:hanging="360"/>
      </w:pPr>
      <w:rPr>
        <w:rFonts w:ascii="Symbol" w:hAnsi="Symbol" w:hint="default"/>
      </w:rPr>
    </w:lvl>
    <w:lvl w:ilvl="1" w:tplc="7F567EB2">
      <w:start w:val="1"/>
      <w:numFmt w:val="decimalEnclosedCircle"/>
      <w:lvlText w:val="◦ "/>
      <w:lvlJc w:val="left"/>
      <w:pPr>
        <w:ind w:hanging="360"/>
      </w:pPr>
    </w:lvl>
    <w:lvl w:ilvl="2" w:tplc="FBAA47F0">
      <w:start w:val="1"/>
      <w:numFmt w:val="ganada"/>
      <w:lvlText w:val="▪ "/>
      <w:lvlJc w:val="left"/>
      <w:pPr>
        <w:ind w:hanging="360"/>
      </w:pPr>
    </w:lvl>
    <w:lvl w:ilvl="3" w:tplc="388E118E">
      <w:numFmt w:val="decimal"/>
      <w:lvlText w:val=""/>
      <w:lvlJc w:val="left"/>
    </w:lvl>
    <w:lvl w:ilvl="4" w:tplc="04090001">
      <w:start w:val="1"/>
      <w:numFmt w:val="bullet"/>
      <w:lvlText w:val=""/>
      <w:lvlJc w:val="left"/>
      <w:rPr>
        <w:rFonts w:ascii="Symbol" w:hAnsi="Symbol" w:hint="default"/>
      </w:rPr>
    </w:lvl>
    <w:lvl w:ilvl="5" w:tplc="312E1F1E">
      <w:numFmt w:val="decimal"/>
      <w:lvlText w:val=""/>
      <w:lvlJc w:val="left"/>
    </w:lvl>
    <w:lvl w:ilvl="6" w:tplc="13364C1A">
      <w:numFmt w:val="decimal"/>
      <w:lvlText w:val=""/>
      <w:lvlJc w:val="left"/>
    </w:lvl>
    <w:lvl w:ilvl="7" w:tplc="133A1C88">
      <w:numFmt w:val="decimal"/>
      <w:lvlText w:val=""/>
      <w:lvlJc w:val="left"/>
    </w:lvl>
    <w:lvl w:ilvl="8" w:tplc="00809524">
      <w:numFmt w:val="decimal"/>
      <w:lvlText w:val=""/>
      <w:lvlJc w:val="left"/>
    </w:lvl>
  </w:abstractNum>
  <w:abstractNum w:abstractNumId="23">
    <w:nsid w:val="57510F6A"/>
    <w:multiLevelType w:val="hybridMultilevel"/>
    <w:tmpl w:val="184467F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4">
    <w:nsid w:val="5C045E3E"/>
    <w:multiLevelType w:val="hybridMultilevel"/>
    <w:tmpl w:val="82324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724F72"/>
    <w:multiLevelType w:val="hybridMultilevel"/>
    <w:tmpl w:val="23E69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A239AC"/>
    <w:multiLevelType w:val="hybridMultilevel"/>
    <w:tmpl w:val="E0F00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5821AB"/>
    <w:multiLevelType w:val="hybridMultilevel"/>
    <w:tmpl w:val="25DCAB9A"/>
    <w:lvl w:ilvl="0" w:tplc="ABA0A680">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6DA22E98"/>
    <w:multiLevelType w:val="hybridMultilevel"/>
    <w:tmpl w:val="61C404EA"/>
    <w:lvl w:ilvl="0" w:tplc="F2F09C54">
      <w:start w:val="1"/>
      <w:numFmt w:val="decimalEnclosedCircle"/>
      <w:lvlText w:val="◦ "/>
      <w:lvlJc w:val="left"/>
      <w:pPr>
        <w:ind w:hanging="360"/>
      </w:pPr>
    </w:lvl>
    <w:lvl w:ilvl="1" w:tplc="D16A474A">
      <w:numFmt w:val="decimal"/>
      <w:lvlText w:val=""/>
      <w:lvlJc w:val="left"/>
    </w:lvl>
    <w:lvl w:ilvl="2" w:tplc="75C4846E">
      <w:numFmt w:val="decimal"/>
      <w:lvlText w:val=""/>
      <w:lvlJc w:val="left"/>
    </w:lvl>
    <w:lvl w:ilvl="3" w:tplc="E27C6B4A">
      <w:numFmt w:val="decimal"/>
      <w:lvlText w:val=""/>
      <w:lvlJc w:val="left"/>
    </w:lvl>
    <w:lvl w:ilvl="4" w:tplc="78806A12">
      <w:numFmt w:val="decimal"/>
      <w:lvlText w:val=""/>
      <w:lvlJc w:val="left"/>
    </w:lvl>
    <w:lvl w:ilvl="5" w:tplc="A4561094">
      <w:numFmt w:val="decimal"/>
      <w:lvlText w:val=""/>
      <w:lvlJc w:val="left"/>
    </w:lvl>
    <w:lvl w:ilvl="6" w:tplc="661E240A">
      <w:numFmt w:val="decimal"/>
      <w:lvlText w:val=""/>
      <w:lvlJc w:val="left"/>
    </w:lvl>
    <w:lvl w:ilvl="7" w:tplc="E2E4F472">
      <w:numFmt w:val="decimal"/>
      <w:lvlText w:val=""/>
      <w:lvlJc w:val="left"/>
    </w:lvl>
    <w:lvl w:ilvl="8" w:tplc="5CC8DFB2">
      <w:numFmt w:val="decimal"/>
      <w:lvlText w:val=""/>
      <w:lvlJc w:val="left"/>
    </w:lvl>
  </w:abstractNum>
  <w:abstractNum w:abstractNumId="29">
    <w:nsid w:val="7058354C"/>
    <w:multiLevelType w:val="hybridMultilevel"/>
    <w:tmpl w:val="C658B530"/>
    <w:lvl w:ilvl="0" w:tplc="6DF02C3C">
      <w:start w:val="1"/>
      <w:numFmt w:val="ganada"/>
      <w:lvlText w:val="▪ "/>
      <w:lvlJc w:val="left"/>
      <w:pPr>
        <w:ind w:hanging="360"/>
      </w:pPr>
    </w:lvl>
    <w:lvl w:ilvl="1" w:tplc="5A54CCE6">
      <w:numFmt w:val="decimal"/>
      <w:lvlText w:val=""/>
      <w:lvlJc w:val="left"/>
    </w:lvl>
    <w:lvl w:ilvl="2" w:tplc="142C18E0">
      <w:numFmt w:val="decimal"/>
      <w:lvlText w:val=""/>
      <w:lvlJc w:val="left"/>
    </w:lvl>
    <w:lvl w:ilvl="3" w:tplc="B2A022E6">
      <w:numFmt w:val="decimal"/>
      <w:lvlText w:val=""/>
      <w:lvlJc w:val="left"/>
    </w:lvl>
    <w:lvl w:ilvl="4" w:tplc="25523306">
      <w:numFmt w:val="decimal"/>
      <w:lvlText w:val=""/>
      <w:lvlJc w:val="left"/>
    </w:lvl>
    <w:lvl w:ilvl="5" w:tplc="DE6A39E8">
      <w:numFmt w:val="decimal"/>
      <w:lvlText w:val=""/>
      <w:lvlJc w:val="left"/>
    </w:lvl>
    <w:lvl w:ilvl="6" w:tplc="EB44246A">
      <w:numFmt w:val="decimal"/>
      <w:lvlText w:val=""/>
      <w:lvlJc w:val="left"/>
    </w:lvl>
    <w:lvl w:ilvl="7" w:tplc="3E4AFC34">
      <w:numFmt w:val="decimal"/>
      <w:lvlText w:val=""/>
      <w:lvlJc w:val="left"/>
    </w:lvl>
    <w:lvl w:ilvl="8" w:tplc="13DEA324">
      <w:numFmt w:val="decimal"/>
      <w:lvlText w:val=""/>
      <w:lvlJc w:val="left"/>
    </w:lvl>
  </w:abstractNum>
  <w:abstractNum w:abstractNumId="30">
    <w:nsid w:val="796F6C66"/>
    <w:multiLevelType w:val="hybridMultilevel"/>
    <w:tmpl w:val="CD0E2A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28"/>
  </w:num>
  <w:num w:numId="4">
    <w:abstractNumId w:val="10"/>
  </w:num>
  <w:num w:numId="5">
    <w:abstractNumId w:val="19"/>
  </w:num>
  <w:num w:numId="6">
    <w:abstractNumId w:val="1"/>
  </w:num>
  <w:num w:numId="7">
    <w:abstractNumId w:val="12"/>
  </w:num>
  <w:num w:numId="8">
    <w:abstractNumId w:val="29"/>
  </w:num>
  <w:num w:numId="9">
    <w:abstractNumId w:val="4"/>
  </w:num>
  <w:num w:numId="10">
    <w:abstractNumId w:val="20"/>
  </w:num>
  <w:num w:numId="11">
    <w:abstractNumId w:val="14"/>
  </w:num>
  <w:num w:numId="12">
    <w:abstractNumId w:val="13"/>
  </w:num>
  <w:num w:numId="13">
    <w:abstractNumId w:val="0"/>
  </w:num>
  <w:num w:numId="14">
    <w:abstractNumId w:val="26"/>
  </w:num>
  <w:num w:numId="15">
    <w:abstractNumId w:val="7"/>
  </w:num>
  <w:num w:numId="16">
    <w:abstractNumId w:val="30"/>
  </w:num>
  <w:num w:numId="17">
    <w:abstractNumId w:val="17"/>
  </w:num>
  <w:num w:numId="18">
    <w:abstractNumId w:val="18"/>
  </w:num>
  <w:num w:numId="19">
    <w:abstractNumId w:val="6"/>
  </w:num>
  <w:num w:numId="20">
    <w:abstractNumId w:val="15"/>
  </w:num>
  <w:num w:numId="21">
    <w:abstractNumId w:val="24"/>
  </w:num>
  <w:num w:numId="22">
    <w:abstractNumId w:val="8"/>
  </w:num>
  <w:num w:numId="23">
    <w:abstractNumId w:val="25"/>
  </w:num>
  <w:num w:numId="24">
    <w:abstractNumId w:val="9"/>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22"/>
  </w:num>
  <w:num w:numId="28">
    <w:abstractNumId w:val="27"/>
  </w:num>
  <w:num w:numId="29">
    <w:abstractNumId w:val="23"/>
  </w:num>
  <w:num w:numId="30">
    <w:abstractNumId w:val="3"/>
  </w:num>
  <w:num w:numId="31">
    <w:abstractNumId w:val="16"/>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581"/>
    <w:rsid w:val="000204AB"/>
    <w:rsid w:val="00026C18"/>
    <w:rsid w:val="000558DD"/>
    <w:rsid w:val="00056425"/>
    <w:rsid w:val="000B7303"/>
    <w:rsid w:val="000C5EDD"/>
    <w:rsid w:val="000E1397"/>
    <w:rsid w:val="000E1FFC"/>
    <w:rsid w:val="000E2734"/>
    <w:rsid w:val="000F4123"/>
    <w:rsid w:val="001410BB"/>
    <w:rsid w:val="00154EEA"/>
    <w:rsid w:val="00164F24"/>
    <w:rsid w:val="00197558"/>
    <w:rsid w:val="001A0D9A"/>
    <w:rsid w:val="00235DD8"/>
    <w:rsid w:val="0024118F"/>
    <w:rsid w:val="0025152A"/>
    <w:rsid w:val="00254C84"/>
    <w:rsid w:val="00261302"/>
    <w:rsid w:val="00280B44"/>
    <w:rsid w:val="002C7013"/>
    <w:rsid w:val="002C763D"/>
    <w:rsid w:val="002D0471"/>
    <w:rsid w:val="002D5CA0"/>
    <w:rsid w:val="00300401"/>
    <w:rsid w:val="00346E12"/>
    <w:rsid w:val="00354581"/>
    <w:rsid w:val="003643AF"/>
    <w:rsid w:val="00366E6F"/>
    <w:rsid w:val="003A2B6F"/>
    <w:rsid w:val="00431A03"/>
    <w:rsid w:val="00475CE3"/>
    <w:rsid w:val="004B09A2"/>
    <w:rsid w:val="004C40B0"/>
    <w:rsid w:val="004C4DF0"/>
    <w:rsid w:val="00502AE5"/>
    <w:rsid w:val="00530B0C"/>
    <w:rsid w:val="005C5A47"/>
    <w:rsid w:val="006005D5"/>
    <w:rsid w:val="00641B08"/>
    <w:rsid w:val="0066246C"/>
    <w:rsid w:val="0068060D"/>
    <w:rsid w:val="006A1F47"/>
    <w:rsid w:val="006C4F0F"/>
    <w:rsid w:val="007249A3"/>
    <w:rsid w:val="007544F4"/>
    <w:rsid w:val="007863AC"/>
    <w:rsid w:val="007B31DC"/>
    <w:rsid w:val="007F3FC6"/>
    <w:rsid w:val="008348B6"/>
    <w:rsid w:val="008646D3"/>
    <w:rsid w:val="008676DC"/>
    <w:rsid w:val="008A00BB"/>
    <w:rsid w:val="008E7CE9"/>
    <w:rsid w:val="0090041A"/>
    <w:rsid w:val="00936A8B"/>
    <w:rsid w:val="00942C6A"/>
    <w:rsid w:val="009435E6"/>
    <w:rsid w:val="009A0E5C"/>
    <w:rsid w:val="009B23D6"/>
    <w:rsid w:val="00A02FFE"/>
    <w:rsid w:val="00A205AE"/>
    <w:rsid w:val="00A259F1"/>
    <w:rsid w:val="00A33373"/>
    <w:rsid w:val="00A36CDE"/>
    <w:rsid w:val="00A467F0"/>
    <w:rsid w:val="00A5660C"/>
    <w:rsid w:val="00A67D7D"/>
    <w:rsid w:val="00AB4B2A"/>
    <w:rsid w:val="00AF511A"/>
    <w:rsid w:val="00B11D9E"/>
    <w:rsid w:val="00B1378C"/>
    <w:rsid w:val="00B540E5"/>
    <w:rsid w:val="00B54FE9"/>
    <w:rsid w:val="00B70243"/>
    <w:rsid w:val="00C444A4"/>
    <w:rsid w:val="00C470E9"/>
    <w:rsid w:val="00C52CD9"/>
    <w:rsid w:val="00C7439A"/>
    <w:rsid w:val="00C967BC"/>
    <w:rsid w:val="00CC7AAD"/>
    <w:rsid w:val="00CF2499"/>
    <w:rsid w:val="00D749F7"/>
    <w:rsid w:val="00DA37E0"/>
    <w:rsid w:val="00DA7CE9"/>
    <w:rsid w:val="00DF0ADF"/>
    <w:rsid w:val="00DF10B7"/>
    <w:rsid w:val="00E114E3"/>
    <w:rsid w:val="00E3133C"/>
    <w:rsid w:val="00E33295"/>
    <w:rsid w:val="00E430E3"/>
    <w:rsid w:val="00E448C5"/>
    <w:rsid w:val="00E45A5B"/>
    <w:rsid w:val="00EA1CDC"/>
    <w:rsid w:val="00ED16AE"/>
    <w:rsid w:val="00EF227F"/>
    <w:rsid w:val="00F04404"/>
    <w:rsid w:val="00F442D3"/>
    <w:rsid w:val="00F73B78"/>
    <w:rsid w:val="00F76594"/>
    <w:rsid w:val="00F90BF2"/>
    <w:rsid w:val="00FB2C20"/>
    <w:rsid w:val="00FE1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3E73"/>
  <w15:docId w15:val="{777F4D34-8D23-4E6E-8281-AC95A58D8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16"/>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AE5"/>
    <w:pPr>
      <w:spacing w:line="276" w:lineRule="auto"/>
      <w:ind w:left="720"/>
      <w:contextualSpacing/>
    </w:pPr>
    <w:rPr>
      <w:rFonts w:ascii="Arial" w:eastAsia="Arial" w:hAnsi="Arial" w:cs="Arial"/>
      <w:color w:val="000000"/>
      <w:kern w:val="0"/>
      <w:sz w:val="22"/>
    </w:rPr>
  </w:style>
  <w:style w:type="paragraph" w:styleId="Header">
    <w:name w:val="header"/>
    <w:basedOn w:val="Normal"/>
    <w:link w:val="HeaderChar"/>
    <w:uiPriority w:val="99"/>
    <w:unhideWhenUsed/>
    <w:rsid w:val="00154EEA"/>
    <w:pPr>
      <w:tabs>
        <w:tab w:val="center" w:pos="4680"/>
        <w:tab w:val="right" w:pos="9360"/>
      </w:tabs>
    </w:pPr>
  </w:style>
  <w:style w:type="character" w:customStyle="1" w:styleId="HeaderChar">
    <w:name w:val="Header Char"/>
    <w:basedOn w:val="DefaultParagraphFont"/>
    <w:link w:val="Header"/>
    <w:uiPriority w:val="99"/>
    <w:rsid w:val="00154EEA"/>
  </w:style>
  <w:style w:type="paragraph" w:styleId="Footer">
    <w:name w:val="footer"/>
    <w:basedOn w:val="Normal"/>
    <w:link w:val="FooterChar"/>
    <w:uiPriority w:val="99"/>
    <w:unhideWhenUsed/>
    <w:rsid w:val="00154EEA"/>
    <w:pPr>
      <w:tabs>
        <w:tab w:val="center" w:pos="4680"/>
        <w:tab w:val="right" w:pos="9360"/>
      </w:tabs>
    </w:pPr>
  </w:style>
  <w:style w:type="character" w:customStyle="1" w:styleId="FooterChar">
    <w:name w:val="Footer Char"/>
    <w:basedOn w:val="DefaultParagraphFont"/>
    <w:link w:val="Footer"/>
    <w:uiPriority w:val="99"/>
    <w:rsid w:val="00154EEA"/>
  </w:style>
  <w:style w:type="table" w:styleId="TableGrid">
    <w:name w:val="Table Grid"/>
    <w:basedOn w:val="TableNormal"/>
    <w:uiPriority w:val="39"/>
    <w:rsid w:val="0025152A"/>
    <w:rPr>
      <w:rFonts w:asciiTheme="minorHAnsi" w:eastAsiaTheme="minorHAnsi" w:hAnsiTheme="minorHAnsi" w:cstheme="minorBidi"/>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3B78"/>
    <w:rPr>
      <w:sz w:val="18"/>
      <w:szCs w:val="18"/>
    </w:rPr>
  </w:style>
  <w:style w:type="character" w:customStyle="1" w:styleId="BalloonTextChar">
    <w:name w:val="Balloon Text Char"/>
    <w:basedOn w:val="DefaultParagraphFont"/>
    <w:link w:val="BalloonText"/>
    <w:uiPriority w:val="99"/>
    <w:semiHidden/>
    <w:rsid w:val="00F73B78"/>
    <w:rPr>
      <w:sz w:val="18"/>
      <w:szCs w:val="18"/>
    </w:rPr>
  </w:style>
  <w:style w:type="character" w:styleId="CommentReference">
    <w:name w:val="annotation reference"/>
    <w:basedOn w:val="DefaultParagraphFont"/>
    <w:uiPriority w:val="99"/>
    <w:semiHidden/>
    <w:unhideWhenUsed/>
    <w:rsid w:val="000E2734"/>
    <w:rPr>
      <w:sz w:val="18"/>
      <w:szCs w:val="18"/>
    </w:rPr>
  </w:style>
  <w:style w:type="paragraph" w:styleId="CommentText">
    <w:name w:val="annotation text"/>
    <w:basedOn w:val="Normal"/>
    <w:link w:val="CommentTextChar"/>
    <w:uiPriority w:val="99"/>
    <w:semiHidden/>
    <w:unhideWhenUsed/>
    <w:rsid w:val="000E2734"/>
    <w:rPr>
      <w:sz w:val="24"/>
      <w:szCs w:val="24"/>
    </w:rPr>
  </w:style>
  <w:style w:type="character" w:customStyle="1" w:styleId="CommentTextChar">
    <w:name w:val="Comment Text Char"/>
    <w:basedOn w:val="DefaultParagraphFont"/>
    <w:link w:val="CommentText"/>
    <w:uiPriority w:val="99"/>
    <w:semiHidden/>
    <w:rsid w:val="000E2734"/>
    <w:rPr>
      <w:sz w:val="24"/>
      <w:szCs w:val="24"/>
    </w:rPr>
  </w:style>
  <w:style w:type="paragraph" w:styleId="CommentSubject">
    <w:name w:val="annotation subject"/>
    <w:basedOn w:val="CommentText"/>
    <w:next w:val="CommentText"/>
    <w:link w:val="CommentSubjectChar"/>
    <w:uiPriority w:val="99"/>
    <w:semiHidden/>
    <w:unhideWhenUsed/>
    <w:rsid w:val="000E2734"/>
    <w:rPr>
      <w:b/>
      <w:bCs/>
      <w:sz w:val="20"/>
      <w:szCs w:val="20"/>
    </w:rPr>
  </w:style>
  <w:style w:type="character" w:customStyle="1" w:styleId="CommentSubjectChar">
    <w:name w:val="Comment Subject Char"/>
    <w:basedOn w:val="CommentTextChar"/>
    <w:link w:val="CommentSubject"/>
    <w:uiPriority w:val="99"/>
    <w:semiHidden/>
    <w:rsid w:val="000E2734"/>
    <w:rPr>
      <w:b/>
      <w:bCs/>
      <w:sz w:val="24"/>
      <w:szCs w:val="24"/>
    </w:rPr>
  </w:style>
  <w:style w:type="paragraph" w:customStyle="1" w:styleId="Default">
    <w:name w:val="Default"/>
    <w:rsid w:val="00197558"/>
    <w:pPr>
      <w:autoSpaceDE w:val="0"/>
      <w:autoSpaceDN w:val="0"/>
      <w:adjustRightInd w:val="0"/>
    </w:pPr>
    <w:rPr>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file:///C:\Users\abeers\AppData\Local\Microsoft\Windows\Temporary%20Internet%20Files\Content.IE5\UYIOHRRP\lou.rohman@merrillcorp.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4B073-2BC9-4168-A885-A42588D46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2125</Words>
  <Characters>12117</Characters>
  <Application>Microsoft Office Word</Application>
  <DocSecurity>4</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14214</CharactersWithSpaces>
  <SharedDoc>false</SharedDoc>
  <HyperlinksChanged>false</HyperlinksChanged>
  <AppVersion>15.0000</AppVersion>
</Properties>
</file>

<file path=docProps/app0.xml><?xml version="1.0" encoding="utf-8"?>
<Properties xmlns="http://schemas.openxmlformats.org/officeDocument/2006/extended-properties">
  <Application>SSC Docx Exporter</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workiva.com</dc:creator>
  <cp:keywords/>
  <dc:description/>
  <cp:lastModifiedBy>Ami Beers</cp:lastModifiedBy>
  <cp:revision>2</cp:revision>
  <dcterms:created xsi:type="dcterms:W3CDTF">2017-02-10T19:39:00Z</dcterms:created>
  <dcterms:modified xsi:type="dcterms:W3CDTF">2017-02-10T19:39:00Z</dcterms:modified>
</cp:coreProperties>
</file>