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FC32F" w14:textId="77777777" w:rsidR="007513CB" w:rsidRPr="00B67C70" w:rsidRDefault="007513CB" w:rsidP="00B67C70">
      <w:pPr>
        <w:spacing w:line="240" w:lineRule="auto"/>
        <w:jc w:val="center"/>
        <w:rPr>
          <w:b/>
          <w:sz w:val="24"/>
          <w:szCs w:val="24"/>
        </w:rPr>
      </w:pPr>
      <w:r w:rsidRPr="00B67C70">
        <w:rPr>
          <w:b/>
          <w:sz w:val="24"/>
          <w:szCs w:val="24"/>
        </w:rPr>
        <w:t>Data Quality Committee</w:t>
      </w:r>
    </w:p>
    <w:p w14:paraId="2BBFAB35" w14:textId="292B78D9" w:rsidR="007513CB" w:rsidRPr="00B67C70" w:rsidRDefault="004A5C42" w:rsidP="00B67C7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November 18</w:t>
      </w:r>
      <w:r w:rsidR="007513CB" w:rsidRPr="00B67C70">
        <w:rPr>
          <w:b/>
          <w:sz w:val="24"/>
          <w:szCs w:val="24"/>
        </w:rPr>
        <w:t>, 2015</w:t>
      </w:r>
    </w:p>
    <w:p w14:paraId="7317CE84" w14:textId="52B26336" w:rsidR="007934CF" w:rsidRPr="00B67C70" w:rsidRDefault="00C575A6" w:rsidP="00B67C7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Webcall</w:t>
      </w:r>
    </w:p>
    <w:p w14:paraId="735A9BFB" w14:textId="77777777" w:rsidR="007513CB" w:rsidRPr="00B67C70" w:rsidRDefault="007513CB" w:rsidP="00B67C70">
      <w:pPr>
        <w:spacing w:line="240" w:lineRule="auto"/>
        <w:jc w:val="center"/>
        <w:rPr>
          <w:b/>
          <w:sz w:val="24"/>
          <w:szCs w:val="24"/>
        </w:rPr>
      </w:pPr>
      <w:r w:rsidRPr="00B67C70">
        <w:rPr>
          <w:b/>
          <w:sz w:val="24"/>
          <w:szCs w:val="24"/>
        </w:rPr>
        <w:t>Meeting Notes</w:t>
      </w:r>
    </w:p>
    <w:p w14:paraId="761EDA1A" w14:textId="77777777" w:rsidR="007513CB" w:rsidRPr="007513CB" w:rsidRDefault="007513CB" w:rsidP="007513CB">
      <w:pPr>
        <w:jc w:val="center"/>
        <w:rPr>
          <w:u w:val="single"/>
        </w:rPr>
      </w:pPr>
    </w:p>
    <w:p w14:paraId="18A20345" w14:textId="77777777" w:rsidR="00B67C70" w:rsidRPr="00B67C70" w:rsidRDefault="00B67C70" w:rsidP="007513CB">
      <w:pPr>
        <w:tabs>
          <w:tab w:val="left" w:pos="1142"/>
          <w:tab w:val="left" w:pos="2328"/>
        </w:tabs>
        <w:rPr>
          <w:rFonts w:eastAsia="Times New Roman"/>
          <w:b/>
        </w:rPr>
      </w:pPr>
      <w:r w:rsidRPr="00B67C70">
        <w:rPr>
          <w:rFonts w:eastAsia="Times New Roman"/>
          <w:b/>
        </w:rPr>
        <w:t>Attendees</w:t>
      </w:r>
    </w:p>
    <w:p w14:paraId="1A64303B" w14:textId="77777777" w:rsidR="007513CB" w:rsidRPr="00B67C70" w:rsidRDefault="007513CB" w:rsidP="00B67C70">
      <w:pPr>
        <w:tabs>
          <w:tab w:val="left" w:pos="1142"/>
          <w:tab w:val="left" w:pos="2328"/>
        </w:tabs>
        <w:rPr>
          <w:rFonts w:eastAsia="Times New Roman"/>
          <w:u w:val="single"/>
        </w:rPr>
      </w:pPr>
      <w:r w:rsidRPr="00B67C70">
        <w:rPr>
          <w:rFonts w:eastAsia="Times New Roman"/>
          <w:u w:val="single"/>
        </w:rPr>
        <w:t>Committee Members</w:t>
      </w:r>
    </w:p>
    <w:p w14:paraId="109B09D3" w14:textId="270D3027" w:rsidR="007513CB" w:rsidRPr="00B67C70" w:rsidRDefault="007513CB" w:rsidP="00B67C70">
      <w:pPr>
        <w:tabs>
          <w:tab w:val="left" w:pos="1142"/>
          <w:tab w:val="left" w:pos="2328"/>
        </w:tabs>
        <w:rPr>
          <w:rFonts w:eastAsia="Times New Roman"/>
        </w:rPr>
      </w:pPr>
      <w:r w:rsidRPr="00B67C70">
        <w:rPr>
          <w:rFonts w:eastAsia="Times New Roman"/>
        </w:rPr>
        <w:t>Mike Starr</w:t>
      </w:r>
      <w:r w:rsidR="00145F54" w:rsidRPr="00B67C70">
        <w:rPr>
          <w:rFonts w:eastAsia="Times New Roman"/>
        </w:rPr>
        <w:t xml:space="preserve">, </w:t>
      </w:r>
      <w:r w:rsidRPr="00B67C70">
        <w:rPr>
          <w:rFonts w:eastAsia="Times New Roman"/>
        </w:rPr>
        <w:t>Chase Bongirno</w:t>
      </w:r>
      <w:r w:rsidR="0063182A">
        <w:rPr>
          <w:rFonts w:eastAsia="Times New Roman"/>
        </w:rPr>
        <w:t>,</w:t>
      </w:r>
      <w:r w:rsidR="00145F54" w:rsidRPr="00B67C70">
        <w:rPr>
          <w:rFonts w:eastAsia="Times New Roman"/>
        </w:rPr>
        <w:t xml:space="preserve"> </w:t>
      </w:r>
      <w:r w:rsidR="0063182A">
        <w:rPr>
          <w:rFonts w:eastAsia="Times New Roman"/>
        </w:rPr>
        <w:t>Emil E</w:t>
      </w:r>
      <w:r w:rsidR="0063182A" w:rsidRPr="0063182A">
        <w:rPr>
          <w:rFonts w:eastAsia="Times New Roman"/>
        </w:rPr>
        <w:t>fthimides</w:t>
      </w:r>
      <w:r w:rsidR="0063182A">
        <w:rPr>
          <w:rFonts w:eastAsia="Times New Roman"/>
        </w:rPr>
        <w:t xml:space="preserve">, </w:t>
      </w:r>
      <w:r w:rsidRPr="00B67C70">
        <w:rPr>
          <w:rFonts w:eastAsia="Times New Roman"/>
        </w:rPr>
        <w:t>Pranav Ghai</w:t>
      </w:r>
      <w:r w:rsidR="00145F54" w:rsidRPr="00B67C70">
        <w:rPr>
          <w:rFonts w:eastAsia="Times New Roman"/>
        </w:rPr>
        <w:t xml:space="preserve">, </w:t>
      </w:r>
      <w:r w:rsidR="00136C56">
        <w:rPr>
          <w:rFonts w:eastAsia="Times New Roman"/>
        </w:rPr>
        <w:t xml:space="preserve">Craig Lewis, </w:t>
      </w:r>
      <w:r w:rsidRPr="00B67C70">
        <w:rPr>
          <w:rFonts w:eastAsia="Times New Roman"/>
        </w:rPr>
        <w:t>Dean Prinsloo</w:t>
      </w:r>
      <w:r w:rsidR="00145F54" w:rsidRPr="00B67C70">
        <w:rPr>
          <w:rFonts w:eastAsia="Times New Roman"/>
        </w:rPr>
        <w:t xml:space="preserve">, </w:t>
      </w:r>
      <w:r>
        <w:t>Campbell Pryde</w:t>
      </w:r>
      <w:r w:rsidR="00145F54">
        <w:t xml:space="preserve">, </w:t>
      </w:r>
      <w:hyperlink r:id="rId6" w:history="1">
        <w:r w:rsidRPr="00B67C70">
          <w:rPr>
            <w:rFonts w:eastAsia="Times New Roman"/>
          </w:rPr>
          <w:t>Lou</w:t>
        </w:r>
      </w:hyperlink>
      <w:r w:rsidRPr="00B67C70">
        <w:rPr>
          <w:rFonts w:eastAsia="Times New Roman"/>
        </w:rPr>
        <w:t xml:space="preserve"> Rohman</w:t>
      </w:r>
      <w:r w:rsidR="00145F54" w:rsidRPr="00B67C70">
        <w:rPr>
          <w:rFonts w:eastAsia="Times New Roman"/>
        </w:rPr>
        <w:t xml:space="preserve">, </w:t>
      </w:r>
      <w:r w:rsidRPr="00B67C70">
        <w:rPr>
          <w:rFonts w:eastAsia="Times New Roman"/>
        </w:rPr>
        <w:t>Mohini Singh</w:t>
      </w:r>
      <w:r w:rsidR="00B05390">
        <w:rPr>
          <w:rFonts w:eastAsia="Times New Roman"/>
        </w:rPr>
        <w:t xml:space="preserve">, </w:t>
      </w:r>
      <w:r w:rsidR="0063182A">
        <w:rPr>
          <w:rFonts w:eastAsia="Times New Roman"/>
        </w:rPr>
        <w:t>Amit Varshney</w:t>
      </w:r>
    </w:p>
    <w:p w14:paraId="26D49495" w14:textId="77777777" w:rsidR="007513CB" w:rsidRDefault="007513CB" w:rsidP="00B9709F">
      <w:pPr>
        <w:widowControl w:val="0"/>
        <w:rPr>
          <w:b/>
        </w:rPr>
      </w:pPr>
    </w:p>
    <w:p w14:paraId="4D404C42" w14:textId="7AE6A340" w:rsidR="007F42ED" w:rsidRPr="00B67C70" w:rsidRDefault="007F42ED" w:rsidP="007F42ED">
      <w:pPr>
        <w:tabs>
          <w:tab w:val="left" w:pos="1142"/>
          <w:tab w:val="left" w:pos="2328"/>
        </w:tabs>
        <w:rPr>
          <w:rFonts w:eastAsia="Times New Roman"/>
        </w:rPr>
      </w:pPr>
      <w:r>
        <w:rPr>
          <w:rFonts w:eastAsia="Times New Roman"/>
        </w:rPr>
        <w:t>Absent: Craig Lewis</w:t>
      </w:r>
      <w:r w:rsidR="008B3B32">
        <w:rPr>
          <w:rFonts w:eastAsia="Times New Roman"/>
        </w:rPr>
        <w:t>, Jeffery Naumann</w:t>
      </w:r>
      <w:r w:rsidR="00FA1BEC">
        <w:rPr>
          <w:rFonts w:eastAsia="Times New Roman"/>
        </w:rPr>
        <w:t xml:space="preserve">, </w:t>
      </w:r>
      <w:r w:rsidR="00FA1BEC" w:rsidRPr="00B67C70">
        <w:rPr>
          <w:rFonts w:eastAsia="Times New Roman"/>
        </w:rPr>
        <w:t>Minu Palani,</w:t>
      </w:r>
    </w:p>
    <w:p w14:paraId="36BA61AF" w14:textId="77777777" w:rsidR="007F42ED" w:rsidRDefault="007F42ED" w:rsidP="00B67C70">
      <w:pPr>
        <w:widowControl w:val="0"/>
        <w:rPr>
          <w:u w:val="single"/>
        </w:rPr>
      </w:pPr>
    </w:p>
    <w:p w14:paraId="4454E30F" w14:textId="77777777" w:rsidR="007513CB" w:rsidRPr="00B67C70" w:rsidRDefault="007513CB" w:rsidP="00B67C70">
      <w:pPr>
        <w:widowControl w:val="0"/>
        <w:rPr>
          <w:u w:val="single"/>
        </w:rPr>
      </w:pPr>
      <w:r w:rsidRPr="00B67C70">
        <w:rPr>
          <w:u w:val="single"/>
        </w:rPr>
        <w:t>Staff</w:t>
      </w:r>
    </w:p>
    <w:p w14:paraId="07978281" w14:textId="6AA47434" w:rsidR="00C840C5" w:rsidRDefault="00145F54" w:rsidP="00B67C70">
      <w:pPr>
        <w:widowControl w:val="0"/>
      </w:pPr>
      <w:r>
        <w:t xml:space="preserve">Ami Beers, </w:t>
      </w:r>
      <w:r w:rsidR="003D4324">
        <w:t>Michelle Savage</w:t>
      </w:r>
      <w:r w:rsidR="000B0F15">
        <w:t>,</w:t>
      </w:r>
      <w:r w:rsidR="003D4324">
        <w:t xml:space="preserve"> </w:t>
      </w:r>
      <w:r w:rsidR="007513CB" w:rsidRPr="007513CB">
        <w:t>David Tauriello</w:t>
      </w:r>
      <w:r>
        <w:t xml:space="preserve">, </w:t>
      </w:r>
      <w:r w:rsidR="007513CB" w:rsidRPr="007513CB">
        <w:t>Susan Yount</w:t>
      </w:r>
    </w:p>
    <w:p w14:paraId="5A765059" w14:textId="77777777" w:rsidR="007513CB" w:rsidRDefault="007513CB" w:rsidP="00B67C70">
      <w:pPr>
        <w:widowControl w:val="0"/>
      </w:pPr>
    </w:p>
    <w:p w14:paraId="07F55D19" w14:textId="77777777" w:rsidR="007513CB" w:rsidRPr="00B67C70" w:rsidRDefault="007513CB" w:rsidP="00B67C70">
      <w:pPr>
        <w:widowControl w:val="0"/>
        <w:rPr>
          <w:u w:val="single"/>
        </w:rPr>
      </w:pPr>
      <w:r w:rsidRPr="00B67C70">
        <w:rPr>
          <w:u w:val="single"/>
        </w:rPr>
        <w:t>Observers</w:t>
      </w:r>
    </w:p>
    <w:p w14:paraId="6B0137BC" w14:textId="00085B1B" w:rsidR="00C840C5" w:rsidRPr="00C840C5" w:rsidRDefault="000B0F15" w:rsidP="00B67C70">
      <w:pPr>
        <w:widowControl w:val="0"/>
      </w:pPr>
      <w:r>
        <w:rPr>
          <w:rFonts w:eastAsia="Times New Roman"/>
        </w:rPr>
        <w:t xml:space="preserve">Glenn Doggett, </w:t>
      </w:r>
      <w:r w:rsidR="00C840C5" w:rsidRPr="00C840C5">
        <w:t>Louis Matherne</w:t>
      </w:r>
    </w:p>
    <w:p w14:paraId="28C41538" w14:textId="77777777" w:rsidR="007513CB" w:rsidRDefault="007513CB" w:rsidP="00B9709F">
      <w:pPr>
        <w:widowControl w:val="0"/>
        <w:rPr>
          <w:b/>
        </w:rPr>
      </w:pPr>
    </w:p>
    <w:p w14:paraId="2070CD29" w14:textId="060D6FE0" w:rsidR="004A5C42" w:rsidRDefault="004A5C42" w:rsidP="004A5C42">
      <w:pPr>
        <w:rPr>
          <w:rFonts w:eastAsia="Times New Roman"/>
          <w:b/>
          <w:bCs/>
          <w:szCs w:val="22"/>
        </w:rPr>
      </w:pPr>
      <w:r w:rsidRPr="00D112AB">
        <w:rPr>
          <w:rFonts w:eastAsia="Times New Roman"/>
          <w:b/>
          <w:bCs/>
          <w:szCs w:val="22"/>
        </w:rPr>
        <w:t>Rules for Publication</w:t>
      </w:r>
    </w:p>
    <w:p w14:paraId="54700FFC" w14:textId="73D872E7" w:rsidR="00ED1B8B" w:rsidRPr="00D112AB" w:rsidRDefault="00C061BF" w:rsidP="004A5C42">
      <w:p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The following rules were presented to the Committee</w:t>
      </w:r>
      <w:r w:rsidR="005F0A30">
        <w:rPr>
          <w:rFonts w:eastAsia="Times New Roman"/>
          <w:bCs/>
          <w:szCs w:val="22"/>
        </w:rPr>
        <w:t xml:space="preserve"> for review:</w:t>
      </w:r>
      <w:r>
        <w:rPr>
          <w:rFonts w:eastAsia="Times New Roman"/>
          <w:bCs/>
          <w:szCs w:val="22"/>
        </w:rPr>
        <w:t xml:space="preserve">  </w:t>
      </w:r>
    </w:p>
    <w:p w14:paraId="227B5FE9" w14:textId="17383E5D" w:rsidR="004A5C42" w:rsidRPr="00D112AB" w:rsidRDefault="004A5C42" w:rsidP="00D112AB">
      <w:pPr>
        <w:pStyle w:val="ListParagraph"/>
        <w:numPr>
          <w:ilvl w:val="0"/>
          <w:numId w:val="24"/>
        </w:numPr>
        <w:rPr>
          <w:rFonts w:eastAsia="Times New Roman"/>
          <w:bCs/>
          <w:szCs w:val="22"/>
        </w:rPr>
      </w:pPr>
      <w:r w:rsidRPr="00D112AB">
        <w:rPr>
          <w:rFonts w:eastAsia="Times New Roman"/>
          <w:bCs/>
          <w:szCs w:val="22"/>
        </w:rPr>
        <w:t>DQC_0004</w:t>
      </w:r>
      <w:r w:rsidR="007F42ED" w:rsidRPr="00D112AB">
        <w:rPr>
          <w:rFonts w:eastAsia="Times New Roman"/>
          <w:bCs/>
          <w:szCs w:val="22"/>
        </w:rPr>
        <w:t xml:space="preserve"> Element Values Are Equal</w:t>
      </w:r>
      <w:r w:rsidR="00C061BF" w:rsidRPr="00D112AB">
        <w:rPr>
          <w:rFonts w:eastAsia="Times New Roman"/>
          <w:bCs/>
          <w:szCs w:val="22"/>
        </w:rPr>
        <w:t xml:space="preserve"> </w:t>
      </w:r>
    </w:p>
    <w:p w14:paraId="54355E4D" w14:textId="7BA3FAEE" w:rsidR="008E1525" w:rsidRPr="00D112AB" w:rsidRDefault="00C061BF" w:rsidP="00D112AB">
      <w:pPr>
        <w:pStyle w:val="ListParagraph"/>
        <w:numPr>
          <w:ilvl w:val="1"/>
          <w:numId w:val="24"/>
        </w:numPr>
        <w:rPr>
          <w:rFonts w:eastAsia="Times New Roman"/>
          <w:bCs/>
          <w:szCs w:val="22"/>
        </w:rPr>
      </w:pPr>
      <w:r w:rsidRPr="009A3492">
        <w:rPr>
          <w:rFonts w:eastAsia="Times New Roman"/>
          <w:bCs/>
          <w:szCs w:val="22"/>
        </w:rPr>
        <w:t xml:space="preserve">Based on discussion during </w:t>
      </w:r>
      <w:r w:rsidR="005F0A30">
        <w:rPr>
          <w:rFonts w:eastAsia="Times New Roman"/>
          <w:bCs/>
          <w:szCs w:val="22"/>
        </w:rPr>
        <w:t>September 2015</w:t>
      </w:r>
      <w:r w:rsidRPr="00D112AB">
        <w:rPr>
          <w:rFonts w:eastAsia="Times New Roman"/>
          <w:bCs/>
          <w:szCs w:val="22"/>
        </w:rPr>
        <w:t xml:space="preserve"> DQC meeting, a t</w:t>
      </w:r>
      <w:r w:rsidR="00ED1B8B" w:rsidRPr="00D112AB">
        <w:rPr>
          <w:rFonts w:eastAsia="Times New Roman"/>
          <w:bCs/>
          <w:szCs w:val="22"/>
        </w:rPr>
        <w:t>olerance</w:t>
      </w:r>
      <w:r w:rsidRPr="00D112AB">
        <w:rPr>
          <w:rFonts w:eastAsia="Times New Roman"/>
          <w:bCs/>
          <w:szCs w:val="22"/>
        </w:rPr>
        <w:t xml:space="preserve"> of 2</w:t>
      </w:r>
      <w:r w:rsidR="005F0A30">
        <w:rPr>
          <w:rFonts w:eastAsia="Times New Roman"/>
          <w:bCs/>
          <w:szCs w:val="22"/>
        </w:rPr>
        <w:t xml:space="preserve"> based on the scale of the values</w:t>
      </w:r>
      <w:r w:rsidR="00ED1B8B" w:rsidRPr="00D112AB">
        <w:rPr>
          <w:rFonts w:eastAsia="Times New Roman"/>
          <w:bCs/>
          <w:szCs w:val="22"/>
        </w:rPr>
        <w:t xml:space="preserve"> was added </w:t>
      </w:r>
      <w:r w:rsidRPr="00D112AB">
        <w:rPr>
          <w:rFonts w:eastAsia="Times New Roman"/>
          <w:bCs/>
          <w:szCs w:val="22"/>
        </w:rPr>
        <w:t>to the rule</w:t>
      </w:r>
      <w:r w:rsidR="00ED1B8B" w:rsidRPr="00D112AB">
        <w:rPr>
          <w:rFonts w:eastAsia="Times New Roman"/>
          <w:bCs/>
          <w:szCs w:val="22"/>
        </w:rPr>
        <w:t>.</w:t>
      </w:r>
    </w:p>
    <w:p w14:paraId="1A5F40C9" w14:textId="77777777" w:rsidR="005926BF" w:rsidRPr="00D112AB" w:rsidRDefault="005926BF" w:rsidP="00D112AB">
      <w:pPr>
        <w:pStyle w:val="ListParagraph"/>
        <w:ind w:left="1440"/>
        <w:rPr>
          <w:rFonts w:eastAsia="Times New Roman"/>
          <w:bCs/>
          <w:szCs w:val="22"/>
        </w:rPr>
      </w:pPr>
    </w:p>
    <w:p w14:paraId="1340080F" w14:textId="2C31FEA0" w:rsidR="007F42ED" w:rsidRPr="00D112AB" w:rsidRDefault="004A5C42" w:rsidP="00D112AB">
      <w:pPr>
        <w:pStyle w:val="ListParagraph"/>
        <w:numPr>
          <w:ilvl w:val="0"/>
          <w:numId w:val="24"/>
        </w:numPr>
        <w:rPr>
          <w:rFonts w:eastAsia="Times New Roman"/>
          <w:bCs/>
          <w:color w:val="auto"/>
          <w:szCs w:val="22"/>
        </w:rPr>
      </w:pPr>
      <w:r w:rsidRPr="00D112AB">
        <w:rPr>
          <w:rFonts w:eastAsia="Times New Roman"/>
          <w:bCs/>
          <w:szCs w:val="22"/>
        </w:rPr>
        <w:t xml:space="preserve">DQC_0005 </w:t>
      </w:r>
      <w:r w:rsidR="007F42ED" w:rsidRPr="00D112AB">
        <w:rPr>
          <w:rFonts w:eastAsia="Times New Roman"/>
          <w:bCs/>
          <w:szCs w:val="22"/>
        </w:rPr>
        <w:t>Context Dates After Period End Dates</w:t>
      </w:r>
      <w:r w:rsidR="00C061BF" w:rsidRPr="00D112AB">
        <w:rPr>
          <w:rFonts w:eastAsia="Times New Roman"/>
          <w:bCs/>
          <w:szCs w:val="22"/>
        </w:rPr>
        <w:t xml:space="preserve"> </w:t>
      </w:r>
    </w:p>
    <w:p w14:paraId="071A6347" w14:textId="77777777" w:rsidR="005926BF" w:rsidRPr="00443435" w:rsidRDefault="005926BF" w:rsidP="005926BF">
      <w:pPr>
        <w:pStyle w:val="ListParagraph"/>
        <w:numPr>
          <w:ilvl w:val="1"/>
          <w:numId w:val="24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No changes</w:t>
      </w:r>
      <w:r w:rsidRPr="00443435">
        <w:rPr>
          <w:rFonts w:eastAsia="Times New Roman"/>
          <w:bCs/>
          <w:color w:val="auto"/>
          <w:szCs w:val="22"/>
        </w:rPr>
        <w:t xml:space="preserve"> from version published during public exposure.</w:t>
      </w:r>
    </w:p>
    <w:p w14:paraId="1BF0EA62" w14:textId="77777777" w:rsidR="00D57E2F" w:rsidRPr="00D112AB" w:rsidRDefault="00D57E2F">
      <w:pPr>
        <w:rPr>
          <w:rFonts w:eastAsia="Times New Roman"/>
          <w:bCs/>
          <w:szCs w:val="22"/>
        </w:rPr>
      </w:pPr>
    </w:p>
    <w:p w14:paraId="25B89062" w14:textId="77777777" w:rsidR="007F42ED" w:rsidRPr="00D112AB" w:rsidRDefault="00AF1258" w:rsidP="00D112AB">
      <w:pPr>
        <w:pStyle w:val="ListParagraph"/>
        <w:numPr>
          <w:ilvl w:val="0"/>
          <w:numId w:val="24"/>
        </w:numPr>
        <w:rPr>
          <w:rFonts w:eastAsia="Times New Roman"/>
          <w:bCs/>
          <w:szCs w:val="22"/>
        </w:rPr>
      </w:pPr>
      <w:r w:rsidRPr="00D112AB">
        <w:rPr>
          <w:rFonts w:eastAsia="Times New Roman"/>
          <w:bCs/>
          <w:szCs w:val="22"/>
        </w:rPr>
        <w:t xml:space="preserve">DQC_0006 </w:t>
      </w:r>
      <w:r w:rsidR="007F42ED" w:rsidRPr="00D112AB">
        <w:rPr>
          <w:rFonts w:eastAsia="Times New Roman"/>
          <w:bCs/>
          <w:szCs w:val="22"/>
        </w:rPr>
        <w:t>DEI and Block Tag Date Contexts</w:t>
      </w:r>
      <w:r w:rsidR="007F42ED" w:rsidRPr="00D112AB">
        <w:rPr>
          <w:szCs w:val="22"/>
        </w:rPr>
        <w:t xml:space="preserve"> </w:t>
      </w:r>
    </w:p>
    <w:p w14:paraId="15F7D241" w14:textId="4A5B4DB5" w:rsidR="004A5C42" w:rsidRPr="009A3492" w:rsidRDefault="00AF1258" w:rsidP="00D112AB">
      <w:pPr>
        <w:pStyle w:val="ListParagraph"/>
        <w:numPr>
          <w:ilvl w:val="1"/>
          <w:numId w:val="24"/>
        </w:numPr>
        <w:rPr>
          <w:rFonts w:eastAsia="Times New Roman"/>
          <w:bCs/>
          <w:szCs w:val="22"/>
        </w:rPr>
      </w:pPr>
      <w:r w:rsidRPr="00D112AB">
        <w:rPr>
          <w:rFonts w:eastAsia="Times New Roman"/>
          <w:bCs/>
          <w:szCs w:val="22"/>
        </w:rPr>
        <w:t xml:space="preserve">During the </w:t>
      </w:r>
      <w:r w:rsidR="005926BF">
        <w:rPr>
          <w:rFonts w:eastAsia="Times New Roman"/>
          <w:bCs/>
          <w:szCs w:val="22"/>
        </w:rPr>
        <w:t>September 2015</w:t>
      </w:r>
      <w:r w:rsidRPr="00D112AB">
        <w:rPr>
          <w:rFonts w:eastAsia="Times New Roman"/>
          <w:bCs/>
          <w:szCs w:val="22"/>
        </w:rPr>
        <w:t xml:space="preserve"> DQC meeting, it was agreed to allow +-15 day range. </w:t>
      </w:r>
      <w:r w:rsidR="00E91AFA">
        <w:rPr>
          <w:rFonts w:eastAsia="Times New Roman"/>
          <w:bCs/>
          <w:szCs w:val="22"/>
        </w:rPr>
        <w:t>Based on further testing</w:t>
      </w:r>
      <w:r w:rsidR="00C061BF" w:rsidRPr="009A3492">
        <w:rPr>
          <w:rFonts w:eastAsia="Times New Roman"/>
          <w:bCs/>
          <w:szCs w:val="22"/>
        </w:rPr>
        <w:t>, th</w:t>
      </w:r>
      <w:r w:rsidR="004A5C42" w:rsidRPr="00D112AB">
        <w:rPr>
          <w:rFonts w:eastAsia="Times New Roman"/>
          <w:bCs/>
          <w:szCs w:val="22"/>
        </w:rPr>
        <w:t xml:space="preserve">e rule was updated to use </w:t>
      </w:r>
      <w:r w:rsidR="00244C05">
        <w:rPr>
          <w:rFonts w:eastAsia="Times New Roman"/>
          <w:bCs/>
          <w:szCs w:val="22"/>
        </w:rPr>
        <w:t>+-</w:t>
      </w:r>
      <w:r w:rsidR="004A5C42" w:rsidRPr="00D112AB">
        <w:rPr>
          <w:rFonts w:eastAsia="Times New Roman"/>
          <w:bCs/>
          <w:szCs w:val="22"/>
        </w:rPr>
        <w:t xml:space="preserve">25 days </w:t>
      </w:r>
      <w:r w:rsidR="00C061BF" w:rsidRPr="009A3492">
        <w:rPr>
          <w:rFonts w:eastAsia="Times New Roman"/>
          <w:bCs/>
          <w:szCs w:val="22"/>
        </w:rPr>
        <w:t>in order to reduce</w:t>
      </w:r>
      <w:r w:rsidR="004A5C42" w:rsidRPr="00D112AB">
        <w:rPr>
          <w:rFonts w:eastAsia="Times New Roman"/>
          <w:bCs/>
          <w:szCs w:val="22"/>
        </w:rPr>
        <w:t xml:space="preserve"> false positive</w:t>
      </w:r>
      <w:r w:rsidR="005F0A30">
        <w:rPr>
          <w:rFonts w:eastAsia="Times New Roman"/>
          <w:bCs/>
          <w:szCs w:val="22"/>
        </w:rPr>
        <w:t xml:space="preserve"> result</w:t>
      </w:r>
      <w:r w:rsidR="004A5C42" w:rsidRPr="00D112AB">
        <w:rPr>
          <w:rFonts w:eastAsia="Times New Roman"/>
          <w:bCs/>
          <w:szCs w:val="22"/>
        </w:rPr>
        <w:t>s</w:t>
      </w:r>
      <w:r w:rsidR="00C061BF" w:rsidRPr="009A3492">
        <w:rPr>
          <w:rFonts w:eastAsia="Times New Roman"/>
          <w:bCs/>
          <w:szCs w:val="22"/>
        </w:rPr>
        <w:t>.</w:t>
      </w:r>
    </w:p>
    <w:p w14:paraId="6CF42AEF" w14:textId="2A05A972" w:rsidR="00916695" w:rsidRPr="00D112AB" w:rsidRDefault="00C061BF" w:rsidP="00D112AB">
      <w:pPr>
        <w:pStyle w:val="ListParagraph"/>
        <w:numPr>
          <w:ilvl w:val="1"/>
          <w:numId w:val="24"/>
        </w:numPr>
        <w:rPr>
          <w:rFonts w:eastAsia="Times New Roman"/>
          <w:bCs/>
          <w:szCs w:val="22"/>
        </w:rPr>
      </w:pPr>
      <w:r w:rsidRPr="009A3492">
        <w:rPr>
          <w:rFonts w:eastAsia="Times New Roman"/>
          <w:bCs/>
          <w:szCs w:val="22"/>
        </w:rPr>
        <w:t>A</w:t>
      </w:r>
      <w:r w:rsidR="00916695" w:rsidRPr="009A3492">
        <w:rPr>
          <w:rFonts w:eastAsia="Times New Roman"/>
          <w:bCs/>
          <w:szCs w:val="22"/>
        </w:rPr>
        <w:t xml:space="preserve"> question</w:t>
      </w:r>
      <w:r w:rsidRPr="009A3492">
        <w:rPr>
          <w:rFonts w:eastAsia="Times New Roman"/>
          <w:bCs/>
          <w:szCs w:val="22"/>
        </w:rPr>
        <w:t xml:space="preserve"> was raised about removing S</w:t>
      </w:r>
      <w:r w:rsidR="00916695" w:rsidRPr="009A3492">
        <w:rPr>
          <w:rFonts w:eastAsia="Times New Roman"/>
          <w:bCs/>
          <w:szCs w:val="22"/>
        </w:rPr>
        <w:t>1 filings from</w:t>
      </w:r>
      <w:r w:rsidRPr="009A3492">
        <w:rPr>
          <w:rFonts w:eastAsia="Times New Roman"/>
          <w:bCs/>
          <w:szCs w:val="22"/>
        </w:rPr>
        <w:t xml:space="preserve"> the test in the</w:t>
      </w:r>
      <w:r w:rsidR="00916695" w:rsidRPr="009A3492">
        <w:rPr>
          <w:rFonts w:eastAsia="Times New Roman"/>
          <w:bCs/>
          <w:szCs w:val="22"/>
        </w:rPr>
        <w:t xml:space="preserve"> rule.  Th</w:t>
      </w:r>
      <w:r w:rsidRPr="009A3492">
        <w:rPr>
          <w:rFonts w:eastAsia="Times New Roman"/>
          <w:bCs/>
          <w:szCs w:val="22"/>
        </w:rPr>
        <w:t>e</w:t>
      </w:r>
      <w:r w:rsidR="00916695" w:rsidRPr="009A3492">
        <w:rPr>
          <w:rFonts w:eastAsia="Times New Roman"/>
          <w:bCs/>
          <w:szCs w:val="22"/>
        </w:rPr>
        <w:t xml:space="preserve"> </w:t>
      </w:r>
      <w:r w:rsidRPr="009A3492">
        <w:rPr>
          <w:rFonts w:eastAsia="Times New Roman"/>
          <w:bCs/>
          <w:szCs w:val="22"/>
        </w:rPr>
        <w:t xml:space="preserve">impact of this addition will need to be analyzed, therefore the topic </w:t>
      </w:r>
      <w:r w:rsidR="00916695" w:rsidRPr="009A3492">
        <w:rPr>
          <w:rFonts w:eastAsia="Times New Roman"/>
          <w:bCs/>
          <w:szCs w:val="22"/>
        </w:rPr>
        <w:t>will be added to rules backlog</w:t>
      </w:r>
      <w:r w:rsidRPr="009A3492">
        <w:rPr>
          <w:rFonts w:eastAsia="Times New Roman"/>
          <w:bCs/>
          <w:szCs w:val="22"/>
        </w:rPr>
        <w:t xml:space="preserve"> list</w:t>
      </w:r>
      <w:r w:rsidR="005F0A30">
        <w:rPr>
          <w:rFonts w:eastAsia="Times New Roman"/>
          <w:bCs/>
          <w:szCs w:val="22"/>
        </w:rPr>
        <w:t xml:space="preserve"> to be addressed under</w:t>
      </w:r>
      <w:r w:rsidR="00D112AB">
        <w:rPr>
          <w:rFonts w:eastAsia="Times New Roman"/>
          <w:bCs/>
          <w:szCs w:val="22"/>
        </w:rPr>
        <w:t xml:space="preserve"> the c</w:t>
      </w:r>
      <w:r w:rsidR="005F0A30">
        <w:rPr>
          <w:rFonts w:eastAsia="Times New Roman"/>
          <w:bCs/>
          <w:szCs w:val="22"/>
        </w:rPr>
        <w:t>ontribute</w:t>
      </w:r>
      <w:r w:rsidR="00D112AB">
        <w:rPr>
          <w:rFonts w:eastAsia="Times New Roman"/>
          <w:bCs/>
          <w:szCs w:val="22"/>
        </w:rPr>
        <w:t>d r</w:t>
      </w:r>
      <w:r w:rsidR="005F0A30">
        <w:rPr>
          <w:rFonts w:eastAsia="Times New Roman"/>
          <w:bCs/>
          <w:szCs w:val="22"/>
        </w:rPr>
        <w:t>ules work stream</w:t>
      </w:r>
      <w:r w:rsidRPr="009A3492">
        <w:rPr>
          <w:rFonts w:eastAsia="Times New Roman"/>
          <w:bCs/>
          <w:szCs w:val="22"/>
        </w:rPr>
        <w:t>.</w:t>
      </w:r>
    </w:p>
    <w:p w14:paraId="385A0F0E" w14:textId="77777777" w:rsidR="00AF1258" w:rsidRPr="00D112AB" w:rsidRDefault="00AF1258">
      <w:pPr>
        <w:rPr>
          <w:rFonts w:eastAsia="Times New Roman"/>
          <w:bCs/>
          <w:szCs w:val="22"/>
        </w:rPr>
      </w:pPr>
    </w:p>
    <w:p w14:paraId="2AA124B6" w14:textId="77777777" w:rsidR="007F42ED" w:rsidRPr="00D112AB" w:rsidRDefault="004A5C42" w:rsidP="00D112AB">
      <w:pPr>
        <w:pStyle w:val="ListParagraph"/>
        <w:numPr>
          <w:ilvl w:val="0"/>
          <w:numId w:val="24"/>
        </w:numPr>
        <w:rPr>
          <w:rFonts w:eastAsia="Times New Roman"/>
          <w:bCs/>
          <w:color w:val="auto"/>
          <w:szCs w:val="22"/>
        </w:rPr>
      </w:pPr>
      <w:r w:rsidRPr="00D112AB">
        <w:rPr>
          <w:rFonts w:eastAsia="Times New Roman"/>
          <w:bCs/>
          <w:szCs w:val="22"/>
        </w:rPr>
        <w:t xml:space="preserve">DQC_0009 </w:t>
      </w:r>
      <w:r w:rsidR="007F42ED" w:rsidRPr="00D112AB">
        <w:rPr>
          <w:rFonts w:eastAsia="Times New Roman"/>
          <w:bCs/>
          <w:szCs w:val="22"/>
        </w:rPr>
        <w:t>Element A Must Be Less Than Or Equal To Element B</w:t>
      </w:r>
      <w:r w:rsidR="007F42ED" w:rsidRPr="00D112AB">
        <w:rPr>
          <w:szCs w:val="22"/>
        </w:rPr>
        <w:t xml:space="preserve"> </w:t>
      </w:r>
    </w:p>
    <w:p w14:paraId="40B1328F" w14:textId="77777777" w:rsidR="005926BF" w:rsidRPr="00443435" w:rsidRDefault="005926BF" w:rsidP="005926BF">
      <w:pPr>
        <w:pStyle w:val="ListParagraph"/>
        <w:numPr>
          <w:ilvl w:val="1"/>
          <w:numId w:val="24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No changes</w:t>
      </w:r>
      <w:r w:rsidRPr="00443435">
        <w:rPr>
          <w:rFonts w:eastAsia="Times New Roman"/>
          <w:bCs/>
          <w:color w:val="auto"/>
          <w:szCs w:val="22"/>
        </w:rPr>
        <w:t xml:space="preserve"> from version published during public exposure.</w:t>
      </w:r>
    </w:p>
    <w:p w14:paraId="3FFA9BA2" w14:textId="77777777" w:rsidR="00AF1258" w:rsidRPr="00D112AB" w:rsidRDefault="00AF1258">
      <w:pPr>
        <w:rPr>
          <w:rFonts w:eastAsia="Times New Roman"/>
          <w:bCs/>
          <w:color w:val="auto"/>
          <w:szCs w:val="22"/>
        </w:rPr>
      </w:pPr>
    </w:p>
    <w:p w14:paraId="2E050BB7" w14:textId="39724FEF" w:rsidR="004A5C42" w:rsidRPr="00D112AB" w:rsidRDefault="004A5C42" w:rsidP="00D112AB">
      <w:pPr>
        <w:pStyle w:val="ListParagraph"/>
        <w:numPr>
          <w:ilvl w:val="0"/>
          <w:numId w:val="24"/>
        </w:numPr>
        <w:rPr>
          <w:rFonts w:eastAsia="Times New Roman"/>
          <w:bCs/>
          <w:szCs w:val="22"/>
        </w:rPr>
      </w:pPr>
      <w:r w:rsidRPr="00D112AB">
        <w:rPr>
          <w:rFonts w:eastAsia="Times New Roman"/>
          <w:bCs/>
          <w:szCs w:val="22"/>
        </w:rPr>
        <w:t>DQC_0015</w:t>
      </w:r>
      <w:r w:rsidR="007F42ED" w:rsidRPr="00D112AB">
        <w:rPr>
          <w:rFonts w:eastAsia="Times New Roman"/>
          <w:bCs/>
          <w:szCs w:val="22"/>
        </w:rPr>
        <w:t xml:space="preserve"> Negative Values</w:t>
      </w:r>
    </w:p>
    <w:p w14:paraId="1E6F9CC5" w14:textId="0CC7F884" w:rsidR="008E1525" w:rsidRDefault="002E7ED0" w:rsidP="00D112AB">
      <w:pPr>
        <w:pStyle w:val="ListParagraph"/>
        <w:numPr>
          <w:ilvl w:val="1"/>
          <w:numId w:val="24"/>
        </w:numPr>
        <w:rPr>
          <w:rFonts w:eastAsia="Times New Roman"/>
          <w:bCs/>
          <w:szCs w:val="22"/>
        </w:rPr>
      </w:pPr>
      <w:r w:rsidRPr="009A3492">
        <w:rPr>
          <w:rFonts w:eastAsia="Times New Roman"/>
          <w:bCs/>
          <w:szCs w:val="22"/>
        </w:rPr>
        <w:t>The</w:t>
      </w:r>
      <w:r w:rsidR="00ED1B8B" w:rsidRPr="00D112AB">
        <w:rPr>
          <w:rFonts w:eastAsia="Times New Roman"/>
          <w:bCs/>
          <w:szCs w:val="22"/>
        </w:rPr>
        <w:t xml:space="preserve"> member exclusions</w:t>
      </w:r>
      <w:r w:rsidRPr="009A3492">
        <w:rPr>
          <w:rFonts w:eastAsia="Times New Roman"/>
          <w:bCs/>
          <w:szCs w:val="22"/>
        </w:rPr>
        <w:t xml:space="preserve"> list was changed to reduce the</w:t>
      </w:r>
      <w:r w:rsidR="005F0A30">
        <w:rPr>
          <w:rFonts w:eastAsia="Times New Roman"/>
          <w:bCs/>
          <w:szCs w:val="22"/>
        </w:rPr>
        <w:t xml:space="preserve"> amount</w:t>
      </w:r>
      <w:r w:rsidRPr="009A3492">
        <w:rPr>
          <w:rFonts w:eastAsia="Times New Roman"/>
          <w:bCs/>
          <w:szCs w:val="22"/>
        </w:rPr>
        <w:t xml:space="preserve"> </w:t>
      </w:r>
      <w:r w:rsidR="00593AFB">
        <w:rPr>
          <w:rFonts w:eastAsia="Times New Roman"/>
          <w:bCs/>
          <w:szCs w:val="22"/>
        </w:rPr>
        <w:t xml:space="preserve">of </w:t>
      </w:r>
      <w:r w:rsidRPr="009A3492">
        <w:rPr>
          <w:rFonts w:eastAsia="Times New Roman"/>
          <w:bCs/>
          <w:szCs w:val="22"/>
        </w:rPr>
        <w:t>text</w:t>
      </w:r>
      <w:r w:rsidR="005F0A30">
        <w:rPr>
          <w:rFonts w:eastAsia="Times New Roman"/>
          <w:bCs/>
          <w:szCs w:val="22"/>
        </w:rPr>
        <w:t xml:space="preserve"> in</w:t>
      </w:r>
      <w:r w:rsidRPr="009A3492">
        <w:rPr>
          <w:rFonts w:eastAsia="Times New Roman"/>
          <w:bCs/>
          <w:szCs w:val="22"/>
        </w:rPr>
        <w:t xml:space="preserve"> words </w:t>
      </w:r>
      <w:r w:rsidR="005F0A30">
        <w:rPr>
          <w:rFonts w:eastAsia="Times New Roman"/>
          <w:bCs/>
          <w:szCs w:val="22"/>
        </w:rPr>
        <w:t xml:space="preserve">used </w:t>
      </w:r>
      <w:r w:rsidRPr="009A3492">
        <w:rPr>
          <w:rFonts w:eastAsia="Times New Roman"/>
          <w:bCs/>
          <w:szCs w:val="22"/>
        </w:rPr>
        <w:t xml:space="preserve">for members </w:t>
      </w:r>
      <w:r w:rsidR="00AA417B" w:rsidRPr="009A3492">
        <w:rPr>
          <w:rFonts w:eastAsia="Times New Roman"/>
          <w:bCs/>
          <w:szCs w:val="22"/>
        </w:rPr>
        <w:t>(e.g</w:t>
      </w:r>
      <w:r w:rsidRPr="009A3492">
        <w:rPr>
          <w:rFonts w:eastAsia="Times New Roman"/>
          <w:bCs/>
          <w:szCs w:val="22"/>
        </w:rPr>
        <w:t>., consolidate changed to</w:t>
      </w:r>
      <w:r w:rsidR="005F0A30">
        <w:rPr>
          <w:rFonts w:eastAsia="Times New Roman"/>
          <w:bCs/>
          <w:szCs w:val="22"/>
        </w:rPr>
        <w:t xml:space="preserve"> consolidat</w:t>
      </w:r>
      <w:r w:rsidR="00AA417B" w:rsidRPr="009A3492">
        <w:rPr>
          <w:rFonts w:eastAsia="Times New Roman"/>
          <w:bCs/>
          <w:szCs w:val="22"/>
        </w:rPr>
        <w:t>)</w:t>
      </w:r>
      <w:r w:rsidR="00ED1B8B" w:rsidRPr="00D112AB">
        <w:rPr>
          <w:rFonts w:eastAsia="Times New Roman"/>
          <w:bCs/>
          <w:szCs w:val="22"/>
        </w:rPr>
        <w:t>.</w:t>
      </w:r>
      <w:r w:rsidR="00ED1B8B" w:rsidRPr="009A3492">
        <w:rPr>
          <w:rFonts w:eastAsia="Times New Roman"/>
          <w:bCs/>
          <w:szCs w:val="22"/>
        </w:rPr>
        <w:t xml:space="preserve">  </w:t>
      </w:r>
      <w:r w:rsidR="00593AFB">
        <w:rPr>
          <w:rFonts w:eastAsia="Times New Roman"/>
          <w:bCs/>
          <w:szCs w:val="22"/>
        </w:rPr>
        <w:t>B</w:t>
      </w:r>
      <w:r w:rsidR="005F0A30">
        <w:rPr>
          <w:rFonts w:eastAsia="Times New Roman"/>
          <w:bCs/>
          <w:szCs w:val="22"/>
        </w:rPr>
        <w:t>y reducing the text,</w:t>
      </w:r>
      <w:r w:rsidR="00AA417B" w:rsidRPr="009A3492">
        <w:rPr>
          <w:rFonts w:eastAsia="Times New Roman"/>
          <w:bCs/>
          <w:szCs w:val="22"/>
        </w:rPr>
        <w:t xml:space="preserve"> more members will be picked up and</w:t>
      </w:r>
      <w:r w:rsidR="00ED1B8B" w:rsidRPr="009A3492">
        <w:rPr>
          <w:rFonts w:eastAsia="Times New Roman"/>
          <w:bCs/>
          <w:szCs w:val="22"/>
        </w:rPr>
        <w:t xml:space="preserve"> false posit</w:t>
      </w:r>
      <w:r w:rsidR="00916695" w:rsidRPr="009A3492">
        <w:rPr>
          <w:rFonts w:eastAsia="Times New Roman"/>
          <w:bCs/>
          <w:szCs w:val="22"/>
        </w:rPr>
        <w:t>i</w:t>
      </w:r>
      <w:r w:rsidR="00ED1B8B" w:rsidRPr="009A3492">
        <w:rPr>
          <w:rFonts w:eastAsia="Times New Roman"/>
          <w:bCs/>
          <w:szCs w:val="22"/>
        </w:rPr>
        <w:t>ve</w:t>
      </w:r>
      <w:r w:rsidR="005F0A30">
        <w:rPr>
          <w:rFonts w:eastAsia="Times New Roman"/>
          <w:bCs/>
          <w:szCs w:val="22"/>
        </w:rPr>
        <w:t xml:space="preserve"> result</w:t>
      </w:r>
      <w:r w:rsidR="00ED1B8B" w:rsidRPr="009A3492">
        <w:rPr>
          <w:rFonts w:eastAsia="Times New Roman"/>
          <w:bCs/>
          <w:szCs w:val="22"/>
        </w:rPr>
        <w:t>s</w:t>
      </w:r>
      <w:r w:rsidR="005F0A30">
        <w:rPr>
          <w:rFonts w:eastAsia="Times New Roman"/>
          <w:bCs/>
          <w:szCs w:val="22"/>
        </w:rPr>
        <w:t xml:space="preserve"> will be</w:t>
      </w:r>
      <w:r w:rsidR="00ED1B8B" w:rsidRPr="009A3492">
        <w:rPr>
          <w:rFonts w:eastAsia="Times New Roman"/>
          <w:bCs/>
          <w:szCs w:val="22"/>
        </w:rPr>
        <w:t xml:space="preserve"> reduced.</w:t>
      </w:r>
      <w:r w:rsidR="007D599C">
        <w:rPr>
          <w:rFonts w:eastAsia="Times New Roman"/>
          <w:bCs/>
          <w:szCs w:val="22"/>
        </w:rPr>
        <w:t xml:space="preserve"> </w:t>
      </w:r>
    </w:p>
    <w:p w14:paraId="315A2A5B" w14:textId="53A64017" w:rsidR="007D599C" w:rsidRDefault="007D599C" w:rsidP="00D52567">
      <w:pPr>
        <w:pStyle w:val="ListParagraph"/>
        <w:numPr>
          <w:ilvl w:val="1"/>
          <w:numId w:val="24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Two additions were made to the member exclusion list</w:t>
      </w:r>
      <w:r w:rsidR="00A01911" w:rsidRPr="00A01911">
        <w:rPr>
          <w:szCs w:val="22"/>
        </w:rPr>
        <w:t xml:space="preserve"> </w:t>
      </w:r>
      <w:r w:rsidR="00A01911">
        <w:rPr>
          <w:szCs w:val="22"/>
        </w:rPr>
        <w:t>based on discussion during the September 2015 DQC meeting</w:t>
      </w:r>
      <w:r>
        <w:rPr>
          <w:rFonts w:eastAsia="Times New Roman"/>
          <w:bCs/>
          <w:szCs w:val="22"/>
        </w:rPr>
        <w:t>:</w:t>
      </w:r>
    </w:p>
    <w:p w14:paraId="50928146" w14:textId="3B218153" w:rsidR="007D599C" w:rsidRPr="00D52567" w:rsidRDefault="007D599C" w:rsidP="00D52567">
      <w:pPr>
        <w:pStyle w:val="ListParagraph"/>
        <w:numPr>
          <w:ilvl w:val="2"/>
          <w:numId w:val="24"/>
        </w:numPr>
        <w:rPr>
          <w:rFonts w:eastAsia="Times New Roman"/>
          <w:bCs/>
          <w:szCs w:val="22"/>
        </w:rPr>
      </w:pPr>
      <w:r w:rsidRPr="00D52567">
        <w:rPr>
          <w:rFonts w:eastAsia="Times New Roman"/>
          <w:bCs/>
          <w:szCs w:val="22"/>
        </w:rPr>
        <w:lastRenderedPageBreak/>
        <w:t>New Accounting Pronouncement Early Adoption Effect Member</w:t>
      </w:r>
    </w:p>
    <w:p w14:paraId="6E958C15" w14:textId="380CA3E3" w:rsidR="007D599C" w:rsidRPr="007D599C" w:rsidRDefault="007D599C" w:rsidP="007D599C">
      <w:pPr>
        <w:pStyle w:val="ListParagraph"/>
        <w:numPr>
          <w:ilvl w:val="2"/>
          <w:numId w:val="24"/>
        </w:numPr>
        <w:rPr>
          <w:rFonts w:eastAsia="Times New Roman"/>
          <w:bCs/>
          <w:szCs w:val="22"/>
        </w:rPr>
      </w:pPr>
      <w:r w:rsidRPr="00D52567">
        <w:rPr>
          <w:rFonts w:eastAsia="Times New Roman"/>
          <w:bCs/>
          <w:szCs w:val="22"/>
        </w:rPr>
        <w:t xml:space="preserve">Member contains the text </w:t>
      </w:r>
      <w:r w:rsidR="00A01911" w:rsidRPr="00D52567">
        <w:rPr>
          <w:rFonts w:eastAsia="Times New Roman"/>
          <w:bCs/>
          <w:szCs w:val="22"/>
        </w:rPr>
        <w:t>“reclass”</w:t>
      </w:r>
    </w:p>
    <w:p w14:paraId="68848663" w14:textId="0867313B" w:rsidR="005926BF" w:rsidRDefault="00F832AA" w:rsidP="00D112AB">
      <w:pPr>
        <w:pStyle w:val="ListParagraph"/>
        <w:numPr>
          <w:ilvl w:val="1"/>
          <w:numId w:val="24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The element Provision For Loan L</w:t>
      </w:r>
      <w:r w:rsidR="00ED1B8B" w:rsidRPr="009A3492">
        <w:rPr>
          <w:rFonts w:eastAsia="Times New Roman"/>
          <w:bCs/>
          <w:szCs w:val="22"/>
        </w:rPr>
        <w:t xml:space="preserve">osses </w:t>
      </w:r>
      <w:r>
        <w:rPr>
          <w:rFonts w:eastAsia="Times New Roman"/>
          <w:bCs/>
          <w:szCs w:val="22"/>
        </w:rPr>
        <w:t>E</w:t>
      </w:r>
      <w:r w:rsidR="00ED1B8B" w:rsidRPr="009A3492">
        <w:rPr>
          <w:rFonts w:eastAsia="Times New Roman"/>
          <w:bCs/>
          <w:szCs w:val="22"/>
        </w:rPr>
        <w:t xml:space="preserve">xpensed was removed from </w:t>
      </w:r>
      <w:r w:rsidR="005F0A30">
        <w:rPr>
          <w:rFonts w:eastAsia="Times New Roman"/>
          <w:bCs/>
          <w:szCs w:val="22"/>
        </w:rPr>
        <w:t xml:space="preserve">the </w:t>
      </w:r>
      <w:r w:rsidR="00ED1B8B" w:rsidRPr="009A3492">
        <w:rPr>
          <w:rFonts w:eastAsia="Times New Roman"/>
          <w:bCs/>
          <w:szCs w:val="22"/>
        </w:rPr>
        <w:t>rule</w:t>
      </w:r>
      <w:r w:rsidR="00AA417B" w:rsidRPr="009A3492">
        <w:rPr>
          <w:rFonts w:eastAsia="Times New Roman"/>
          <w:bCs/>
          <w:szCs w:val="22"/>
        </w:rPr>
        <w:t xml:space="preserve"> based on discussion </w:t>
      </w:r>
      <w:r w:rsidR="00593AFB">
        <w:rPr>
          <w:rFonts w:eastAsia="Times New Roman"/>
          <w:bCs/>
          <w:szCs w:val="22"/>
        </w:rPr>
        <w:t>during</w:t>
      </w:r>
      <w:r w:rsidR="00AA417B" w:rsidRPr="009A3492">
        <w:rPr>
          <w:rFonts w:eastAsia="Times New Roman"/>
          <w:bCs/>
          <w:szCs w:val="22"/>
        </w:rPr>
        <w:t xml:space="preserve"> </w:t>
      </w:r>
      <w:r w:rsidR="00593AFB">
        <w:rPr>
          <w:rFonts w:eastAsia="Times New Roman"/>
          <w:bCs/>
          <w:szCs w:val="22"/>
        </w:rPr>
        <w:t xml:space="preserve">the </w:t>
      </w:r>
      <w:r w:rsidR="005926BF">
        <w:rPr>
          <w:rFonts w:eastAsia="Times New Roman"/>
          <w:bCs/>
          <w:szCs w:val="22"/>
        </w:rPr>
        <w:t>September 2015</w:t>
      </w:r>
      <w:r w:rsidR="00AA417B" w:rsidRPr="009A3492">
        <w:rPr>
          <w:rFonts w:eastAsia="Times New Roman"/>
          <w:bCs/>
          <w:szCs w:val="22"/>
        </w:rPr>
        <w:t xml:space="preserve"> DQC meeting</w:t>
      </w:r>
      <w:r w:rsidR="00823DA6">
        <w:rPr>
          <w:rFonts w:eastAsia="Times New Roman"/>
          <w:bCs/>
          <w:szCs w:val="22"/>
        </w:rPr>
        <w:t>. This element will be added to rules backlog to be addressed under the contributed rules work stream.</w:t>
      </w:r>
    </w:p>
    <w:p w14:paraId="30C8B372" w14:textId="06D27553" w:rsidR="005926BF" w:rsidRPr="00443435" w:rsidRDefault="005926BF" w:rsidP="005926BF">
      <w:pPr>
        <w:pStyle w:val="ListParagraph"/>
        <w:numPr>
          <w:ilvl w:val="1"/>
          <w:numId w:val="24"/>
        </w:numPr>
        <w:rPr>
          <w:rFonts w:eastAsia="Times New Roman"/>
          <w:bCs/>
          <w:szCs w:val="22"/>
        </w:rPr>
      </w:pPr>
      <w:r>
        <w:rPr>
          <w:szCs w:val="22"/>
        </w:rPr>
        <w:t xml:space="preserve">The following members, when used on the Legal Entity Axis, were added to the Member Exclusion list based on discussion </w:t>
      </w:r>
      <w:r w:rsidR="00593AFB">
        <w:rPr>
          <w:szCs w:val="22"/>
        </w:rPr>
        <w:t>during the</w:t>
      </w:r>
      <w:r>
        <w:rPr>
          <w:szCs w:val="22"/>
        </w:rPr>
        <w:t xml:space="preserve"> September 2015 DQC meeting.</w:t>
      </w:r>
    </w:p>
    <w:p w14:paraId="225DF169" w14:textId="77777777" w:rsidR="005926BF" w:rsidRPr="00D112AB" w:rsidRDefault="005926BF" w:rsidP="00D112AB">
      <w:pPr>
        <w:pStyle w:val="ListParagraph"/>
        <w:numPr>
          <w:ilvl w:val="2"/>
          <w:numId w:val="24"/>
        </w:numPr>
        <w:rPr>
          <w:rFonts w:eastAsia="Times New Roman"/>
          <w:bCs/>
          <w:szCs w:val="22"/>
        </w:rPr>
      </w:pPr>
      <w:r w:rsidRPr="00D112AB">
        <w:rPr>
          <w:szCs w:val="22"/>
        </w:rPr>
        <w:t xml:space="preserve">Parent Company [Member] </w:t>
      </w:r>
    </w:p>
    <w:p w14:paraId="311E66C9" w14:textId="77777777" w:rsidR="005926BF" w:rsidRPr="00D112AB" w:rsidRDefault="005926BF" w:rsidP="00D112AB">
      <w:pPr>
        <w:pStyle w:val="ListParagraph"/>
        <w:numPr>
          <w:ilvl w:val="2"/>
          <w:numId w:val="24"/>
        </w:numPr>
        <w:rPr>
          <w:rFonts w:eastAsia="Times New Roman"/>
          <w:bCs/>
          <w:szCs w:val="22"/>
        </w:rPr>
      </w:pPr>
      <w:r w:rsidRPr="00D112AB">
        <w:rPr>
          <w:szCs w:val="22"/>
        </w:rPr>
        <w:t xml:space="preserve">Subsidiaries [Member] </w:t>
      </w:r>
    </w:p>
    <w:p w14:paraId="4FFE8EC1" w14:textId="77777777" w:rsidR="005926BF" w:rsidRPr="00D112AB" w:rsidRDefault="005926BF" w:rsidP="00D112AB">
      <w:pPr>
        <w:pStyle w:val="ListParagraph"/>
        <w:numPr>
          <w:ilvl w:val="2"/>
          <w:numId w:val="24"/>
        </w:numPr>
        <w:rPr>
          <w:rFonts w:eastAsia="Times New Roman"/>
          <w:bCs/>
          <w:szCs w:val="22"/>
        </w:rPr>
      </w:pPr>
      <w:r w:rsidRPr="00D112AB">
        <w:rPr>
          <w:szCs w:val="22"/>
        </w:rPr>
        <w:t xml:space="preserve">Guarantor Subsidiaries [Member] </w:t>
      </w:r>
    </w:p>
    <w:p w14:paraId="64536FEF" w14:textId="73B76BFC" w:rsidR="005926BF" w:rsidRPr="00D52567" w:rsidRDefault="005926BF" w:rsidP="00D112AB">
      <w:pPr>
        <w:pStyle w:val="ListParagraph"/>
        <w:numPr>
          <w:ilvl w:val="2"/>
          <w:numId w:val="24"/>
        </w:numPr>
        <w:rPr>
          <w:rFonts w:eastAsia="Times New Roman"/>
          <w:bCs/>
          <w:szCs w:val="22"/>
        </w:rPr>
      </w:pPr>
      <w:r w:rsidRPr="00D112AB">
        <w:rPr>
          <w:szCs w:val="22"/>
        </w:rPr>
        <w:t xml:space="preserve">NonGuarantor Subsidiaries [Member] </w:t>
      </w:r>
    </w:p>
    <w:p w14:paraId="2BF59064" w14:textId="0758B9B1" w:rsidR="00A01911" w:rsidRPr="00D112AB" w:rsidRDefault="00A01911" w:rsidP="00D52567">
      <w:pPr>
        <w:pStyle w:val="ListParagraph"/>
        <w:numPr>
          <w:ilvl w:val="1"/>
          <w:numId w:val="24"/>
        </w:numPr>
        <w:rPr>
          <w:rFonts w:eastAsia="Times New Roman"/>
          <w:bCs/>
          <w:szCs w:val="22"/>
        </w:rPr>
      </w:pPr>
      <w:r>
        <w:rPr>
          <w:szCs w:val="22"/>
        </w:rPr>
        <w:t>Members used on the Statement Equity Com</w:t>
      </w:r>
      <w:r w:rsidR="00D52567">
        <w:rPr>
          <w:szCs w:val="22"/>
        </w:rPr>
        <w:t>ponents Axis were added to the M</w:t>
      </w:r>
      <w:r>
        <w:rPr>
          <w:szCs w:val="22"/>
        </w:rPr>
        <w:t>emb</w:t>
      </w:r>
      <w:r w:rsidR="00D52567">
        <w:rPr>
          <w:szCs w:val="22"/>
        </w:rPr>
        <w:t>er Exclusion list during the September 2015 DQC meeting.</w:t>
      </w:r>
    </w:p>
    <w:p w14:paraId="38195C67" w14:textId="77777777" w:rsidR="00AF1258" w:rsidRPr="00D112AB" w:rsidRDefault="00AF1258">
      <w:pPr>
        <w:rPr>
          <w:rFonts w:eastAsia="Times New Roman"/>
          <w:bCs/>
          <w:szCs w:val="22"/>
        </w:rPr>
      </w:pPr>
    </w:p>
    <w:p w14:paraId="1A53304D" w14:textId="58A6D072" w:rsidR="007F42ED" w:rsidRPr="00D112AB" w:rsidRDefault="00AF1258" w:rsidP="00D112AB">
      <w:pPr>
        <w:pStyle w:val="ListParagraph"/>
        <w:numPr>
          <w:ilvl w:val="0"/>
          <w:numId w:val="25"/>
        </w:numPr>
        <w:spacing w:line="240" w:lineRule="auto"/>
        <w:contextualSpacing w:val="0"/>
        <w:rPr>
          <w:rFonts w:eastAsia="Times New Roman"/>
          <w:bCs/>
          <w:color w:val="auto"/>
          <w:szCs w:val="22"/>
        </w:rPr>
      </w:pPr>
      <w:r w:rsidRPr="00D112AB">
        <w:rPr>
          <w:rFonts w:eastAsia="Times New Roman"/>
          <w:bCs/>
          <w:szCs w:val="22"/>
        </w:rPr>
        <w:t>DQC_0033</w:t>
      </w:r>
      <w:r w:rsidR="001A7CB3" w:rsidRPr="00D112AB">
        <w:rPr>
          <w:rFonts w:eastAsia="Times New Roman"/>
          <w:bCs/>
          <w:szCs w:val="22"/>
        </w:rPr>
        <w:t xml:space="preserve"> </w:t>
      </w:r>
      <w:r w:rsidR="007F42ED" w:rsidRPr="00D112AB">
        <w:rPr>
          <w:rFonts w:eastAsia="Times New Roman"/>
          <w:bCs/>
          <w:szCs w:val="22"/>
        </w:rPr>
        <w:t>Document Period End Date Context</w:t>
      </w:r>
      <w:r w:rsidR="007F42ED" w:rsidRPr="00D112AB">
        <w:rPr>
          <w:rFonts w:eastAsia="Times New Roman"/>
          <w:bCs/>
          <w:color w:val="auto"/>
          <w:szCs w:val="22"/>
        </w:rPr>
        <w:t xml:space="preserve"> </w:t>
      </w:r>
    </w:p>
    <w:p w14:paraId="0C3162E2" w14:textId="21065ED7" w:rsidR="00AF1258" w:rsidRPr="00D112AB" w:rsidRDefault="00D52567" w:rsidP="00D112AB">
      <w:pPr>
        <w:pStyle w:val="ListParagraph"/>
        <w:numPr>
          <w:ilvl w:val="1"/>
          <w:numId w:val="25"/>
        </w:numPr>
        <w:spacing w:line="240" w:lineRule="auto"/>
        <w:contextualSpacing w:val="0"/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Based on further testing</w:t>
      </w:r>
      <w:r w:rsidR="00F5588A">
        <w:rPr>
          <w:rFonts w:eastAsia="Times New Roman"/>
          <w:bCs/>
          <w:szCs w:val="22"/>
        </w:rPr>
        <w:t>, the elements</w:t>
      </w:r>
      <w:r w:rsidR="001A7CB3" w:rsidRPr="00D112AB">
        <w:rPr>
          <w:rFonts w:eastAsia="Times New Roman"/>
          <w:bCs/>
          <w:color w:val="auto"/>
          <w:szCs w:val="22"/>
        </w:rPr>
        <w:t xml:space="preserve"> Entity</w:t>
      </w:r>
      <w:r w:rsidR="00F832AA">
        <w:rPr>
          <w:rFonts w:eastAsia="Times New Roman"/>
          <w:bCs/>
          <w:color w:val="auto"/>
          <w:szCs w:val="22"/>
        </w:rPr>
        <w:t xml:space="preserve"> </w:t>
      </w:r>
      <w:r w:rsidR="001A7CB3" w:rsidRPr="00D112AB">
        <w:rPr>
          <w:rFonts w:eastAsia="Times New Roman"/>
          <w:bCs/>
          <w:color w:val="auto"/>
          <w:szCs w:val="22"/>
        </w:rPr>
        <w:t>Number</w:t>
      </w:r>
      <w:r w:rsidR="00F832AA">
        <w:rPr>
          <w:rFonts w:eastAsia="Times New Roman"/>
          <w:bCs/>
          <w:color w:val="auto"/>
          <w:szCs w:val="22"/>
        </w:rPr>
        <w:t xml:space="preserve"> </w:t>
      </w:r>
      <w:r w:rsidR="001A7CB3" w:rsidRPr="00D112AB">
        <w:rPr>
          <w:rFonts w:eastAsia="Times New Roman"/>
          <w:bCs/>
          <w:color w:val="auto"/>
          <w:szCs w:val="22"/>
        </w:rPr>
        <w:t>Of</w:t>
      </w:r>
      <w:r w:rsidR="00F832AA">
        <w:rPr>
          <w:rFonts w:eastAsia="Times New Roman"/>
          <w:bCs/>
          <w:color w:val="auto"/>
          <w:szCs w:val="22"/>
        </w:rPr>
        <w:t xml:space="preserve"> </w:t>
      </w:r>
      <w:r w:rsidR="001A7CB3" w:rsidRPr="00D112AB">
        <w:rPr>
          <w:rFonts w:eastAsia="Times New Roman"/>
          <w:bCs/>
          <w:color w:val="auto"/>
          <w:szCs w:val="22"/>
        </w:rPr>
        <w:t>Employees and Entity</w:t>
      </w:r>
      <w:r w:rsidR="00F832AA">
        <w:rPr>
          <w:rFonts w:eastAsia="Times New Roman"/>
          <w:bCs/>
          <w:color w:val="auto"/>
          <w:szCs w:val="22"/>
        </w:rPr>
        <w:t xml:space="preserve"> </w:t>
      </w:r>
      <w:r w:rsidR="001A7CB3" w:rsidRPr="00D112AB">
        <w:rPr>
          <w:rFonts w:eastAsia="Times New Roman"/>
          <w:bCs/>
          <w:color w:val="auto"/>
          <w:szCs w:val="22"/>
        </w:rPr>
        <w:t>Listing</w:t>
      </w:r>
      <w:r w:rsidR="00F832AA">
        <w:rPr>
          <w:rFonts w:eastAsia="Times New Roman"/>
          <w:bCs/>
          <w:color w:val="auto"/>
          <w:szCs w:val="22"/>
        </w:rPr>
        <w:t xml:space="preserve"> </w:t>
      </w:r>
      <w:r w:rsidR="001A7CB3" w:rsidRPr="00D112AB">
        <w:rPr>
          <w:rFonts w:eastAsia="Times New Roman"/>
          <w:bCs/>
          <w:color w:val="auto"/>
          <w:szCs w:val="22"/>
        </w:rPr>
        <w:t>Depository</w:t>
      </w:r>
      <w:r w:rsidR="00F832AA">
        <w:rPr>
          <w:rFonts w:eastAsia="Times New Roman"/>
          <w:bCs/>
          <w:color w:val="auto"/>
          <w:szCs w:val="22"/>
        </w:rPr>
        <w:t xml:space="preserve"> </w:t>
      </w:r>
      <w:r w:rsidR="001A7CB3" w:rsidRPr="00D112AB">
        <w:rPr>
          <w:rFonts w:eastAsia="Times New Roman"/>
          <w:bCs/>
          <w:color w:val="auto"/>
          <w:szCs w:val="22"/>
        </w:rPr>
        <w:t>Receipt</w:t>
      </w:r>
      <w:r w:rsidR="00F832AA">
        <w:rPr>
          <w:rFonts w:eastAsia="Times New Roman"/>
          <w:bCs/>
          <w:color w:val="auto"/>
          <w:szCs w:val="22"/>
        </w:rPr>
        <w:t xml:space="preserve"> </w:t>
      </w:r>
      <w:r w:rsidR="001A7CB3" w:rsidRPr="00D112AB">
        <w:rPr>
          <w:rFonts w:eastAsia="Times New Roman"/>
          <w:bCs/>
          <w:color w:val="auto"/>
          <w:szCs w:val="22"/>
        </w:rPr>
        <w:t>Ratio</w:t>
      </w:r>
      <w:r w:rsidR="005F0A30">
        <w:rPr>
          <w:rFonts w:eastAsia="Times New Roman"/>
          <w:bCs/>
          <w:color w:val="auto"/>
          <w:szCs w:val="22"/>
        </w:rPr>
        <w:t>,</w:t>
      </w:r>
      <w:r w:rsidR="001A7CB3" w:rsidRPr="00D112AB">
        <w:rPr>
          <w:rFonts w:eastAsia="Times New Roman"/>
          <w:bCs/>
          <w:color w:val="auto"/>
          <w:szCs w:val="22"/>
        </w:rPr>
        <w:t xml:space="preserve"> were added to the list of the elements excluded from the test. </w:t>
      </w:r>
      <w:r w:rsidR="00AA417B" w:rsidRPr="009A3492">
        <w:rPr>
          <w:rFonts w:eastAsia="Times New Roman"/>
          <w:bCs/>
          <w:color w:val="auto"/>
          <w:szCs w:val="22"/>
        </w:rPr>
        <w:t>This was changed to reduce</w:t>
      </w:r>
      <w:r w:rsidR="00ED1B8B" w:rsidRPr="009A3492">
        <w:rPr>
          <w:rFonts w:eastAsia="Times New Roman"/>
          <w:bCs/>
          <w:color w:val="auto"/>
          <w:szCs w:val="22"/>
        </w:rPr>
        <w:t xml:space="preserve"> fals</w:t>
      </w:r>
      <w:r w:rsidR="00AA417B" w:rsidRPr="009A3492">
        <w:rPr>
          <w:rFonts w:eastAsia="Times New Roman"/>
          <w:bCs/>
          <w:color w:val="auto"/>
          <w:szCs w:val="22"/>
        </w:rPr>
        <w:t>e positive</w:t>
      </w:r>
      <w:r w:rsidR="005F0A30">
        <w:rPr>
          <w:rFonts w:eastAsia="Times New Roman"/>
          <w:bCs/>
          <w:color w:val="auto"/>
          <w:szCs w:val="22"/>
        </w:rPr>
        <w:t xml:space="preserve"> results</w:t>
      </w:r>
      <w:r w:rsidR="00AA417B" w:rsidRPr="009A3492">
        <w:rPr>
          <w:rFonts w:eastAsia="Times New Roman"/>
          <w:bCs/>
          <w:color w:val="auto"/>
          <w:szCs w:val="22"/>
        </w:rPr>
        <w:t>.</w:t>
      </w:r>
    </w:p>
    <w:p w14:paraId="52E6AD66" w14:textId="77777777" w:rsidR="00AA417B" w:rsidRPr="00D112AB" w:rsidRDefault="00AA417B" w:rsidP="00D112AB">
      <w:pPr>
        <w:pStyle w:val="ListParagraph"/>
        <w:spacing w:line="240" w:lineRule="auto"/>
        <w:ind w:left="1440"/>
        <w:contextualSpacing w:val="0"/>
        <w:rPr>
          <w:rFonts w:eastAsia="Times New Roman"/>
          <w:bCs/>
          <w:szCs w:val="22"/>
        </w:rPr>
      </w:pPr>
    </w:p>
    <w:p w14:paraId="129799EE" w14:textId="5824B4FC" w:rsidR="007F42ED" w:rsidRPr="00D112AB" w:rsidRDefault="004A5C42" w:rsidP="00D112AB">
      <w:pPr>
        <w:pStyle w:val="ListParagraph"/>
        <w:numPr>
          <w:ilvl w:val="0"/>
          <w:numId w:val="24"/>
        </w:numPr>
        <w:rPr>
          <w:rFonts w:eastAsia="Times New Roman"/>
          <w:bCs/>
          <w:color w:val="auto"/>
          <w:szCs w:val="22"/>
        </w:rPr>
      </w:pPr>
      <w:r w:rsidRPr="00D112AB">
        <w:rPr>
          <w:rFonts w:eastAsia="Times New Roman"/>
          <w:bCs/>
          <w:szCs w:val="22"/>
        </w:rPr>
        <w:t>DQC_0036</w:t>
      </w:r>
      <w:r w:rsidR="007F42ED" w:rsidRPr="00D112AB">
        <w:rPr>
          <w:rFonts w:eastAsia="Times New Roman"/>
          <w:bCs/>
          <w:szCs w:val="22"/>
        </w:rPr>
        <w:t xml:space="preserve"> </w:t>
      </w:r>
    </w:p>
    <w:p w14:paraId="11A30C52" w14:textId="28ED053B" w:rsidR="004A5C42" w:rsidRPr="00D112AB" w:rsidRDefault="005926BF" w:rsidP="00D112AB">
      <w:pPr>
        <w:pStyle w:val="ListParagraph"/>
        <w:numPr>
          <w:ilvl w:val="1"/>
          <w:numId w:val="24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No changes</w:t>
      </w:r>
      <w:r w:rsidR="004A5C42" w:rsidRPr="00D112AB">
        <w:rPr>
          <w:rFonts w:eastAsia="Times New Roman"/>
          <w:bCs/>
          <w:color w:val="auto"/>
          <w:szCs w:val="22"/>
        </w:rPr>
        <w:t xml:space="preserve"> from version published during public exposure</w:t>
      </w:r>
      <w:r w:rsidR="00AF1258" w:rsidRPr="00D112AB">
        <w:rPr>
          <w:rFonts w:eastAsia="Times New Roman"/>
          <w:bCs/>
          <w:color w:val="auto"/>
          <w:szCs w:val="22"/>
        </w:rPr>
        <w:t>.</w:t>
      </w:r>
    </w:p>
    <w:p w14:paraId="457FF52F" w14:textId="77777777" w:rsidR="00C061BF" w:rsidRDefault="00C061BF" w:rsidP="00D112AB">
      <w:pPr>
        <w:ind w:left="720"/>
        <w:rPr>
          <w:rFonts w:eastAsia="Times New Roman"/>
        </w:rPr>
      </w:pPr>
    </w:p>
    <w:p w14:paraId="3B138678" w14:textId="6D79F375" w:rsidR="00916695" w:rsidRDefault="00C061BF" w:rsidP="00D112AB">
      <w:pPr>
        <w:ind w:left="720"/>
        <w:rPr>
          <w:rFonts w:eastAsia="Times New Roman"/>
          <w:bCs/>
          <w:color w:val="auto"/>
          <w:szCs w:val="22"/>
        </w:rPr>
      </w:pPr>
      <w:r>
        <w:rPr>
          <w:rFonts w:eastAsia="Times New Roman"/>
        </w:rPr>
        <w:t xml:space="preserve">Motion to </w:t>
      </w:r>
      <w:r w:rsidR="00FA1BEC">
        <w:rPr>
          <w:rFonts w:eastAsia="Times New Roman"/>
        </w:rPr>
        <w:t xml:space="preserve">approve </w:t>
      </w:r>
      <w:r>
        <w:rPr>
          <w:rFonts w:eastAsia="Times New Roman"/>
        </w:rPr>
        <w:t xml:space="preserve">rules: </w:t>
      </w:r>
      <w:r w:rsidR="00AA417B">
        <w:rPr>
          <w:rFonts w:eastAsia="Times New Roman"/>
        </w:rPr>
        <w:t>DQC_</w:t>
      </w:r>
      <w:r>
        <w:rPr>
          <w:rFonts w:eastAsia="Times New Roman"/>
        </w:rPr>
        <w:t xml:space="preserve">0004, </w:t>
      </w:r>
      <w:r w:rsidR="005F0A30">
        <w:rPr>
          <w:rFonts w:eastAsia="Times New Roman"/>
        </w:rPr>
        <w:t>DQC_</w:t>
      </w:r>
      <w:r>
        <w:rPr>
          <w:rFonts w:eastAsia="Times New Roman"/>
        </w:rPr>
        <w:t xml:space="preserve">0005, </w:t>
      </w:r>
      <w:r w:rsidR="00AA417B">
        <w:rPr>
          <w:rFonts w:eastAsia="Times New Roman"/>
        </w:rPr>
        <w:t>DQC_</w:t>
      </w:r>
      <w:r>
        <w:rPr>
          <w:rFonts w:eastAsia="Times New Roman"/>
        </w:rPr>
        <w:t xml:space="preserve">0006, </w:t>
      </w:r>
      <w:r w:rsidR="00AA417B">
        <w:rPr>
          <w:rFonts w:eastAsia="Times New Roman"/>
        </w:rPr>
        <w:t>DQC_</w:t>
      </w:r>
      <w:r>
        <w:rPr>
          <w:rFonts w:eastAsia="Times New Roman"/>
        </w:rPr>
        <w:t xml:space="preserve">0009, </w:t>
      </w:r>
      <w:r w:rsidR="00AA417B">
        <w:rPr>
          <w:rFonts w:eastAsia="Times New Roman"/>
        </w:rPr>
        <w:t>DQC_</w:t>
      </w:r>
      <w:r>
        <w:rPr>
          <w:rFonts w:eastAsia="Times New Roman"/>
        </w:rPr>
        <w:t xml:space="preserve">0015, </w:t>
      </w:r>
      <w:r w:rsidR="00AA417B">
        <w:rPr>
          <w:rFonts w:eastAsia="Times New Roman"/>
        </w:rPr>
        <w:t>DQC_</w:t>
      </w:r>
      <w:r>
        <w:rPr>
          <w:rFonts w:eastAsia="Times New Roman"/>
        </w:rPr>
        <w:t xml:space="preserve">0033 and </w:t>
      </w:r>
      <w:r w:rsidR="00AA417B">
        <w:rPr>
          <w:rFonts w:eastAsia="Times New Roman"/>
        </w:rPr>
        <w:t>DQC_</w:t>
      </w:r>
      <w:r>
        <w:rPr>
          <w:rFonts w:eastAsia="Times New Roman"/>
        </w:rPr>
        <w:t>0036 for Final publication.</w:t>
      </w:r>
      <w:r w:rsidR="00FA1BEC">
        <w:rPr>
          <w:rFonts w:eastAsia="Times New Roman"/>
        </w:rPr>
        <w:t xml:space="preserve"> </w:t>
      </w:r>
      <w:r w:rsidR="00916695">
        <w:rPr>
          <w:rFonts w:eastAsia="Times New Roman"/>
          <w:bCs/>
          <w:color w:val="auto"/>
          <w:szCs w:val="22"/>
        </w:rPr>
        <w:t>Motion</w:t>
      </w:r>
      <w:r>
        <w:rPr>
          <w:rFonts w:eastAsia="Times New Roman"/>
          <w:bCs/>
          <w:color w:val="auto"/>
          <w:szCs w:val="22"/>
        </w:rPr>
        <w:t xml:space="preserve"> made by </w:t>
      </w:r>
      <w:r w:rsidRPr="00B67C70">
        <w:rPr>
          <w:rFonts w:eastAsia="Times New Roman"/>
        </w:rPr>
        <w:t>Chase Bongirno</w:t>
      </w:r>
      <w:r>
        <w:rPr>
          <w:rFonts w:eastAsia="Times New Roman"/>
        </w:rPr>
        <w:t>,</w:t>
      </w:r>
      <w:r w:rsidR="00916695">
        <w:rPr>
          <w:rFonts w:eastAsia="Times New Roman"/>
          <w:bCs/>
          <w:color w:val="auto"/>
          <w:szCs w:val="22"/>
        </w:rPr>
        <w:t xml:space="preserve"> seconded</w:t>
      </w:r>
      <w:r>
        <w:rPr>
          <w:rFonts w:eastAsia="Times New Roman"/>
          <w:bCs/>
          <w:color w:val="auto"/>
          <w:szCs w:val="22"/>
        </w:rPr>
        <w:t xml:space="preserve"> by Lou Rohman.  </w:t>
      </w:r>
    </w:p>
    <w:p w14:paraId="49FBA12E" w14:textId="77777777" w:rsidR="005926BF" w:rsidRDefault="005926BF" w:rsidP="00D112AB">
      <w:pPr>
        <w:ind w:left="720"/>
        <w:rPr>
          <w:rFonts w:eastAsia="Times New Roman"/>
          <w:bCs/>
          <w:color w:val="auto"/>
          <w:szCs w:val="22"/>
        </w:rPr>
      </w:pPr>
    </w:p>
    <w:p w14:paraId="4D11C370" w14:textId="47E8F7E4" w:rsidR="00916695" w:rsidRPr="00D112AB" w:rsidRDefault="00916695" w:rsidP="00D112AB">
      <w:pPr>
        <w:ind w:left="720"/>
        <w:rPr>
          <w:rFonts w:eastAsia="Times New Roman"/>
          <w:bCs/>
          <w:color w:val="auto"/>
          <w:szCs w:val="22"/>
        </w:rPr>
      </w:pPr>
      <w:r w:rsidRPr="00D112AB">
        <w:rPr>
          <w:rFonts w:eastAsia="Times New Roman"/>
          <w:bCs/>
          <w:color w:val="auto"/>
          <w:szCs w:val="22"/>
        </w:rPr>
        <w:t xml:space="preserve">Vote </w:t>
      </w:r>
      <w:r w:rsidR="00C061BF" w:rsidRPr="00D112AB">
        <w:rPr>
          <w:rFonts w:eastAsia="Times New Roman"/>
          <w:bCs/>
          <w:color w:val="auto"/>
          <w:szCs w:val="22"/>
        </w:rPr>
        <w:t>(10 For, 0 Against)</w:t>
      </w:r>
    </w:p>
    <w:p w14:paraId="3C13351A" w14:textId="77777777" w:rsidR="00C061BF" w:rsidRDefault="00C061BF" w:rsidP="00D112AB">
      <w:pPr>
        <w:pStyle w:val="ListParagraph"/>
        <w:ind w:firstLine="720"/>
        <w:rPr>
          <w:rFonts w:eastAsia="Times New Roman"/>
          <w:bCs/>
          <w:color w:val="auto"/>
          <w:szCs w:val="22"/>
        </w:rPr>
      </w:pPr>
    </w:p>
    <w:p w14:paraId="33ECAFF8" w14:textId="0E0AC051" w:rsidR="00C061BF" w:rsidRDefault="00C061BF" w:rsidP="00D112AB">
      <w:pPr>
        <w:pStyle w:val="ListParagraph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passed.  </w:t>
      </w:r>
      <w:r>
        <w:rPr>
          <w:rFonts w:eastAsia="Times New Roman"/>
        </w:rPr>
        <w:t>DQC rules:</w:t>
      </w:r>
      <w:r w:rsidR="005F0A30">
        <w:rPr>
          <w:rFonts w:eastAsia="Times New Roman"/>
        </w:rPr>
        <w:t xml:space="preserve"> DQC_</w:t>
      </w:r>
      <w:r>
        <w:rPr>
          <w:rFonts w:eastAsia="Times New Roman"/>
        </w:rPr>
        <w:t xml:space="preserve">0004, </w:t>
      </w:r>
      <w:r w:rsidR="005F0A30">
        <w:rPr>
          <w:rFonts w:eastAsia="Times New Roman"/>
        </w:rPr>
        <w:t>DQC_</w:t>
      </w:r>
      <w:r>
        <w:rPr>
          <w:rFonts w:eastAsia="Times New Roman"/>
        </w:rPr>
        <w:t xml:space="preserve">0005, </w:t>
      </w:r>
      <w:r w:rsidR="005F0A30">
        <w:rPr>
          <w:rFonts w:eastAsia="Times New Roman"/>
        </w:rPr>
        <w:t xml:space="preserve">DQC_0006, DQC_0009, DQC_0015, DQC_0033 and DQC_0036 </w:t>
      </w:r>
      <w:r>
        <w:rPr>
          <w:rFonts w:eastAsia="Times New Roman"/>
        </w:rPr>
        <w:t>approved for final publication</w:t>
      </w:r>
      <w:r w:rsidR="005926BF">
        <w:rPr>
          <w:rFonts w:eastAsia="Times New Roman"/>
        </w:rPr>
        <w:t>.</w:t>
      </w:r>
    </w:p>
    <w:p w14:paraId="59501F62" w14:textId="77777777" w:rsidR="00AF1258" w:rsidRPr="00D112AB" w:rsidRDefault="00AF1258" w:rsidP="006F3B19">
      <w:pPr>
        <w:pStyle w:val="ListParagraph"/>
        <w:ind w:left="0"/>
        <w:rPr>
          <w:rFonts w:eastAsia="Times New Roman"/>
          <w:b/>
          <w:bCs/>
          <w:szCs w:val="22"/>
        </w:rPr>
      </w:pPr>
    </w:p>
    <w:p w14:paraId="24837348" w14:textId="77777777" w:rsidR="004A5C42" w:rsidRPr="00D112AB" w:rsidRDefault="004A5C42" w:rsidP="006F3B19">
      <w:pPr>
        <w:pStyle w:val="ListParagraph"/>
        <w:ind w:left="0"/>
        <w:rPr>
          <w:b/>
          <w:szCs w:val="22"/>
        </w:rPr>
      </w:pPr>
      <w:r w:rsidRPr="00D112AB">
        <w:rPr>
          <w:b/>
          <w:szCs w:val="22"/>
        </w:rPr>
        <w:t>Effective Dates for Final Published Rules</w:t>
      </w:r>
      <w:r w:rsidRPr="00D112AB" w:rsidDel="004A5C42">
        <w:rPr>
          <w:b/>
          <w:szCs w:val="22"/>
        </w:rPr>
        <w:t xml:space="preserve"> </w:t>
      </w:r>
    </w:p>
    <w:p w14:paraId="15B32767" w14:textId="00A31844" w:rsidR="00AA417B" w:rsidRPr="00723909" w:rsidRDefault="00AA417B" w:rsidP="00AA417B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Final r</w:t>
      </w:r>
      <w:r w:rsidRPr="00723909">
        <w:rPr>
          <w:szCs w:val="22"/>
        </w:rPr>
        <w:t xml:space="preserve">ules will be published and </w:t>
      </w:r>
      <w:r>
        <w:rPr>
          <w:szCs w:val="22"/>
        </w:rPr>
        <w:t xml:space="preserve">made </w:t>
      </w:r>
      <w:r w:rsidRPr="00723909">
        <w:rPr>
          <w:szCs w:val="22"/>
        </w:rPr>
        <w:t>available on</w:t>
      </w:r>
      <w:r w:rsidR="00DB6ABF">
        <w:rPr>
          <w:szCs w:val="22"/>
        </w:rPr>
        <w:t xml:space="preserve"> the</w:t>
      </w:r>
      <w:r w:rsidRPr="00723909">
        <w:rPr>
          <w:szCs w:val="22"/>
        </w:rPr>
        <w:t xml:space="preserve"> </w:t>
      </w:r>
      <w:r>
        <w:rPr>
          <w:szCs w:val="22"/>
        </w:rPr>
        <w:t>Arel</w:t>
      </w:r>
      <w:r w:rsidRPr="00723909">
        <w:rPr>
          <w:szCs w:val="22"/>
        </w:rPr>
        <w:t>le platform immediately.</w:t>
      </w:r>
    </w:p>
    <w:p w14:paraId="3ADE0184" w14:textId="4B6C219D" w:rsidR="008E1525" w:rsidRPr="00D112AB" w:rsidRDefault="00DB6ABF" w:rsidP="00D112AB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In order to provide vendors </w:t>
      </w:r>
      <w:r w:rsidR="005926BF">
        <w:rPr>
          <w:szCs w:val="22"/>
        </w:rPr>
        <w:t xml:space="preserve">adequate </w:t>
      </w:r>
      <w:r>
        <w:rPr>
          <w:szCs w:val="22"/>
        </w:rPr>
        <w:t>time to implement rules into their processes</w:t>
      </w:r>
      <w:r w:rsidR="005F0A30">
        <w:rPr>
          <w:szCs w:val="22"/>
        </w:rPr>
        <w:t xml:space="preserve"> and software tools</w:t>
      </w:r>
      <w:r>
        <w:rPr>
          <w:szCs w:val="22"/>
        </w:rPr>
        <w:t xml:space="preserve">, an </w:t>
      </w:r>
      <w:r w:rsidR="00916695" w:rsidRPr="00D112AB">
        <w:rPr>
          <w:szCs w:val="22"/>
        </w:rPr>
        <w:t>effective date</w:t>
      </w:r>
      <w:r w:rsidR="000D66CE" w:rsidRPr="00D112AB">
        <w:rPr>
          <w:szCs w:val="22"/>
        </w:rPr>
        <w:t xml:space="preserve"> </w:t>
      </w:r>
      <w:r w:rsidR="00F5588A">
        <w:rPr>
          <w:szCs w:val="22"/>
        </w:rPr>
        <w:t>of</w:t>
      </w:r>
      <w:r>
        <w:rPr>
          <w:szCs w:val="22"/>
        </w:rPr>
        <w:t xml:space="preserve"> January 1, 2016</w:t>
      </w:r>
      <w:r w:rsidR="00F5588A">
        <w:rPr>
          <w:szCs w:val="22"/>
        </w:rPr>
        <w:t xml:space="preserve"> was established</w:t>
      </w:r>
      <w:r>
        <w:rPr>
          <w:szCs w:val="22"/>
        </w:rPr>
        <w:t xml:space="preserve">.  </w:t>
      </w:r>
    </w:p>
    <w:p w14:paraId="278A531C" w14:textId="77777777" w:rsidR="00DB6ABF" w:rsidRDefault="00DB6ABF" w:rsidP="00D112AB">
      <w:pPr>
        <w:ind w:left="360"/>
        <w:rPr>
          <w:szCs w:val="22"/>
        </w:rPr>
      </w:pPr>
    </w:p>
    <w:p w14:paraId="27D00046" w14:textId="5E9072EE" w:rsidR="00AA417B" w:rsidRPr="00D112AB" w:rsidRDefault="00AA417B" w:rsidP="00D112AB">
      <w:pPr>
        <w:ind w:left="360"/>
        <w:rPr>
          <w:szCs w:val="22"/>
        </w:rPr>
      </w:pPr>
      <w:r>
        <w:rPr>
          <w:szCs w:val="22"/>
        </w:rPr>
        <w:t xml:space="preserve">Motion to approve </w:t>
      </w:r>
      <w:r w:rsidR="00DB6ABF">
        <w:rPr>
          <w:szCs w:val="22"/>
        </w:rPr>
        <w:t xml:space="preserve">the </w:t>
      </w:r>
      <w:r>
        <w:rPr>
          <w:szCs w:val="22"/>
        </w:rPr>
        <w:t>effective date of January 1, 2016 for final rules (</w:t>
      </w:r>
      <w:r>
        <w:rPr>
          <w:rFonts w:eastAsia="Times New Roman"/>
        </w:rPr>
        <w:t xml:space="preserve">DQC_0004, </w:t>
      </w:r>
      <w:r w:rsidR="005F0A30">
        <w:rPr>
          <w:rFonts w:eastAsia="Times New Roman"/>
        </w:rPr>
        <w:t>DQC_</w:t>
      </w:r>
      <w:r>
        <w:rPr>
          <w:rFonts w:eastAsia="Times New Roman"/>
        </w:rPr>
        <w:t xml:space="preserve">0005, DQC_0006, DQC_0009, DQC_0015, DQC_0033 and DQC_0036). </w:t>
      </w:r>
      <w:r>
        <w:rPr>
          <w:szCs w:val="22"/>
        </w:rPr>
        <w:t xml:space="preserve"> </w:t>
      </w:r>
      <w:r w:rsidRPr="00D112AB">
        <w:rPr>
          <w:szCs w:val="22"/>
        </w:rPr>
        <w:t>Motion made by Campbell</w:t>
      </w:r>
      <w:r w:rsidR="000D66CE" w:rsidRPr="00D112AB">
        <w:rPr>
          <w:szCs w:val="22"/>
        </w:rPr>
        <w:t xml:space="preserve"> Pryde</w:t>
      </w:r>
      <w:r w:rsidRPr="00D112AB">
        <w:rPr>
          <w:szCs w:val="22"/>
        </w:rPr>
        <w:t>, seconded by Will Allen.</w:t>
      </w:r>
    </w:p>
    <w:p w14:paraId="2CD380E3" w14:textId="77777777" w:rsidR="00AA417B" w:rsidRPr="00D112AB" w:rsidRDefault="00AA417B" w:rsidP="00D112AB">
      <w:pPr>
        <w:ind w:left="360"/>
        <w:rPr>
          <w:szCs w:val="22"/>
        </w:rPr>
      </w:pPr>
    </w:p>
    <w:p w14:paraId="7FDDEE2B" w14:textId="30604C6A" w:rsidR="000D66CE" w:rsidRDefault="00AA417B" w:rsidP="00D112AB">
      <w:pPr>
        <w:ind w:left="360"/>
        <w:rPr>
          <w:szCs w:val="22"/>
        </w:rPr>
      </w:pPr>
      <w:r w:rsidRPr="00D112AB">
        <w:rPr>
          <w:szCs w:val="22"/>
        </w:rPr>
        <w:t>Vote (10 For, 0 Against)</w:t>
      </w:r>
    </w:p>
    <w:p w14:paraId="796053C6" w14:textId="77777777" w:rsidR="00AA417B" w:rsidRDefault="00AA417B" w:rsidP="00D112AB">
      <w:pPr>
        <w:ind w:left="360"/>
        <w:rPr>
          <w:szCs w:val="22"/>
        </w:rPr>
      </w:pPr>
    </w:p>
    <w:p w14:paraId="7F7AC7E4" w14:textId="6695FAD0" w:rsidR="00AA417B" w:rsidRDefault="00AA417B" w:rsidP="00D112AB">
      <w:pPr>
        <w:ind w:left="360"/>
        <w:rPr>
          <w:szCs w:val="22"/>
        </w:rPr>
      </w:pPr>
      <w:r>
        <w:rPr>
          <w:szCs w:val="22"/>
        </w:rPr>
        <w:lastRenderedPageBreak/>
        <w:t>Motion passed.  Effective date of final rules (</w:t>
      </w:r>
      <w:r>
        <w:rPr>
          <w:rFonts w:eastAsia="Times New Roman"/>
        </w:rPr>
        <w:t xml:space="preserve">DQC_0004, </w:t>
      </w:r>
      <w:r w:rsidR="005F0A30">
        <w:rPr>
          <w:rFonts w:eastAsia="Times New Roman"/>
        </w:rPr>
        <w:t>DQC_</w:t>
      </w:r>
      <w:r>
        <w:rPr>
          <w:rFonts w:eastAsia="Times New Roman"/>
        </w:rPr>
        <w:t xml:space="preserve">0005, DQC_0006, DQC_0009, DQC_0015, DQC_0033 and DQC_0036) </w:t>
      </w:r>
      <w:r>
        <w:rPr>
          <w:szCs w:val="22"/>
        </w:rPr>
        <w:t xml:space="preserve">is January 1, 2016. </w:t>
      </w:r>
    </w:p>
    <w:p w14:paraId="3BFA5D90" w14:textId="77777777" w:rsidR="00FB2301" w:rsidRDefault="00FB2301" w:rsidP="00D112AB">
      <w:pPr>
        <w:ind w:left="360"/>
        <w:rPr>
          <w:szCs w:val="22"/>
        </w:rPr>
      </w:pPr>
    </w:p>
    <w:p w14:paraId="0EE43176" w14:textId="52CB50FD" w:rsidR="00FB2301" w:rsidRPr="00D112AB" w:rsidRDefault="00FB2301" w:rsidP="00D112AB">
      <w:pPr>
        <w:ind w:left="360"/>
        <w:rPr>
          <w:szCs w:val="22"/>
        </w:rPr>
      </w:pPr>
      <w:r>
        <w:rPr>
          <w:szCs w:val="22"/>
        </w:rPr>
        <w:t xml:space="preserve">The Chair emphasized that the </w:t>
      </w:r>
      <w:r w:rsidR="00860415">
        <w:rPr>
          <w:szCs w:val="22"/>
        </w:rPr>
        <w:t>Committee strives</w:t>
      </w:r>
      <w:r>
        <w:rPr>
          <w:szCs w:val="22"/>
        </w:rPr>
        <w:t xml:space="preserve"> </w:t>
      </w:r>
      <w:r w:rsidR="00860415">
        <w:rPr>
          <w:szCs w:val="22"/>
        </w:rPr>
        <w:t xml:space="preserve">to </w:t>
      </w:r>
      <w:r>
        <w:rPr>
          <w:szCs w:val="22"/>
        </w:rPr>
        <w:t xml:space="preserve">issue rules that do not identify false positives. To that end, he pointed out that the Committee wants feedback on potential errors identified by its rules that a filer or its service provider believes is a false positive.  </w:t>
      </w:r>
    </w:p>
    <w:p w14:paraId="75B0917E" w14:textId="77777777" w:rsidR="004A5C42" w:rsidRPr="00D112AB" w:rsidRDefault="004A5C42" w:rsidP="006F3B19">
      <w:pPr>
        <w:pStyle w:val="ListParagraph"/>
        <w:ind w:left="0"/>
        <w:rPr>
          <w:b/>
          <w:szCs w:val="22"/>
        </w:rPr>
      </w:pPr>
    </w:p>
    <w:p w14:paraId="4563A85D" w14:textId="77777777" w:rsidR="004A5C42" w:rsidRPr="00D112AB" w:rsidRDefault="004A5C42" w:rsidP="006F3B19">
      <w:pPr>
        <w:pStyle w:val="ListParagraph"/>
        <w:ind w:left="0"/>
        <w:rPr>
          <w:b/>
          <w:szCs w:val="22"/>
        </w:rPr>
      </w:pPr>
      <w:r w:rsidRPr="00D112AB">
        <w:rPr>
          <w:b/>
          <w:szCs w:val="22"/>
        </w:rPr>
        <w:t>Objectives for 2016</w:t>
      </w:r>
    </w:p>
    <w:p w14:paraId="08BD0BB6" w14:textId="4DDE2F5B" w:rsidR="008E5017" w:rsidRDefault="00AA3AA1" w:rsidP="00D112AB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Approve </w:t>
      </w:r>
      <w:r w:rsidR="00A748C5">
        <w:rPr>
          <w:szCs w:val="22"/>
        </w:rPr>
        <w:t xml:space="preserve">final extension </w:t>
      </w:r>
      <w:r w:rsidR="008E5017">
        <w:rPr>
          <w:szCs w:val="22"/>
        </w:rPr>
        <w:t xml:space="preserve">guidance and </w:t>
      </w:r>
      <w:r w:rsidR="00A748C5">
        <w:rPr>
          <w:szCs w:val="22"/>
        </w:rPr>
        <w:t xml:space="preserve">final contributed </w:t>
      </w:r>
      <w:r w:rsidR="008E5017">
        <w:rPr>
          <w:szCs w:val="22"/>
        </w:rPr>
        <w:t xml:space="preserve">rules by December 1, 2016. </w:t>
      </w:r>
    </w:p>
    <w:p w14:paraId="08CB59F2" w14:textId="5FCBA4CD" w:rsidR="008E1525" w:rsidRDefault="008E5017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>Final rules will address 80% of the</w:t>
      </w:r>
      <w:r w:rsidR="000D66CE" w:rsidRPr="00D112AB">
        <w:rPr>
          <w:szCs w:val="22"/>
        </w:rPr>
        <w:t xml:space="preserve"> errors identified by</w:t>
      </w:r>
      <w:r>
        <w:rPr>
          <w:szCs w:val="22"/>
        </w:rPr>
        <w:t xml:space="preserve"> the</w:t>
      </w:r>
      <w:r w:rsidR="000D66CE" w:rsidRPr="00D112AB">
        <w:rPr>
          <w:szCs w:val="22"/>
        </w:rPr>
        <w:t xml:space="preserve"> contributed rules</w:t>
      </w:r>
      <w:r w:rsidR="00AA3AA1">
        <w:rPr>
          <w:szCs w:val="22"/>
        </w:rPr>
        <w:t xml:space="preserve"> and will be released in two phases, last half of August and the first week in December.</w:t>
      </w:r>
    </w:p>
    <w:p w14:paraId="2880BC40" w14:textId="1E234AB1" w:rsidR="008E5017" w:rsidRPr="00D112AB" w:rsidRDefault="00953913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 xml:space="preserve">Extension guidance </w:t>
      </w:r>
      <w:r w:rsidR="005F0A30">
        <w:rPr>
          <w:szCs w:val="22"/>
        </w:rPr>
        <w:t xml:space="preserve">will </w:t>
      </w:r>
      <w:r>
        <w:rPr>
          <w:szCs w:val="22"/>
        </w:rPr>
        <w:t xml:space="preserve">focus primarily on use </w:t>
      </w:r>
      <w:r w:rsidR="00FF2EF1">
        <w:rPr>
          <w:szCs w:val="22"/>
        </w:rPr>
        <w:t>of the face</w:t>
      </w:r>
      <w:r w:rsidR="008E5017">
        <w:rPr>
          <w:szCs w:val="22"/>
        </w:rPr>
        <w:t xml:space="preserve"> financial statements.</w:t>
      </w:r>
      <w:r>
        <w:rPr>
          <w:szCs w:val="22"/>
        </w:rPr>
        <w:t xml:space="preserve"> Additional guidance, to the extent necessary, for information in the notes to financial statements will be completed in 2017.</w:t>
      </w:r>
    </w:p>
    <w:p w14:paraId="12C572FE" w14:textId="4ADB2694" w:rsidR="000D66CE" w:rsidRDefault="00823DA6" w:rsidP="00D112AB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Mike Starr and Campbell Pryde discussed with the FASB staff that</w:t>
      </w:r>
      <w:r w:rsidR="00FF7867">
        <w:rPr>
          <w:szCs w:val="22"/>
        </w:rPr>
        <w:t>, in their view,</w:t>
      </w:r>
      <w:r>
        <w:rPr>
          <w:szCs w:val="22"/>
        </w:rPr>
        <w:t xml:space="preserve"> </w:t>
      </w:r>
      <w:r w:rsidR="000D66CE">
        <w:rPr>
          <w:szCs w:val="22"/>
        </w:rPr>
        <w:t>the following attributes</w:t>
      </w:r>
      <w:r w:rsidR="005926BF">
        <w:rPr>
          <w:szCs w:val="22"/>
        </w:rPr>
        <w:t xml:space="preserve"> </w:t>
      </w:r>
      <w:r>
        <w:rPr>
          <w:szCs w:val="22"/>
        </w:rPr>
        <w:t xml:space="preserve">should be the primary consideration in the development and maintenance of the U.S. GAAP taxonomy and related guidance. </w:t>
      </w:r>
    </w:p>
    <w:p w14:paraId="7AE4022B" w14:textId="075D402A" w:rsidR="000D66CE" w:rsidRDefault="000D66CE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>Usability – improve usability of XBRL data without</w:t>
      </w:r>
      <w:r w:rsidR="008E5017">
        <w:rPr>
          <w:szCs w:val="22"/>
        </w:rPr>
        <w:t xml:space="preserve"> additional</w:t>
      </w:r>
      <w:r>
        <w:rPr>
          <w:szCs w:val="22"/>
        </w:rPr>
        <w:t xml:space="preserve"> burde</w:t>
      </w:r>
      <w:r w:rsidR="000E5238">
        <w:rPr>
          <w:szCs w:val="22"/>
        </w:rPr>
        <w:t>n</w:t>
      </w:r>
      <w:r>
        <w:rPr>
          <w:szCs w:val="22"/>
        </w:rPr>
        <w:t xml:space="preserve"> on preparers</w:t>
      </w:r>
    </w:p>
    <w:p w14:paraId="13D54C92" w14:textId="429D1F34" w:rsidR="000D66CE" w:rsidRDefault="000D66CE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 xml:space="preserve">Simplification – ease of use </w:t>
      </w:r>
      <w:r w:rsidR="00823DA6">
        <w:rPr>
          <w:szCs w:val="22"/>
        </w:rPr>
        <w:t>to create and consume XBRL</w:t>
      </w:r>
      <w:r w:rsidR="005F0A30">
        <w:rPr>
          <w:szCs w:val="22"/>
        </w:rPr>
        <w:t xml:space="preserve"> data</w:t>
      </w:r>
    </w:p>
    <w:p w14:paraId="2F819D04" w14:textId="70A55E14" w:rsidR="002A7931" w:rsidRDefault="002A7931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 xml:space="preserve">Comparability – ability to analyze data across </w:t>
      </w:r>
      <w:r w:rsidR="000E5238">
        <w:rPr>
          <w:szCs w:val="22"/>
        </w:rPr>
        <w:t>companies</w:t>
      </w:r>
      <w:r w:rsidR="00823DA6">
        <w:rPr>
          <w:szCs w:val="22"/>
        </w:rPr>
        <w:t>.</w:t>
      </w:r>
    </w:p>
    <w:p w14:paraId="0709822B" w14:textId="2A470B21" w:rsidR="000D66CE" w:rsidRDefault="002A7931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 xml:space="preserve">Consistency – </w:t>
      </w:r>
      <w:r w:rsidR="005F0A30">
        <w:rPr>
          <w:szCs w:val="22"/>
        </w:rPr>
        <w:t xml:space="preserve">consistent approach </w:t>
      </w:r>
      <w:r>
        <w:rPr>
          <w:szCs w:val="22"/>
        </w:rPr>
        <w:t xml:space="preserve">across years and companies  </w:t>
      </w:r>
    </w:p>
    <w:p w14:paraId="0F7E7C24" w14:textId="767D508D" w:rsidR="002A7931" w:rsidRDefault="002A7931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 xml:space="preserve">Materiality – </w:t>
      </w:r>
      <w:r w:rsidR="00234A69">
        <w:rPr>
          <w:szCs w:val="22"/>
        </w:rPr>
        <w:t xml:space="preserve">use materiality thresholds in </w:t>
      </w:r>
      <w:r>
        <w:rPr>
          <w:szCs w:val="22"/>
        </w:rPr>
        <w:t xml:space="preserve">Reg S-X </w:t>
      </w:r>
      <w:r w:rsidR="00234A69">
        <w:rPr>
          <w:szCs w:val="22"/>
        </w:rPr>
        <w:t>and/</w:t>
      </w:r>
      <w:r w:rsidR="00957FBF">
        <w:rPr>
          <w:szCs w:val="22"/>
        </w:rPr>
        <w:t>or FASB codificatio</w:t>
      </w:r>
      <w:r>
        <w:rPr>
          <w:szCs w:val="22"/>
        </w:rPr>
        <w:t xml:space="preserve">n </w:t>
      </w:r>
      <w:r w:rsidR="00957FBF">
        <w:rPr>
          <w:szCs w:val="22"/>
        </w:rPr>
        <w:t>to select tags</w:t>
      </w:r>
    </w:p>
    <w:p w14:paraId="4C40499E" w14:textId="14BD711F" w:rsidR="00823DA6" w:rsidRDefault="00823DA6" w:rsidP="004B49EC">
      <w:pPr>
        <w:pStyle w:val="ListParagraph"/>
        <w:rPr>
          <w:szCs w:val="22"/>
        </w:rPr>
      </w:pPr>
      <w:r>
        <w:rPr>
          <w:szCs w:val="22"/>
        </w:rPr>
        <w:t xml:space="preserve">The Chair </w:t>
      </w:r>
      <w:r w:rsidR="00A748C5">
        <w:rPr>
          <w:szCs w:val="22"/>
        </w:rPr>
        <w:t xml:space="preserve">said </w:t>
      </w:r>
      <w:r w:rsidR="00FF7867">
        <w:rPr>
          <w:szCs w:val="22"/>
        </w:rPr>
        <w:t>that the DQC will discuss at the January meeting the use of</w:t>
      </w:r>
      <w:r>
        <w:rPr>
          <w:szCs w:val="22"/>
        </w:rPr>
        <w:t xml:space="preserve"> these attributes as the guiding principles in the development of the </w:t>
      </w:r>
      <w:r w:rsidR="00FF7867">
        <w:rPr>
          <w:szCs w:val="22"/>
        </w:rPr>
        <w:t>Committee’s guidance.</w:t>
      </w:r>
    </w:p>
    <w:p w14:paraId="6D8C6199" w14:textId="131707E0" w:rsidR="000E5238" w:rsidRDefault="00FF7867" w:rsidP="00D112AB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Extension g</w:t>
      </w:r>
      <w:r w:rsidR="00234A69">
        <w:rPr>
          <w:szCs w:val="22"/>
        </w:rPr>
        <w:t>uidance</w:t>
      </w:r>
      <w:r w:rsidR="000E5238">
        <w:rPr>
          <w:szCs w:val="22"/>
        </w:rPr>
        <w:t>:</w:t>
      </w:r>
    </w:p>
    <w:p w14:paraId="36C0FEE4" w14:textId="408831A6" w:rsidR="000E5238" w:rsidRDefault="00234A69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 xml:space="preserve">Specify </w:t>
      </w:r>
      <w:r w:rsidR="000E5238">
        <w:rPr>
          <w:szCs w:val="22"/>
        </w:rPr>
        <w:t>how materiality is used in element selection</w:t>
      </w:r>
      <w:r w:rsidR="00957FBF">
        <w:rPr>
          <w:szCs w:val="22"/>
        </w:rPr>
        <w:t>.</w:t>
      </w:r>
    </w:p>
    <w:p w14:paraId="1318AAA4" w14:textId="2BF51122" w:rsidR="000E5238" w:rsidRDefault="00234A69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 xml:space="preserve">Specify </w:t>
      </w:r>
      <w:r w:rsidR="000E5238">
        <w:rPr>
          <w:szCs w:val="22"/>
        </w:rPr>
        <w:t>when to creat</w:t>
      </w:r>
      <w:r w:rsidR="00025BF0">
        <w:rPr>
          <w:szCs w:val="22"/>
        </w:rPr>
        <w:t>e</w:t>
      </w:r>
      <w:r w:rsidR="000E5238">
        <w:rPr>
          <w:szCs w:val="22"/>
        </w:rPr>
        <w:t xml:space="preserve"> extension</w:t>
      </w:r>
      <w:r w:rsidR="005926BF">
        <w:rPr>
          <w:szCs w:val="22"/>
        </w:rPr>
        <w:t>s</w:t>
      </w:r>
      <w:r w:rsidR="000E5238">
        <w:rPr>
          <w:szCs w:val="22"/>
        </w:rPr>
        <w:t xml:space="preserve"> for the for face financial statements.  </w:t>
      </w:r>
    </w:p>
    <w:p w14:paraId="38BD7051" w14:textId="52BB529D" w:rsidR="000E5238" w:rsidRDefault="000E5238" w:rsidP="00D112AB">
      <w:pPr>
        <w:pStyle w:val="ListParagraph"/>
        <w:numPr>
          <w:ilvl w:val="2"/>
          <w:numId w:val="24"/>
        </w:numPr>
        <w:rPr>
          <w:szCs w:val="22"/>
        </w:rPr>
      </w:pPr>
      <w:r>
        <w:rPr>
          <w:szCs w:val="22"/>
        </w:rPr>
        <w:t xml:space="preserve">Limit cases where the nature of the extension can be identified </w:t>
      </w:r>
      <w:r w:rsidR="005926BF">
        <w:rPr>
          <w:szCs w:val="22"/>
        </w:rPr>
        <w:t xml:space="preserve">to the source </w:t>
      </w:r>
      <w:r>
        <w:rPr>
          <w:szCs w:val="22"/>
        </w:rPr>
        <w:t>in a</w:t>
      </w:r>
      <w:r w:rsidR="00933DE8">
        <w:rPr>
          <w:szCs w:val="22"/>
        </w:rPr>
        <w:t xml:space="preserve">n automated process </w:t>
      </w:r>
      <w:r>
        <w:rPr>
          <w:szCs w:val="22"/>
        </w:rPr>
        <w:t>(i.e., use of an anchor)</w:t>
      </w:r>
    </w:p>
    <w:p w14:paraId="305F5898" w14:textId="78C5A579" w:rsidR="000E5238" w:rsidRDefault="00234A69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>R</w:t>
      </w:r>
      <w:r w:rsidR="000E5238">
        <w:rPr>
          <w:szCs w:val="22"/>
        </w:rPr>
        <w:t>ecommen</w:t>
      </w:r>
      <w:r w:rsidR="00933DE8">
        <w:rPr>
          <w:szCs w:val="22"/>
        </w:rPr>
        <w:t>d</w:t>
      </w:r>
      <w:r w:rsidR="000E5238">
        <w:rPr>
          <w:szCs w:val="22"/>
        </w:rPr>
        <w:t>ations to FASB</w:t>
      </w:r>
      <w:r>
        <w:rPr>
          <w:szCs w:val="22"/>
        </w:rPr>
        <w:t xml:space="preserve"> or </w:t>
      </w:r>
      <w:r w:rsidR="000E5238">
        <w:rPr>
          <w:szCs w:val="22"/>
        </w:rPr>
        <w:t>SEC will be delivered timely.</w:t>
      </w:r>
    </w:p>
    <w:p w14:paraId="1CAB9054" w14:textId="77777777" w:rsidR="00234A69" w:rsidRDefault="00234A69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>Guidance will need to be comprehensive by review of specific situations of filings.</w:t>
      </w:r>
    </w:p>
    <w:p w14:paraId="509B52AD" w14:textId="77777777" w:rsidR="00234A69" w:rsidRDefault="00234A69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>Timeline</w:t>
      </w:r>
    </w:p>
    <w:p w14:paraId="6649D213" w14:textId="0F8D2D49" w:rsidR="00234A69" w:rsidRDefault="00234A69" w:rsidP="00D112AB">
      <w:pPr>
        <w:pStyle w:val="ListParagraph"/>
        <w:numPr>
          <w:ilvl w:val="2"/>
          <w:numId w:val="24"/>
        </w:numPr>
        <w:rPr>
          <w:szCs w:val="22"/>
        </w:rPr>
      </w:pPr>
      <w:r>
        <w:rPr>
          <w:szCs w:val="22"/>
        </w:rPr>
        <w:t xml:space="preserve">December 2015-April 2016 - review extensions in filings and expand on reasons why filers extend, interview service providers </w:t>
      </w:r>
      <w:r w:rsidR="00FF2EF1">
        <w:rPr>
          <w:szCs w:val="22"/>
        </w:rPr>
        <w:t xml:space="preserve">and filers </w:t>
      </w:r>
      <w:r w:rsidR="00FF7867">
        <w:rPr>
          <w:szCs w:val="22"/>
        </w:rPr>
        <w:t>and</w:t>
      </w:r>
      <w:r>
        <w:rPr>
          <w:szCs w:val="22"/>
        </w:rPr>
        <w:t xml:space="preserve">, develop questions for users and refine guidance </w:t>
      </w:r>
    </w:p>
    <w:p w14:paraId="7B71E238" w14:textId="77777777" w:rsidR="00234A69" w:rsidRDefault="00234A69" w:rsidP="00D112AB">
      <w:pPr>
        <w:pStyle w:val="ListParagraph"/>
        <w:numPr>
          <w:ilvl w:val="3"/>
          <w:numId w:val="24"/>
        </w:numPr>
        <w:rPr>
          <w:szCs w:val="22"/>
        </w:rPr>
      </w:pPr>
      <w:r>
        <w:rPr>
          <w:szCs w:val="22"/>
        </w:rPr>
        <w:t>December-January - income statement and balance sheet</w:t>
      </w:r>
    </w:p>
    <w:p w14:paraId="527B108A" w14:textId="0E00DF84" w:rsidR="00025BF0" w:rsidRDefault="00234A69" w:rsidP="00D112AB">
      <w:pPr>
        <w:pStyle w:val="ListParagraph"/>
        <w:numPr>
          <w:ilvl w:val="3"/>
          <w:numId w:val="24"/>
        </w:numPr>
        <w:rPr>
          <w:szCs w:val="22"/>
        </w:rPr>
      </w:pPr>
      <w:r>
        <w:rPr>
          <w:szCs w:val="22"/>
        </w:rPr>
        <w:t>February-March - cash flow statement and statement of eq</w:t>
      </w:r>
      <w:r w:rsidR="00025BF0">
        <w:rPr>
          <w:szCs w:val="22"/>
        </w:rPr>
        <w:t xml:space="preserve">uity </w:t>
      </w:r>
    </w:p>
    <w:p w14:paraId="43E59408" w14:textId="77777777" w:rsidR="00957FBF" w:rsidRDefault="00234A69" w:rsidP="00D112AB">
      <w:pPr>
        <w:pStyle w:val="ListParagraph"/>
        <w:numPr>
          <w:ilvl w:val="2"/>
          <w:numId w:val="24"/>
        </w:numPr>
        <w:rPr>
          <w:szCs w:val="22"/>
        </w:rPr>
      </w:pPr>
      <w:r>
        <w:rPr>
          <w:szCs w:val="22"/>
        </w:rPr>
        <w:t xml:space="preserve">Exposure </w:t>
      </w:r>
      <w:r w:rsidR="00025BF0">
        <w:rPr>
          <w:szCs w:val="22"/>
        </w:rPr>
        <w:t>periods</w:t>
      </w:r>
      <w:r>
        <w:rPr>
          <w:szCs w:val="22"/>
        </w:rPr>
        <w:t xml:space="preserve"> – There will be 2 exposure period</w:t>
      </w:r>
      <w:r w:rsidR="005926BF">
        <w:rPr>
          <w:szCs w:val="22"/>
        </w:rPr>
        <w:t xml:space="preserve">s during </w:t>
      </w:r>
      <w:r>
        <w:rPr>
          <w:szCs w:val="22"/>
        </w:rPr>
        <w:t xml:space="preserve">2016.  </w:t>
      </w:r>
    </w:p>
    <w:p w14:paraId="20B35FEC" w14:textId="77269EA7" w:rsidR="00957FBF" w:rsidRDefault="00957FBF" w:rsidP="00D112AB">
      <w:pPr>
        <w:pStyle w:val="ListParagraph"/>
        <w:numPr>
          <w:ilvl w:val="3"/>
          <w:numId w:val="24"/>
        </w:numPr>
        <w:rPr>
          <w:szCs w:val="22"/>
        </w:rPr>
      </w:pPr>
      <w:r>
        <w:rPr>
          <w:szCs w:val="22"/>
        </w:rPr>
        <w:t xml:space="preserve">Midyear - </w:t>
      </w:r>
      <w:r w:rsidR="00234A69">
        <w:rPr>
          <w:szCs w:val="22"/>
        </w:rPr>
        <w:t>concept paper</w:t>
      </w:r>
    </w:p>
    <w:p w14:paraId="1566C256" w14:textId="3F7B063C" w:rsidR="00025BF0" w:rsidRDefault="00957FBF" w:rsidP="00D112AB">
      <w:pPr>
        <w:pStyle w:val="ListParagraph"/>
        <w:numPr>
          <w:ilvl w:val="3"/>
          <w:numId w:val="24"/>
        </w:numPr>
        <w:rPr>
          <w:szCs w:val="22"/>
        </w:rPr>
      </w:pPr>
      <w:r>
        <w:rPr>
          <w:szCs w:val="22"/>
        </w:rPr>
        <w:t xml:space="preserve">Third Quarter </w:t>
      </w:r>
      <w:r w:rsidR="00FF7867">
        <w:rPr>
          <w:szCs w:val="22"/>
        </w:rPr>
        <w:t>–</w:t>
      </w:r>
      <w:r>
        <w:rPr>
          <w:szCs w:val="22"/>
        </w:rPr>
        <w:t xml:space="preserve"> </w:t>
      </w:r>
      <w:r w:rsidR="00FF7867">
        <w:rPr>
          <w:szCs w:val="22"/>
        </w:rPr>
        <w:t>proposed guidance</w:t>
      </w:r>
      <w:r w:rsidR="00234A69">
        <w:rPr>
          <w:szCs w:val="22"/>
        </w:rPr>
        <w:t>.</w:t>
      </w:r>
    </w:p>
    <w:p w14:paraId="7879452A" w14:textId="72BFD37B" w:rsidR="00933DE8" w:rsidRDefault="00933DE8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Contribute</w:t>
      </w:r>
      <w:r w:rsidR="00F832AA">
        <w:rPr>
          <w:szCs w:val="22"/>
        </w:rPr>
        <w:t>d</w:t>
      </w:r>
      <w:r>
        <w:rPr>
          <w:szCs w:val="22"/>
        </w:rPr>
        <w:t xml:space="preserve"> rules</w:t>
      </w:r>
    </w:p>
    <w:p w14:paraId="5F5F52CB" w14:textId="5456D9E0" w:rsidR="00933DE8" w:rsidRDefault="00933DE8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 xml:space="preserve">Accelerate rate of </w:t>
      </w:r>
      <w:r w:rsidR="005926BF">
        <w:rPr>
          <w:szCs w:val="22"/>
        </w:rPr>
        <w:t xml:space="preserve">development for </w:t>
      </w:r>
      <w:r>
        <w:rPr>
          <w:szCs w:val="22"/>
        </w:rPr>
        <w:t>contribute</w:t>
      </w:r>
      <w:r w:rsidR="00593AFB">
        <w:rPr>
          <w:szCs w:val="22"/>
        </w:rPr>
        <w:t>d</w:t>
      </w:r>
      <w:r>
        <w:rPr>
          <w:szCs w:val="22"/>
        </w:rPr>
        <w:t xml:space="preserve"> rules.</w:t>
      </w:r>
    </w:p>
    <w:p w14:paraId="10792E0F" w14:textId="64D6C36F" w:rsidR="00933DE8" w:rsidRDefault="00933DE8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lastRenderedPageBreak/>
        <w:t>Service providers will</w:t>
      </w:r>
      <w:r w:rsidR="005926BF">
        <w:rPr>
          <w:szCs w:val="22"/>
        </w:rPr>
        <w:t xml:space="preserve"> conduct weekly phone calls</w:t>
      </w:r>
      <w:r>
        <w:rPr>
          <w:szCs w:val="22"/>
        </w:rPr>
        <w:t xml:space="preserve"> </w:t>
      </w:r>
      <w:r w:rsidR="00EA5FE8">
        <w:rPr>
          <w:szCs w:val="22"/>
        </w:rPr>
        <w:t>to review contributed rules and bring rules to the full committee for approval</w:t>
      </w:r>
      <w:r w:rsidR="00941B13">
        <w:rPr>
          <w:szCs w:val="22"/>
        </w:rPr>
        <w:t xml:space="preserve"> for coding</w:t>
      </w:r>
      <w:r w:rsidR="00EA5FE8">
        <w:rPr>
          <w:szCs w:val="22"/>
        </w:rPr>
        <w:t xml:space="preserve">. </w:t>
      </w:r>
      <w:r>
        <w:rPr>
          <w:szCs w:val="22"/>
        </w:rPr>
        <w:t>(weekly meetings are open to all Committee members if they would like to join)</w:t>
      </w:r>
    </w:p>
    <w:p w14:paraId="072819FE" w14:textId="77777777" w:rsidR="00EA5FE8" w:rsidRDefault="00EA5FE8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>First meeting will be held December 1, 2015</w:t>
      </w:r>
    </w:p>
    <w:p w14:paraId="28807B2E" w14:textId="6DAAF274" w:rsidR="00EA5FE8" w:rsidRDefault="00953913" w:rsidP="00D112AB">
      <w:pPr>
        <w:pStyle w:val="ListParagraph"/>
        <w:numPr>
          <w:ilvl w:val="2"/>
          <w:numId w:val="24"/>
        </w:numPr>
        <w:rPr>
          <w:szCs w:val="22"/>
        </w:rPr>
      </w:pPr>
      <w:r>
        <w:rPr>
          <w:szCs w:val="22"/>
        </w:rPr>
        <w:t>Finalize recommendation to the Full Committee for the r</w:t>
      </w:r>
      <w:r w:rsidR="00EA5FE8">
        <w:rPr>
          <w:szCs w:val="22"/>
        </w:rPr>
        <w:t>ules discussed during September 2015 meeting</w:t>
      </w:r>
      <w:r w:rsidR="00E40D58">
        <w:rPr>
          <w:szCs w:val="22"/>
        </w:rPr>
        <w:t xml:space="preserve"> (Axis with Inappropriate Members, Default Dimensions, Additional Nonnegative items)</w:t>
      </w:r>
    </w:p>
    <w:p w14:paraId="1D5D0890" w14:textId="01CDF318" w:rsidR="00933DE8" w:rsidRDefault="00EA5FE8" w:rsidP="00D112AB">
      <w:pPr>
        <w:pStyle w:val="ListParagraph"/>
        <w:numPr>
          <w:ilvl w:val="2"/>
          <w:numId w:val="24"/>
        </w:numPr>
        <w:rPr>
          <w:szCs w:val="22"/>
        </w:rPr>
      </w:pPr>
      <w:r>
        <w:rPr>
          <w:szCs w:val="22"/>
        </w:rPr>
        <w:t xml:space="preserve">Provide </w:t>
      </w:r>
      <w:r w:rsidR="00933DE8">
        <w:rPr>
          <w:szCs w:val="22"/>
        </w:rPr>
        <w:t xml:space="preserve">test cases </w:t>
      </w:r>
      <w:r w:rsidR="00FF7867">
        <w:rPr>
          <w:szCs w:val="22"/>
        </w:rPr>
        <w:t>(required to be developed before rules are submitted to the full Committee for approval)</w:t>
      </w:r>
    </w:p>
    <w:p w14:paraId="70D5EABF" w14:textId="0380D86B" w:rsidR="00933DE8" w:rsidRDefault="00953913" w:rsidP="00D112AB">
      <w:pPr>
        <w:pStyle w:val="ListParagraph"/>
        <w:numPr>
          <w:ilvl w:val="2"/>
          <w:numId w:val="24"/>
        </w:numPr>
        <w:rPr>
          <w:szCs w:val="22"/>
        </w:rPr>
      </w:pPr>
      <w:r>
        <w:rPr>
          <w:szCs w:val="22"/>
        </w:rPr>
        <w:t>In addition, discuss recommendation for contributed r</w:t>
      </w:r>
      <w:r w:rsidR="00933DE8">
        <w:rPr>
          <w:szCs w:val="22"/>
        </w:rPr>
        <w:t>ule</w:t>
      </w:r>
      <w:r>
        <w:rPr>
          <w:szCs w:val="22"/>
        </w:rPr>
        <w:t>s</w:t>
      </w:r>
      <w:r w:rsidR="00933DE8">
        <w:rPr>
          <w:szCs w:val="22"/>
        </w:rPr>
        <w:t xml:space="preserve"> </w:t>
      </w:r>
      <w:r>
        <w:rPr>
          <w:szCs w:val="22"/>
        </w:rPr>
        <w:t xml:space="preserve">related </w:t>
      </w:r>
      <w:r w:rsidR="00A37695">
        <w:rPr>
          <w:szCs w:val="22"/>
        </w:rPr>
        <w:t xml:space="preserve">to </w:t>
      </w:r>
      <w:r w:rsidR="00933DE8">
        <w:rPr>
          <w:szCs w:val="22"/>
        </w:rPr>
        <w:t xml:space="preserve">deprecated </w:t>
      </w:r>
      <w:r>
        <w:rPr>
          <w:szCs w:val="22"/>
        </w:rPr>
        <w:t>elements and the Statement of Shareholders Equity</w:t>
      </w:r>
    </w:p>
    <w:p w14:paraId="48B3569A" w14:textId="406A4820" w:rsidR="00E40D58" w:rsidRDefault="00953913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 xml:space="preserve">Recommendation </w:t>
      </w:r>
      <w:r w:rsidR="00E40D58">
        <w:rPr>
          <w:szCs w:val="22"/>
        </w:rPr>
        <w:t xml:space="preserve">for </w:t>
      </w:r>
      <w:r w:rsidR="00A37695">
        <w:rPr>
          <w:szCs w:val="22"/>
        </w:rPr>
        <w:t xml:space="preserve">the </w:t>
      </w:r>
      <w:r w:rsidR="00E40D58">
        <w:rPr>
          <w:szCs w:val="22"/>
        </w:rPr>
        <w:t xml:space="preserve">next set of rules to be coded will be sent to </w:t>
      </w:r>
      <w:r w:rsidR="00A37695">
        <w:rPr>
          <w:szCs w:val="22"/>
        </w:rPr>
        <w:t xml:space="preserve">the </w:t>
      </w:r>
      <w:r w:rsidR="00E40D58">
        <w:rPr>
          <w:szCs w:val="22"/>
        </w:rPr>
        <w:t xml:space="preserve">full Committee after the first meeting of the service providers.  Email ballot will be provided </w:t>
      </w:r>
      <w:r w:rsidR="00941B13">
        <w:rPr>
          <w:szCs w:val="22"/>
        </w:rPr>
        <w:t>to approve rules for</w:t>
      </w:r>
      <w:r w:rsidR="00E40D58">
        <w:rPr>
          <w:szCs w:val="22"/>
        </w:rPr>
        <w:t xml:space="preserve"> coding.</w:t>
      </w:r>
    </w:p>
    <w:p w14:paraId="52F75AA1" w14:textId="2D61EC00" w:rsidR="001175B9" w:rsidRPr="00D112AB" w:rsidRDefault="00E40D58" w:rsidP="00D112AB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 xml:space="preserve">Next public exposure of rules </w:t>
      </w:r>
      <w:r w:rsidR="00FB2301">
        <w:rPr>
          <w:szCs w:val="22"/>
        </w:rPr>
        <w:t>is scheduled to be May 23 through July 22, 2016</w:t>
      </w:r>
      <w:r>
        <w:rPr>
          <w:szCs w:val="22"/>
        </w:rPr>
        <w:t>.</w:t>
      </w:r>
    </w:p>
    <w:p w14:paraId="2222CE9A" w14:textId="77777777" w:rsidR="001175B9" w:rsidRPr="00D112AB" w:rsidRDefault="001175B9" w:rsidP="00D112AB">
      <w:pPr>
        <w:rPr>
          <w:szCs w:val="22"/>
        </w:rPr>
      </w:pPr>
    </w:p>
    <w:p w14:paraId="26C00A7E" w14:textId="77777777" w:rsidR="000E5238" w:rsidRPr="00D112AB" w:rsidRDefault="000E5238" w:rsidP="00D112AB">
      <w:pPr>
        <w:rPr>
          <w:szCs w:val="22"/>
        </w:rPr>
      </w:pPr>
    </w:p>
    <w:p w14:paraId="51537772" w14:textId="77777777" w:rsidR="004A5C42" w:rsidRPr="00D112AB" w:rsidRDefault="004A5C42" w:rsidP="006F3B19">
      <w:pPr>
        <w:pStyle w:val="ListParagraph"/>
        <w:ind w:left="0"/>
        <w:rPr>
          <w:b/>
          <w:szCs w:val="22"/>
        </w:rPr>
      </w:pPr>
    </w:p>
    <w:p w14:paraId="2E67E14B" w14:textId="77777777" w:rsidR="008E1525" w:rsidRPr="00D112AB" w:rsidRDefault="004A5C42" w:rsidP="006F3B19">
      <w:pPr>
        <w:pStyle w:val="ListParagraph"/>
        <w:ind w:left="0"/>
        <w:rPr>
          <w:b/>
          <w:szCs w:val="22"/>
        </w:rPr>
      </w:pPr>
      <w:r w:rsidRPr="00D112AB">
        <w:rPr>
          <w:b/>
          <w:szCs w:val="22"/>
        </w:rPr>
        <w:t>Calendar Update</w:t>
      </w:r>
      <w:r w:rsidRPr="00D112AB" w:rsidDel="004A5C42">
        <w:rPr>
          <w:b/>
          <w:szCs w:val="22"/>
        </w:rPr>
        <w:t xml:space="preserve"> </w:t>
      </w:r>
    </w:p>
    <w:p w14:paraId="05AAF3FC" w14:textId="51EBE7DD" w:rsidR="001175B9" w:rsidRPr="001175B9" w:rsidRDefault="00E40D58" w:rsidP="00D112AB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September 2016 meeting with SEC staff should be postponed until </w:t>
      </w:r>
      <w:r w:rsidR="00FB2301">
        <w:rPr>
          <w:szCs w:val="22"/>
        </w:rPr>
        <w:t xml:space="preserve">after the second </w:t>
      </w:r>
      <w:r>
        <w:rPr>
          <w:szCs w:val="22"/>
        </w:rPr>
        <w:t>2016 public exposure period</w:t>
      </w:r>
      <w:r w:rsidR="00FB2301">
        <w:rPr>
          <w:szCs w:val="22"/>
        </w:rPr>
        <w:t>, which is schedule</w:t>
      </w:r>
      <w:r w:rsidR="00A37695">
        <w:rPr>
          <w:szCs w:val="22"/>
        </w:rPr>
        <w:t>d</w:t>
      </w:r>
      <w:r w:rsidR="00FB2301">
        <w:rPr>
          <w:szCs w:val="22"/>
        </w:rPr>
        <w:t xml:space="preserve"> to be August 29 through October 31.</w:t>
      </w:r>
      <w:r>
        <w:rPr>
          <w:szCs w:val="22"/>
        </w:rPr>
        <w:t xml:space="preserve"> (</w:t>
      </w:r>
      <w:r w:rsidR="00941B13">
        <w:rPr>
          <w:szCs w:val="22"/>
        </w:rPr>
        <w:t xml:space="preserve">i.e., </w:t>
      </w:r>
      <w:r>
        <w:rPr>
          <w:szCs w:val="22"/>
        </w:rPr>
        <w:t>November-December 2016).  Mike Starr has notified SEC of this request.</w:t>
      </w:r>
      <w:r w:rsidR="001175B9">
        <w:rPr>
          <w:szCs w:val="22"/>
        </w:rPr>
        <w:t xml:space="preserve"> </w:t>
      </w:r>
      <w:r w:rsidR="00FB2301">
        <w:rPr>
          <w:szCs w:val="22"/>
        </w:rPr>
        <w:t>The Committee c</w:t>
      </w:r>
      <w:r w:rsidR="001175B9">
        <w:rPr>
          <w:szCs w:val="22"/>
        </w:rPr>
        <w:t xml:space="preserve">alendar will be updated when </w:t>
      </w:r>
      <w:r w:rsidR="00A37695">
        <w:rPr>
          <w:szCs w:val="22"/>
        </w:rPr>
        <w:t xml:space="preserve">the </w:t>
      </w:r>
      <w:r w:rsidR="001175B9">
        <w:rPr>
          <w:szCs w:val="22"/>
        </w:rPr>
        <w:t>date is selected.</w:t>
      </w:r>
    </w:p>
    <w:p w14:paraId="033DE051" w14:textId="622AE898" w:rsidR="008E1525" w:rsidRPr="00941B13" w:rsidRDefault="001175B9" w:rsidP="00D112AB">
      <w:pPr>
        <w:pStyle w:val="ListParagraph"/>
        <w:numPr>
          <w:ilvl w:val="0"/>
          <w:numId w:val="24"/>
        </w:numPr>
        <w:rPr>
          <w:b/>
          <w:szCs w:val="22"/>
        </w:rPr>
      </w:pPr>
      <w:r>
        <w:rPr>
          <w:szCs w:val="22"/>
        </w:rPr>
        <w:t>Dec</w:t>
      </w:r>
      <w:r w:rsidR="00E40D58">
        <w:rPr>
          <w:szCs w:val="22"/>
        </w:rPr>
        <w:t>ember</w:t>
      </w:r>
      <w:r>
        <w:rPr>
          <w:szCs w:val="22"/>
        </w:rPr>
        <w:t xml:space="preserve"> 2015 </w:t>
      </w:r>
      <w:r w:rsidR="00E40D58">
        <w:rPr>
          <w:szCs w:val="22"/>
        </w:rPr>
        <w:t xml:space="preserve">DQC </w:t>
      </w:r>
      <w:r>
        <w:rPr>
          <w:szCs w:val="22"/>
        </w:rPr>
        <w:t>call will be cancelled</w:t>
      </w:r>
      <w:r w:rsidR="00A748C5">
        <w:rPr>
          <w:szCs w:val="22"/>
        </w:rPr>
        <w:t xml:space="preserve"> due to need to focus on contributed rules and extension guidance work streams.</w:t>
      </w:r>
      <w:r>
        <w:rPr>
          <w:szCs w:val="22"/>
        </w:rPr>
        <w:t xml:space="preserve">  </w:t>
      </w:r>
    </w:p>
    <w:p w14:paraId="0C14ADC3" w14:textId="105ABB81" w:rsidR="00941B13" w:rsidRPr="00D112AB" w:rsidRDefault="00941B13" w:rsidP="00D112AB">
      <w:pPr>
        <w:pStyle w:val="ListParagraph"/>
        <w:numPr>
          <w:ilvl w:val="0"/>
          <w:numId w:val="24"/>
        </w:numPr>
        <w:rPr>
          <w:b/>
          <w:szCs w:val="22"/>
        </w:rPr>
      </w:pPr>
      <w:r>
        <w:rPr>
          <w:szCs w:val="22"/>
        </w:rPr>
        <w:t>Next DQC meeting in person January 7, 2016, AICPA NY Office</w:t>
      </w:r>
    </w:p>
    <w:p w14:paraId="1ECA386E" w14:textId="77777777" w:rsidR="001175B9" w:rsidRDefault="001175B9" w:rsidP="006F3B19">
      <w:pPr>
        <w:pStyle w:val="ListParagraph"/>
        <w:ind w:left="0"/>
        <w:rPr>
          <w:b/>
          <w:szCs w:val="22"/>
        </w:rPr>
      </w:pPr>
    </w:p>
    <w:p w14:paraId="7B677C1F" w14:textId="59BCB122" w:rsidR="001175B9" w:rsidRDefault="00294688" w:rsidP="006F3B19">
      <w:pPr>
        <w:pStyle w:val="ListParagraph"/>
        <w:ind w:left="0"/>
        <w:rPr>
          <w:b/>
          <w:szCs w:val="22"/>
        </w:rPr>
      </w:pPr>
      <w:r>
        <w:rPr>
          <w:b/>
          <w:szCs w:val="22"/>
        </w:rPr>
        <w:t>Other</w:t>
      </w:r>
      <w:r w:rsidR="00E40D58">
        <w:rPr>
          <w:b/>
          <w:szCs w:val="22"/>
        </w:rPr>
        <w:t xml:space="preserve"> open</w:t>
      </w:r>
      <w:r w:rsidR="001175B9">
        <w:rPr>
          <w:b/>
          <w:szCs w:val="22"/>
        </w:rPr>
        <w:t xml:space="preserve"> items</w:t>
      </w:r>
    </w:p>
    <w:p w14:paraId="4C11A6F9" w14:textId="7ACE5BAF" w:rsidR="001175B9" w:rsidRDefault="00294688" w:rsidP="00D112AB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The review of the </w:t>
      </w:r>
      <w:r w:rsidR="001175B9">
        <w:rPr>
          <w:szCs w:val="22"/>
        </w:rPr>
        <w:t xml:space="preserve">XBRL US Best </w:t>
      </w:r>
      <w:r w:rsidR="00BA40EB">
        <w:rPr>
          <w:szCs w:val="22"/>
        </w:rPr>
        <w:t>P</w:t>
      </w:r>
      <w:r w:rsidR="001175B9">
        <w:rPr>
          <w:szCs w:val="22"/>
        </w:rPr>
        <w:t>ractices</w:t>
      </w:r>
      <w:r>
        <w:rPr>
          <w:szCs w:val="22"/>
        </w:rPr>
        <w:t xml:space="preserve"> Committee resolutions</w:t>
      </w:r>
      <w:r w:rsidR="001175B9">
        <w:rPr>
          <w:szCs w:val="22"/>
        </w:rPr>
        <w:t xml:space="preserve"> </w:t>
      </w:r>
      <w:r>
        <w:rPr>
          <w:szCs w:val="22"/>
        </w:rPr>
        <w:t>has been an open action item for the Committee</w:t>
      </w:r>
      <w:r w:rsidR="00BA40EB">
        <w:rPr>
          <w:szCs w:val="22"/>
        </w:rPr>
        <w:t xml:space="preserve"> and</w:t>
      </w:r>
      <w:r>
        <w:rPr>
          <w:szCs w:val="22"/>
        </w:rPr>
        <w:t xml:space="preserve"> </w:t>
      </w:r>
      <w:r w:rsidR="001175B9">
        <w:rPr>
          <w:szCs w:val="22"/>
        </w:rPr>
        <w:t xml:space="preserve">will be </w:t>
      </w:r>
      <w:r w:rsidR="00FF7867">
        <w:rPr>
          <w:szCs w:val="22"/>
        </w:rPr>
        <w:t xml:space="preserve">considered </w:t>
      </w:r>
      <w:r w:rsidR="00BA40EB">
        <w:rPr>
          <w:szCs w:val="22"/>
        </w:rPr>
        <w:t>under Contributed R</w:t>
      </w:r>
      <w:r w:rsidR="001175B9">
        <w:rPr>
          <w:szCs w:val="22"/>
        </w:rPr>
        <w:t>ules</w:t>
      </w:r>
      <w:r w:rsidR="00BA40EB">
        <w:rPr>
          <w:szCs w:val="22"/>
        </w:rPr>
        <w:t xml:space="preserve"> and Extension Guidance work streams</w:t>
      </w:r>
      <w:r w:rsidR="001175B9">
        <w:rPr>
          <w:szCs w:val="22"/>
        </w:rPr>
        <w:t xml:space="preserve"> </w:t>
      </w:r>
      <w:r w:rsidR="00BA40EB">
        <w:rPr>
          <w:szCs w:val="22"/>
        </w:rPr>
        <w:t>(</w:t>
      </w:r>
      <w:r>
        <w:rPr>
          <w:szCs w:val="22"/>
        </w:rPr>
        <w:t>where appropriate</w:t>
      </w:r>
      <w:r w:rsidR="00BA40EB">
        <w:rPr>
          <w:szCs w:val="22"/>
        </w:rPr>
        <w:t>)</w:t>
      </w:r>
      <w:r>
        <w:rPr>
          <w:szCs w:val="22"/>
        </w:rPr>
        <w:t xml:space="preserve">. </w:t>
      </w:r>
    </w:p>
    <w:p w14:paraId="07C30930" w14:textId="03D7F70B" w:rsidR="00294688" w:rsidRDefault="00294688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 xml:space="preserve">There was a concern raised that there may be </w:t>
      </w:r>
      <w:r w:rsidR="00BA40EB">
        <w:rPr>
          <w:szCs w:val="22"/>
        </w:rPr>
        <w:t>some resolutions</w:t>
      </w:r>
      <w:r>
        <w:rPr>
          <w:szCs w:val="22"/>
        </w:rPr>
        <w:t xml:space="preserve"> that </w:t>
      </w:r>
      <w:r w:rsidR="00BA40EB">
        <w:rPr>
          <w:szCs w:val="22"/>
        </w:rPr>
        <w:t>will</w:t>
      </w:r>
      <w:r>
        <w:rPr>
          <w:szCs w:val="22"/>
        </w:rPr>
        <w:t xml:space="preserve"> not</w:t>
      </w:r>
      <w:r w:rsidR="00BA40EB">
        <w:rPr>
          <w:szCs w:val="22"/>
        </w:rPr>
        <w:t xml:space="preserve"> be</w:t>
      </w:r>
      <w:r>
        <w:rPr>
          <w:szCs w:val="22"/>
        </w:rPr>
        <w:t xml:space="preserve"> addressed by </w:t>
      </w:r>
      <w:r w:rsidR="00BA40EB">
        <w:rPr>
          <w:szCs w:val="22"/>
        </w:rPr>
        <w:t xml:space="preserve">the </w:t>
      </w:r>
      <w:r>
        <w:rPr>
          <w:szCs w:val="22"/>
        </w:rPr>
        <w:t>work</w:t>
      </w:r>
      <w:r w:rsidR="00BA40EB">
        <w:rPr>
          <w:szCs w:val="22"/>
        </w:rPr>
        <w:t xml:space="preserve"> </w:t>
      </w:r>
      <w:r>
        <w:rPr>
          <w:szCs w:val="22"/>
        </w:rPr>
        <w:t>streams</w:t>
      </w:r>
      <w:r w:rsidR="00BA40EB">
        <w:rPr>
          <w:szCs w:val="22"/>
        </w:rPr>
        <w:t xml:space="preserve"> because they may not fall under topic areas being addressed.  This may cause confusion in the market.</w:t>
      </w:r>
    </w:p>
    <w:p w14:paraId="5C064E4E" w14:textId="674D6F92" w:rsidR="00BA40EB" w:rsidRDefault="00294688" w:rsidP="00D112AB">
      <w:pPr>
        <w:tabs>
          <w:tab w:val="left" w:pos="720"/>
        </w:tabs>
        <w:ind w:left="360"/>
        <w:rPr>
          <w:b/>
          <w:i/>
          <w:szCs w:val="22"/>
        </w:rPr>
      </w:pPr>
      <w:r w:rsidRPr="00D112AB">
        <w:rPr>
          <w:b/>
          <w:i/>
          <w:szCs w:val="22"/>
        </w:rPr>
        <w:t>Action item</w:t>
      </w:r>
      <w:r w:rsidR="00BA40EB">
        <w:rPr>
          <w:b/>
          <w:i/>
          <w:szCs w:val="22"/>
        </w:rPr>
        <w:t xml:space="preserve"> -</w:t>
      </w:r>
      <w:r w:rsidRPr="00D112AB">
        <w:rPr>
          <w:b/>
          <w:i/>
          <w:szCs w:val="22"/>
        </w:rPr>
        <w:t xml:space="preserve"> </w:t>
      </w:r>
      <w:r w:rsidR="00BA40EB" w:rsidRPr="005A41FA">
        <w:rPr>
          <w:b/>
          <w:i/>
          <w:szCs w:val="22"/>
        </w:rPr>
        <w:t xml:space="preserve">2nd Quarter of 2016 </w:t>
      </w:r>
      <w:r w:rsidRPr="00D112AB">
        <w:rPr>
          <w:b/>
          <w:i/>
          <w:szCs w:val="22"/>
        </w:rPr>
        <w:t>add B</w:t>
      </w:r>
      <w:r w:rsidR="00BA40EB">
        <w:rPr>
          <w:b/>
          <w:i/>
          <w:szCs w:val="22"/>
        </w:rPr>
        <w:t xml:space="preserve">est </w:t>
      </w:r>
      <w:r w:rsidRPr="00D112AB">
        <w:rPr>
          <w:b/>
          <w:i/>
          <w:szCs w:val="22"/>
        </w:rPr>
        <w:t>P</w:t>
      </w:r>
      <w:r w:rsidR="00BA40EB">
        <w:rPr>
          <w:b/>
          <w:i/>
          <w:szCs w:val="22"/>
        </w:rPr>
        <w:t>ractice resolutions that have not yet been addressed by DQC to the Agenda</w:t>
      </w:r>
      <w:r w:rsidR="00FF7867">
        <w:rPr>
          <w:b/>
          <w:i/>
          <w:szCs w:val="22"/>
        </w:rPr>
        <w:t xml:space="preserve"> for a decision on </w:t>
      </w:r>
      <w:r w:rsidR="00860415">
        <w:rPr>
          <w:b/>
          <w:i/>
          <w:szCs w:val="22"/>
        </w:rPr>
        <w:t>how to address them</w:t>
      </w:r>
      <w:r w:rsidR="00BA40EB">
        <w:rPr>
          <w:b/>
          <w:i/>
          <w:szCs w:val="22"/>
        </w:rPr>
        <w:t>.</w:t>
      </w:r>
    </w:p>
    <w:p w14:paraId="672BC921" w14:textId="77777777" w:rsidR="00C8041C" w:rsidRDefault="00C8041C" w:rsidP="00D112AB">
      <w:pPr>
        <w:rPr>
          <w:szCs w:val="22"/>
        </w:rPr>
      </w:pPr>
    </w:p>
    <w:p w14:paraId="502D3D39" w14:textId="37DED0DF" w:rsidR="00CC2652" w:rsidRDefault="001175B9" w:rsidP="00D112AB">
      <w:pPr>
        <w:pStyle w:val="ListParagraph"/>
        <w:numPr>
          <w:ilvl w:val="0"/>
          <w:numId w:val="24"/>
        </w:numPr>
        <w:rPr>
          <w:szCs w:val="22"/>
        </w:rPr>
      </w:pPr>
      <w:r w:rsidRPr="00D112AB">
        <w:rPr>
          <w:szCs w:val="22"/>
        </w:rPr>
        <w:t xml:space="preserve">Revenue work </w:t>
      </w:r>
      <w:r w:rsidR="00860415">
        <w:rPr>
          <w:szCs w:val="22"/>
        </w:rPr>
        <w:t xml:space="preserve">stream </w:t>
      </w:r>
      <w:r w:rsidRPr="00D112AB">
        <w:rPr>
          <w:szCs w:val="22"/>
        </w:rPr>
        <w:t>will be folded into extension guidance</w:t>
      </w:r>
      <w:r w:rsidR="00BA40EB" w:rsidRPr="00D112AB">
        <w:rPr>
          <w:szCs w:val="22"/>
        </w:rPr>
        <w:t xml:space="preserve"> work stream.</w:t>
      </w:r>
      <w:r w:rsidR="00C8041C">
        <w:rPr>
          <w:szCs w:val="22"/>
        </w:rPr>
        <w:t xml:space="preserve"> </w:t>
      </w:r>
    </w:p>
    <w:p w14:paraId="624E2041" w14:textId="77777777" w:rsidR="00CC2652" w:rsidRDefault="00CC2652" w:rsidP="00D112AB">
      <w:pPr>
        <w:pStyle w:val="ListParagraph"/>
        <w:rPr>
          <w:szCs w:val="22"/>
        </w:rPr>
      </w:pPr>
    </w:p>
    <w:p w14:paraId="2803D048" w14:textId="5E9705C2" w:rsidR="00094F3E" w:rsidRPr="00D112AB" w:rsidRDefault="00CC2652" w:rsidP="00D112AB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SEC released proposed </w:t>
      </w:r>
      <w:r w:rsidR="00294688" w:rsidRPr="00D112AB">
        <w:rPr>
          <w:szCs w:val="22"/>
        </w:rPr>
        <w:t xml:space="preserve">EFM </w:t>
      </w:r>
      <w:r>
        <w:rPr>
          <w:szCs w:val="22"/>
        </w:rPr>
        <w:t>rules that</w:t>
      </w:r>
      <w:r w:rsidR="00294688" w:rsidRPr="00D112AB">
        <w:rPr>
          <w:szCs w:val="22"/>
        </w:rPr>
        <w:t xml:space="preserve"> impact rendering.  </w:t>
      </w:r>
      <w:r>
        <w:rPr>
          <w:szCs w:val="22"/>
        </w:rPr>
        <w:t>From i</w:t>
      </w:r>
      <w:r w:rsidR="00294688" w:rsidRPr="00D112AB">
        <w:rPr>
          <w:szCs w:val="22"/>
        </w:rPr>
        <w:t xml:space="preserve">nitial </w:t>
      </w:r>
      <w:r w:rsidR="00B0779E">
        <w:rPr>
          <w:szCs w:val="22"/>
        </w:rPr>
        <w:t>analysis</w:t>
      </w:r>
      <w:r>
        <w:rPr>
          <w:szCs w:val="22"/>
        </w:rPr>
        <w:t>,</w:t>
      </w:r>
      <w:r w:rsidR="00294688" w:rsidRPr="00D112AB">
        <w:rPr>
          <w:szCs w:val="22"/>
        </w:rPr>
        <w:t xml:space="preserve"> </w:t>
      </w:r>
      <w:r>
        <w:rPr>
          <w:szCs w:val="22"/>
        </w:rPr>
        <w:t>there is</w:t>
      </w:r>
      <w:r w:rsidR="00294688" w:rsidRPr="00D112AB">
        <w:rPr>
          <w:szCs w:val="22"/>
        </w:rPr>
        <w:t xml:space="preserve"> no impact on </w:t>
      </w:r>
      <w:r w:rsidR="00A37695">
        <w:rPr>
          <w:szCs w:val="22"/>
        </w:rPr>
        <w:t>the</w:t>
      </w:r>
      <w:r w:rsidR="00294688" w:rsidRPr="00D112AB">
        <w:rPr>
          <w:szCs w:val="22"/>
        </w:rPr>
        <w:t xml:space="preserve"> contributed rules.  </w:t>
      </w:r>
      <w:r w:rsidR="00294688" w:rsidRPr="00C8041C">
        <w:rPr>
          <w:szCs w:val="22"/>
        </w:rPr>
        <w:t xml:space="preserve">Committee should provide </w:t>
      </w:r>
      <w:r w:rsidR="00FE65F3">
        <w:rPr>
          <w:szCs w:val="22"/>
        </w:rPr>
        <w:t xml:space="preserve">a </w:t>
      </w:r>
      <w:r w:rsidR="00294688" w:rsidRPr="00C8041C">
        <w:rPr>
          <w:szCs w:val="22"/>
        </w:rPr>
        <w:t>comment</w:t>
      </w:r>
      <w:r w:rsidR="00FE65F3">
        <w:rPr>
          <w:szCs w:val="22"/>
        </w:rPr>
        <w:t xml:space="preserve"> letter</w:t>
      </w:r>
      <w:r w:rsidR="00294688" w:rsidRPr="00C8041C">
        <w:rPr>
          <w:szCs w:val="22"/>
        </w:rPr>
        <w:t xml:space="preserve"> to SEC Staff </w:t>
      </w:r>
      <w:r w:rsidR="00FE65F3">
        <w:rPr>
          <w:szCs w:val="22"/>
        </w:rPr>
        <w:t>recommending</w:t>
      </w:r>
      <w:r w:rsidR="00294688" w:rsidRPr="00C8041C">
        <w:rPr>
          <w:szCs w:val="22"/>
        </w:rPr>
        <w:t xml:space="preserve"> technical updates to be </w:t>
      </w:r>
      <w:r w:rsidR="00FE65F3">
        <w:rPr>
          <w:szCs w:val="22"/>
        </w:rPr>
        <w:t>subjected</w:t>
      </w:r>
      <w:r w:rsidR="00FE65F3" w:rsidRPr="00C8041C">
        <w:rPr>
          <w:szCs w:val="22"/>
        </w:rPr>
        <w:t xml:space="preserve"> </w:t>
      </w:r>
      <w:r w:rsidR="00BF7803">
        <w:rPr>
          <w:szCs w:val="22"/>
        </w:rPr>
        <w:t>to</w:t>
      </w:r>
      <w:r w:rsidR="00A37695">
        <w:rPr>
          <w:szCs w:val="22"/>
        </w:rPr>
        <w:t xml:space="preserve"> </w:t>
      </w:r>
      <w:r w:rsidR="00294688" w:rsidRPr="00C8041C">
        <w:rPr>
          <w:szCs w:val="22"/>
        </w:rPr>
        <w:t xml:space="preserve">a formal </w:t>
      </w:r>
      <w:r w:rsidR="00FE65F3">
        <w:rPr>
          <w:szCs w:val="22"/>
        </w:rPr>
        <w:t xml:space="preserve">public review </w:t>
      </w:r>
      <w:bookmarkStart w:id="0" w:name="_GoBack"/>
      <w:bookmarkEnd w:id="0"/>
      <w:r w:rsidR="00FE65F3">
        <w:rPr>
          <w:szCs w:val="22"/>
        </w:rPr>
        <w:t>process</w:t>
      </w:r>
      <w:r w:rsidR="00294688" w:rsidRPr="00C8041C">
        <w:rPr>
          <w:szCs w:val="22"/>
        </w:rPr>
        <w:t xml:space="preserve">. </w:t>
      </w:r>
    </w:p>
    <w:p w14:paraId="64563A2D" w14:textId="76C2ECF1" w:rsidR="00FE65F3" w:rsidRPr="004B49EC" w:rsidRDefault="00FE65F3" w:rsidP="004B49EC">
      <w:pPr>
        <w:tabs>
          <w:tab w:val="left" w:pos="720"/>
        </w:tabs>
        <w:ind w:left="360"/>
        <w:rPr>
          <w:b/>
          <w:i/>
          <w:szCs w:val="22"/>
        </w:rPr>
      </w:pPr>
      <w:r w:rsidRPr="004B49EC">
        <w:rPr>
          <w:b/>
          <w:i/>
          <w:szCs w:val="22"/>
        </w:rPr>
        <w:t xml:space="preserve">Action item </w:t>
      </w:r>
      <w:r>
        <w:rPr>
          <w:b/>
          <w:i/>
          <w:szCs w:val="22"/>
        </w:rPr>
        <w:t>–</w:t>
      </w:r>
      <w:r w:rsidRPr="004B49EC">
        <w:rPr>
          <w:b/>
          <w:i/>
          <w:szCs w:val="22"/>
        </w:rPr>
        <w:t xml:space="preserve"> </w:t>
      </w:r>
      <w:r>
        <w:rPr>
          <w:b/>
          <w:i/>
          <w:szCs w:val="22"/>
        </w:rPr>
        <w:t>Prepare comment letter for Committee approval</w:t>
      </w:r>
      <w:r w:rsidRPr="004B49EC">
        <w:rPr>
          <w:b/>
          <w:i/>
          <w:szCs w:val="22"/>
        </w:rPr>
        <w:t>.</w:t>
      </w:r>
    </w:p>
    <w:p w14:paraId="6DDB83F3" w14:textId="77777777" w:rsidR="00F628B8" w:rsidRPr="008F0680" w:rsidRDefault="00F628B8" w:rsidP="006F3B19">
      <w:pPr>
        <w:pStyle w:val="ListParagraph"/>
        <w:ind w:left="0"/>
        <w:rPr>
          <w:b/>
          <w:szCs w:val="22"/>
        </w:rPr>
      </w:pPr>
    </w:p>
    <w:p w14:paraId="23A66D2E" w14:textId="77777777" w:rsidR="00294688" w:rsidRPr="00D112AB" w:rsidRDefault="00294688" w:rsidP="006F3B19">
      <w:pPr>
        <w:pStyle w:val="ListParagraph"/>
        <w:ind w:left="0"/>
        <w:rPr>
          <w:b/>
          <w:szCs w:val="22"/>
        </w:rPr>
      </w:pPr>
      <w:r w:rsidRPr="00D112AB">
        <w:rPr>
          <w:b/>
          <w:szCs w:val="22"/>
        </w:rPr>
        <w:lastRenderedPageBreak/>
        <w:t>Wrap up</w:t>
      </w:r>
    </w:p>
    <w:p w14:paraId="04590EF4" w14:textId="7FE64EAB" w:rsidR="00136C56" w:rsidRPr="008F0680" w:rsidRDefault="00294688" w:rsidP="006F3B19">
      <w:pPr>
        <w:pStyle w:val="ListParagraph"/>
        <w:ind w:left="0"/>
        <w:rPr>
          <w:szCs w:val="22"/>
        </w:rPr>
      </w:pPr>
      <w:r w:rsidRPr="00D112AB">
        <w:rPr>
          <w:szCs w:val="22"/>
        </w:rPr>
        <w:t>Chair thanked Committee, DQC staff and developers on work on the rules that were approved today.</w:t>
      </w:r>
    </w:p>
    <w:p w14:paraId="63305DE3" w14:textId="77777777" w:rsidR="00294688" w:rsidRDefault="00294688" w:rsidP="006F3B19">
      <w:pPr>
        <w:pStyle w:val="ListParagraph"/>
        <w:ind w:left="0"/>
        <w:rPr>
          <w:szCs w:val="22"/>
        </w:rPr>
      </w:pPr>
    </w:p>
    <w:p w14:paraId="60F136BD" w14:textId="2E5169EA" w:rsidR="00094F3E" w:rsidRPr="008F0680" w:rsidRDefault="00CB2A3B" w:rsidP="006F3B19">
      <w:pPr>
        <w:pStyle w:val="ListParagraph"/>
        <w:ind w:left="0"/>
        <w:rPr>
          <w:szCs w:val="22"/>
        </w:rPr>
      </w:pPr>
      <w:r w:rsidRPr="008F0680">
        <w:rPr>
          <w:szCs w:val="22"/>
        </w:rPr>
        <w:t>Meeting adjourned</w:t>
      </w:r>
    </w:p>
    <w:sectPr w:rsidR="00094F3E" w:rsidRPr="008F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3C5F"/>
    <w:multiLevelType w:val="hybridMultilevel"/>
    <w:tmpl w:val="B638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0CA9"/>
    <w:multiLevelType w:val="hybridMultilevel"/>
    <w:tmpl w:val="C55C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52EDF"/>
    <w:multiLevelType w:val="hybridMultilevel"/>
    <w:tmpl w:val="B03C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3472F"/>
    <w:multiLevelType w:val="hybridMultilevel"/>
    <w:tmpl w:val="168C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5339"/>
    <w:multiLevelType w:val="hybridMultilevel"/>
    <w:tmpl w:val="F0EAE4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7FB1C45"/>
    <w:multiLevelType w:val="hybridMultilevel"/>
    <w:tmpl w:val="720E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50014"/>
    <w:multiLevelType w:val="multilevel"/>
    <w:tmpl w:val="6176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00CC3"/>
    <w:multiLevelType w:val="hybridMultilevel"/>
    <w:tmpl w:val="9A543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0C74AF"/>
    <w:multiLevelType w:val="hybridMultilevel"/>
    <w:tmpl w:val="49944A0E"/>
    <w:lvl w:ilvl="0" w:tplc="8D2093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0A3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0822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FC8C5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85E8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29B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6A1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881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E8CC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7A1D05"/>
    <w:multiLevelType w:val="hybridMultilevel"/>
    <w:tmpl w:val="E3C4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42AE4"/>
    <w:multiLevelType w:val="hybridMultilevel"/>
    <w:tmpl w:val="6C0A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538F1"/>
    <w:multiLevelType w:val="hybridMultilevel"/>
    <w:tmpl w:val="8330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65F71"/>
    <w:multiLevelType w:val="hybridMultilevel"/>
    <w:tmpl w:val="541E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70B48"/>
    <w:multiLevelType w:val="hybridMultilevel"/>
    <w:tmpl w:val="F1805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660C69"/>
    <w:multiLevelType w:val="hybridMultilevel"/>
    <w:tmpl w:val="724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C006E"/>
    <w:multiLevelType w:val="multilevel"/>
    <w:tmpl w:val="73A27B9C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543B4"/>
    <w:multiLevelType w:val="hybridMultilevel"/>
    <w:tmpl w:val="045ECBB4"/>
    <w:lvl w:ilvl="0" w:tplc="4D44A6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A4AF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44147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C645C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E1219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3090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40CC4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304F2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9075D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9228E"/>
    <w:multiLevelType w:val="hybridMultilevel"/>
    <w:tmpl w:val="AE7A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B4811"/>
    <w:multiLevelType w:val="hybridMultilevel"/>
    <w:tmpl w:val="4326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74B8B"/>
    <w:multiLevelType w:val="hybridMultilevel"/>
    <w:tmpl w:val="3650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57D8A"/>
    <w:multiLevelType w:val="hybridMultilevel"/>
    <w:tmpl w:val="39D4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71112"/>
    <w:multiLevelType w:val="hybridMultilevel"/>
    <w:tmpl w:val="2048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F7424"/>
    <w:multiLevelType w:val="hybridMultilevel"/>
    <w:tmpl w:val="FA3A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A34CA"/>
    <w:multiLevelType w:val="hybridMultilevel"/>
    <w:tmpl w:val="CBF2768A"/>
    <w:lvl w:ilvl="0" w:tplc="2880F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107B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047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22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8AD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684A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0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00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940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89761E"/>
    <w:multiLevelType w:val="hybridMultilevel"/>
    <w:tmpl w:val="6232A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8"/>
  </w:num>
  <w:num w:numId="4">
    <w:abstractNumId w:val="23"/>
  </w:num>
  <w:num w:numId="5">
    <w:abstractNumId w:val="7"/>
  </w:num>
  <w:num w:numId="6">
    <w:abstractNumId w:val="2"/>
  </w:num>
  <w:num w:numId="7">
    <w:abstractNumId w:val="0"/>
  </w:num>
  <w:num w:numId="8">
    <w:abstractNumId w:val="20"/>
  </w:num>
  <w:num w:numId="9">
    <w:abstractNumId w:val="21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  <w:num w:numId="14">
    <w:abstractNumId w:val="13"/>
  </w:num>
  <w:num w:numId="15">
    <w:abstractNumId w:val="1"/>
  </w:num>
  <w:num w:numId="16">
    <w:abstractNumId w:val="24"/>
  </w:num>
  <w:num w:numId="17">
    <w:abstractNumId w:val="6"/>
  </w:num>
  <w:num w:numId="18">
    <w:abstractNumId w:val="15"/>
  </w:num>
  <w:num w:numId="19">
    <w:abstractNumId w:val="17"/>
  </w:num>
  <w:num w:numId="20">
    <w:abstractNumId w:val="11"/>
  </w:num>
  <w:num w:numId="21">
    <w:abstractNumId w:val="18"/>
  </w:num>
  <w:num w:numId="22">
    <w:abstractNumId w:val="14"/>
  </w:num>
  <w:num w:numId="23">
    <w:abstractNumId w:val="5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CB"/>
    <w:rsid w:val="00025BF0"/>
    <w:rsid w:val="00030BA5"/>
    <w:rsid w:val="000322BA"/>
    <w:rsid w:val="000460A6"/>
    <w:rsid w:val="0004796B"/>
    <w:rsid w:val="00067241"/>
    <w:rsid w:val="00090769"/>
    <w:rsid w:val="00094F3E"/>
    <w:rsid w:val="000B0B13"/>
    <w:rsid w:val="000B0F15"/>
    <w:rsid w:val="000C597A"/>
    <w:rsid w:val="000D0A6E"/>
    <w:rsid w:val="000D3658"/>
    <w:rsid w:val="000D66CE"/>
    <w:rsid w:val="000E5238"/>
    <w:rsid w:val="000F7FA8"/>
    <w:rsid w:val="00114867"/>
    <w:rsid w:val="001175B9"/>
    <w:rsid w:val="00136C56"/>
    <w:rsid w:val="00145F54"/>
    <w:rsid w:val="00147E7E"/>
    <w:rsid w:val="0015148D"/>
    <w:rsid w:val="00180A28"/>
    <w:rsid w:val="001946A8"/>
    <w:rsid w:val="001974B0"/>
    <w:rsid w:val="001A7CB3"/>
    <w:rsid w:val="001C150B"/>
    <w:rsid w:val="001C5ACD"/>
    <w:rsid w:val="001E1359"/>
    <w:rsid w:val="001E241F"/>
    <w:rsid w:val="00234A69"/>
    <w:rsid w:val="00244C05"/>
    <w:rsid w:val="00253187"/>
    <w:rsid w:val="002805E8"/>
    <w:rsid w:val="00282921"/>
    <w:rsid w:val="00294688"/>
    <w:rsid w:val="002971A4"/>
    <w:rsid w:val="002A7931"/>
    <w:rsid w:val="002C5788"/>
    <w:rsid w:val="002E3D72"/>
    <w:rsid w:val="002E7ED0"/>
    <w:rsid w:val="002F36E9"/>
    <w:rsid w:val="00321253"/>
    <w:rsid w:val="00327230"/>
    <w:rsid w:val="00327A60"/>
    <w:rsid w:val="003938A2"/>
    <w:rsid w:val="003A2CC2"/>
    <w:rsid w:val="003D4324"/>
    <w:rsid w:val="004078B0"/>
    <w:rsid w:val="00422667"/>
    <w:rsid w:val="00430526"/>
    <w:rsid w:val="00473DA2"/>
    <w:rsid w:val="0049689D"/>
    <w:rsid w:val="004A5C42"/>
    <w:rsid w:val="004B0CEA"/>
    <w:rsid w:val="004B49EC"/>
    <w:rsid w:val="004F2B17"/>
    <w:rsid w:val="0050028A"/>
    <w:rsid w:val="00507F18"/>
    <w:rsid w:val="00514187"/>
    <w:rsid w:val="00577408"/>
    <w:rsid w:val="00591D69"/>
    <w:rsid w:val="005926BF"/>
    <w:rsid w:val="00593AFB"/>
    <w:rsid w:val="005A67F3"/>
    <w:rsid w:val="005E33E2"/>
    <w:rsid w:val="005F0A30"/>
    <w:rsid w:val="005F1CCC"/>
    <w:rsid w:val="005F4771"/>
    <w:rsid w:val="00623CE3"/>
    <w:rsid w:val="00630E7E"/>
    <w:rsid w:val="0063182A"/>
    <w:rsid w:val="00655187"/>
    <w:rsid w:val="00683CE8"/>
    <w:rsid w:val="006A2040"/>
    <w:rsid w:val="006A55BB"/>
    <w:rsid w:val="006F3B19"/>
    <w:rsid w:val="00712EE6"/>
    <w:rsid w:val="00721487"/>
    <w:rsid w:val="00726FB6"/>
    <w:rsid w:val="007322C0"/>
    <w:rsid w:val="00732CC6"/>
    <w:rsid w:val="00740868"/>
    <w:rsid w:val="007513CB"/>
    <w:rsid w:val="00762C74"/>
    <w:rsid w:val="0077534E"/>
    <w:rsid w:val="007934CF"/>
    <w:rsid w:val="007B49E7"/>
    <w:rsid w:val="007D060F"/>
    <w:rsid w:val="007D599C"/>
    <w:rsid w:val="007F42ED"/>
    <w:rsid w:val="007F65D5"/>
    <w:rsid w:val="00800A31"/>
    <w:rsid w:val="00803311"/>
    <w:rsid w:val="008115D1"/>
    <w:rsid w:val="00823DA6"/>
    <w:rsid w:val="008257BC"/>
    <w:rsid w:val="0083249B"/>
    <w:rsid w:val="0083477B"/>
    <w:rsid w:val="00843B2D"/>
    <w:rsid w:val="00860415"/>
    <w:rsid w:val="00873D3D"/>
    <w:rsid w:val="008B3B32"/>
    <w:rsid w:val="008B4AC1"/>
    <w:rsid w:val="008C410C"/>
    <w:rsid w:val="008E0194"/>
    <w:rsid w:val="008E1525"/>
    <w:rsid w:val="008E5017"/>
    <w:rsid w:val="008F0680"/>
    <w:rsid w:val="00916695"/>
    <w:rsid w:val="0092031B"/>
    <w:rsid w:val="00922B9E"/>
    <w:rsid w:val="00924C8D"/>
    <w:rsid w:val="00933DE8"/>
    <w:rsid w:val="00941B13"/>
    <w:rsid w:val="00943BB3"/>
    <w:rsid w:val="00953913"/>
    <w:rsid w:val="00956EAB"/>
    <w:rsid w:val="00957FBF"/>
    <w:rsid w:val="00961BFC"/>
    <w:rsid w:val="0097782A"/>
    <w:rsid w:val="00995574"/>
    <w:rsid w:val="009A3492"/>
    <w:rsid w:val="009A7D83"/>
    <w:rsid w:val="009F0BB6"/>
    <w:rsid w:val="009F3FEA"/>
    <w:rsid w:val="00A018A1"/>
    <w:rsid w:val="00A01911"/>
    <w:rsid w:val="00A138E4"/>
    <w:rsid w:val="00A17855"/>
    <w:rsid w:val="00A3040F"/>
    <w:rsid w:val="00A37695"/>
    <w:rsid w:val="00A40EBF"/>
    <w:rsid w:val="00A44D5E"/>
    <w:rsid w:val="00A54278"/>
    <w:rsid w:val="00A748C5"/>
    <w:rsid w:val="00A97D2E"/>
    <w:rsid w:val="00AA2F82"/>
    <w:rsid w:val="00AA3AA1"/>
    <w:rsid w:val="00AA417B"/>
    <w:rsid w:val="00AB2CDA"/>
    <w:rsid w:val="00AD2494"/>
    <w:rsid w:val="00AE045A"/>
    <w:rsid w:val="00AF1258"/>
    <w:rsid w:val="00B05390"/>
    <w:rsid w:val="00B05D97"/>
    <w:rsid w:val="00B0779E"/>
    <w:rsid w:val="00B37331"/>
    <w:rsid w:val="00B42A54"/>
    <w:rsid w:val="00B43584"/>
    <w:rsid w:val="00B45775"/>
    <w:rsid w:val="00B46AE9"/>
    <w:rsid w:val="00B56E12"/>
    <w:rsid w:val="00B67C70"/>
    <w:rsid w:val="00B861DD"/>
    <w:rsid w:val="00B9709F"/>
    <w:rsid w:val="00BA40EB"/>
    <w:rsid w:val="00BC559E"/>
    <w:rsid w:val="00BD2FA3"/>
    <w:rsid w:val="00BF5C7D"/>
    <w:rsid w:val="00BF7803"/>
    <w:rsid w:val="00C04F99"/>
    <w:rsid w:val="00C061BF"/>
    <w:rsid w:val="00C217CE"/>
    <w:rsid w:val="00C3163C"/>
    <w:rsid w:val="00C34227"/>
    <w:rsid w:val="00C35AE7"/>
    <w:rsid w:val="00C46C80"/>
    <w:rsid w:val="00C575A6"/>
    <w:rsid w:val="00C63F1B"/>
    <w:rsid w:val="00C6719D"/>
    <w:rsid w:val="00C8041C"/>
    <w:rsid w:val="00C840C5"/>
    <w:rsid w:val="00CA5DB0"/>
    <w:rsid w:val="00CB2A3B"/>
    <w:rsid w:val="00CC2652"/>
    <w:rsid w:val="00CF599F"/>
    <w:rsid w:val="00D112AB"/>
    <w:rsid w:val="00D13E3C"/>
    <w:rsid w:val="00D52567"/>
    <w:rsid w:val="00D54916"/>
    <w:rsid w:val="00D57E2F"/>
    <w:rsid w:val="00D74101"/>
    <w:rsid w:val="00D83D3B"/>
    <w:rsid w:val="00D87156"/>
    <w:rsid w:val="00DB62E8"/>
    <w:rsid w:val="00DB6ABF"/>
    <w:rsid w:val="00DD1E58"/>
    <w:rsid w:val="00E116A2"/>
    <w:rsid w:val="00E22A4A"/>
    <w:rsid w:val="00E254A1"/>
    <w:rsid w:val="00E40202"/>
    <w:rsid w:val="00E40D58"/>
    <w:rsid w:val="00E5144B"/>
    <w:rsid w:val="00E51889"/>
    <w:rsid w:val="00E91AFA"/>
    <w:rsid w:val="00E9757F"/>
    <w:rsid w:val="00EA09DE"/>
    <w:rsid w:val="00EA1BDD"/>
    <w:rsid w:val="00EA5FE8"/>
    <w:rsid w:val="00EB7A2F"/>
    <w:rsid w:val="00EC35C0"/>
    <w:rsid w:val="00ED1B8B"/>
    <w:rsid w:val="00ED6550"/>
    <w:rsid w:val="00F25656"/>
    <w:rsid w:val="00F400DA"/>
    <w:rsid w:val="00F5588A"/>
    <w:rsid w:val="00F628B8"/>
    <w:rsid w:val="00F77FE1"/>
    <w:rsid w:val="00F81A15"/>
    <w:rsid w:val="00F832AA"/>
    <w:rsid w:val="00FA1BEC"/>
    <w:rsid w:val="00FB2301"/>
    <w:rsid w:val="00FC56DC"/>
    <w:rsid w:val="00FE31B0"/>
    <w:rsid w:val="00FE65F3"/>
    <w:rsid w:val="00FF292D"/>
    <w:rsid w:val="00FF2EF1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3ACC0"/>
  <w15:docId w15:val="{816C20CC-C8A9-4193-87E1-A2B00AE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13CB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3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1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E1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12"/>
    <w:rPr>
      <w:rFonts w:ascii="Lucida Grande" w:eastAsia="Arial" w:hAnsi="Lucida Grande" w:cs="Lucida Grande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3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8E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8E4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8E4"/>
    <w:rPr>
      <w:rFonts w:ascii="Arial" w:eastAsia="Arial" w:hAnsi="Arial" w:cs="Arial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0769"/>
    <w:pPr>
      <w:spacing w:before="100" w:beforeAutospacing="1" w:after="100" w:afterAutospacing="1" w:line="240" w:lineRule="auto"/>
    </w:pPr>
    <w:rPr>
      <w:rFonts w:ascii="Times" w:eastAsiaTheme="minorHAnsi" w:hAnsi="Times" w:cs="Times New Roman"/>
      <w:color w:val="auto"/>
      <w:sz w:val="20"/>
    </w:rPr>
  </w:style>
  <w:style w:type="paragraph" w:customStyle="1" w:styleId="Default">
    <w:name w:val="Default"/>
    <w:rsid w:val="005926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4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2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u.rohman@merrillcor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7B8C5-C06B-470F-89F6-6BECA37A0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5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Beers</dc:creator>
  <cp:keywords/>
  <dc:description/>
  <cp:lastModifiedBy>Ami Beers</cp:lastModifiedBy>
  <cp:revision>3</cp:revision>
  <cp:lastPrinted>2015-06-15T22:37:00Z</cp:lastPrinted>
  <dcterms:created xsi:type="dcterms:W3CDTF">2015-12-18T15:21:00Z</dcterms:created>
  <dcterms:modified xsi:type="dcterms:W3CDTF">2015-12-19T19:26:00Z</dcterms:modified>
</cp:coreProperties>
</file>