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89" w:rsidRDefault="00EE22A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9cqjz1me3vop" w:colFirst="0" w:colLast="0"/>
      <w:bookmarkStart w:id="1" w:name="_GoBack"/>
      <w:bookmarkEnd w:id="0"/>
      <w:bookmarkEnd w:id="1"/>
      <w:r>
        <w:t>Disaggregation by Variable Interest Elements (VIE)</w:t>
      </w: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</w:pPr>
      <w:r>
        <w:t>Rule ID: DQC_0082</w:t>
      </w:r>
    </w:p>
    <w:p w:rsidR="007F5D89" w:rsidRDefault="00EE22A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jcnmuin87d7z" w:colFirst="0" w:colLast="0"/>
      <w:bookmarkEnd w:id="2"/>
      <w:r>
        <w:t>Rule function</w:t>
      </w: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right="200"/>
        <w:jc w:val="both"/>
      </w:pPr>
      <w:r>
        <w:t>This rule identifies if the following Variable Interest Entities (VIE) related elements have been used in the filing:</w:t>
      </w:r>
    </w:p>
    <w:p w:rsidR="007F5D89" w:rsidRDefault="00EE22AE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VariableInterestEntityConsolidatedAssetsCurrent</w:t>
      </w:r>
      <w:proofErr w:type="spellEnd"/>
    </w:p>
    <w:p w:rsidR="007F5D89" w:rsidRDefault="00EE22AE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VariableInterestEntityConsolidatedAssetsNoncurrent</w:t>
      </w:r>
      <w:proofErr w:type="spellEnd"/>
    </w:p>
    <w:p w:rsidR="007F5D89" w:rsidRDefault="00EE22AE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VariableInterestEntityConsolidatedCarryingAmountAssets</w:t>
      </w:r>
      <w:proofErr w:type="spellEnd"/>
    </w:p>
    <w:p w:rsidR="007F5D89" w:rsidRDefault="00EE22AE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VariableInterestEntityConsolidatedLiabilitiesCurrent</w:t>
      </w:r>
      <w:proofErr w:type="spellEnd"/>
    </w:p>
    <w:p w:rsidR="007F5D89" w:rsidRDefault="00EE22AE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VariableInterestEntityConsolidatedLiabilitiesNoncurrent</w:t>
      </w:r>
      <w:proofErr w:type="spellEnd"/>
    </w:p>
    <w:p w:rsidR="007F5D89" w:rsidRDefault="00EE22AE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VariableInterestEntityConsolidatedCarryingAmountLiabilities</w:t>
      </w:r>
      <w:proofErr w:type="spellEnd"/>
    </w:p>
    <w:p w:rsidR="007F5D89" w:rsidRDefault="00EE22AE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VariableInterestEntityConsolidatedCarryingAmountAssetsAndLiabilitiesNet</w:t>
      </w:r>
    </w:p>
    <w:p w:rsidR="007F5D89" w:rsidRDefault="007F5D89">
      <w:pPr>
        <w:spacing w:line="240" w:lineRule="auto"/>
        <w:jc w:val="both"/>
        <w:rPr>
          <w:sz w:val="18"/>
          <w:szCs w:val="18"/>
          <w:highlight w:val="white"/>
        </w:rPr>
      </w:pPr>
    </w:p>
    <w:p w:rsidR="007F5D89" w:rsidRDefault="00EE22AE">
      <w:pPr>
        <w:spacing w:line="240" w:lineRule="auto"/>
        <w:jc w:val="both"/>
      </w:pPr>
      <w:r>
        <w:t>The elements listed above should no longer be used and should be replaced with the balance sheet elements such as the follo</w:t>
      </w:r>
      <w:r>
        <w:t>wing:</w:t>
      </w:r>
    </w:p>
    <w:p w:rsidR="007F5D89" w:rsidRDefault="007F5D89">
      <w:pPr>
        <w:spacing w:line="240" w:lineRule="auto"/>
        <w:jc w:val="both"/>
      </w:pPr>
    </w:p>
    <w:p w:rsidR="007F5D89" w:rsidRDefault="00EE22AE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AssetsCurrent</w:t>
      </w:r>
      <w:proofErr w:type="spellEnd"/>
    </w:p>
    <w:p w:rsidR="007F5D89" w:rsidRDefault="00EE22AE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AssetsNoncurrent</w:t>
      </w:r>
      <w:proofErr w:type="spellEnd"/>
    </w:p>
    <w:p w:rsidR="007F5D89" w:rsidRDefault="00EE22AE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Assets</w:t>
      </w:r>
    </w:p>
    <w:p w:rsidR="007F5D89" w:rsidRDefault="00EE22AE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LiabilitiesCurrent</w:t>
      </w:r>
      <w:proofErr w:type="spellEnd"/>
    </w:p>
    <w:p w:rsidR="007F5D89" w:rsidRDefault="00EE22AE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LiabilitiesNoncurrent</w:t>
      </w:r>
      <w:proofErr w:type="spellEnd"/>
    </w:p>
    <w:p w:rsidR="007F5D89" w:rsidRDefault="00EE22AE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Liabilities</w:t>
      </w:r>
    </w:p>
    <w:p w:rsidR="007F5D89" w:rsidRDefault="00EE22AE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AssetsNet</w:t>
      </w:r>
      <w:proofErr w:type="spellEnd"/>
      <w:r>
        <w:rPr>
          <w:sz w:val="18"/>
          <w:szCs w:val="18"/>
          <w:highlight w:val="white"/>
        </w:rPr>
        <w:t>/</w:t>
      </w:r>
      <w:proofErr w:type="spellStart"/>
      <w:r>
        <w:rPr>
          <w:sz w:val="18"/>
          <w:szCs w:val="18"/>
          <w:highlight w:val="white"/>
        </w:rPr>
        <w:t>ShareholdersEquity</w:t>
      </w:r>
      <w:proofErr w:type="spellEnd"/>
    </w:p>
    <w:p w:rsidR="007F5D89" w:rsidRDefault="007F5D89">
      <w:pPr>
        <w:spacing w:line="240" w:lineRule="auto"/>
        <w:jc w:val="both"/>
        <w:rPr>
          <w:sz w:val="18"/>
          <w:szCs w:val="18"/>
          <w:highlight w:val="white"/>
        </w:rPr>
      </w:pPr>
    </w:p>
    <w:p w:rsidR="007F5D89" w:rsidRDefault="00EE22AE">
      <w:pPr>
        <w:spacing w:line="240" w:lineRule="auto"/>
        <w:jc w:val="both"/>
      </w:pPr>
      <w:r>
        <w:t xml:space="preserve">In addition, these elements should be used with the </w:t>
      </w:r>
      <w:proofErr w:type="spellStart"/>
      <w:r>
        <w:rPr>
          <w:i/>
        </w:rPr>
        <w:t>ConsolidatedEntitiesAxis</w:t>
      </w:r>
      <w:proofErr w:type="spellEnd"/>
      <w:r>
        <w:t xml:space="preserve"> and the member </w:t>
      </w:r>
      <w:proofErr w:type="spellStart"/>
      <w:r>
        <w:rPr>
          <w:i/>
        </w:rPr>
        <w:t>VariableInterestEntityPrimaryBenefic</w:t>
      </w:r>
      <w:r>
        <w:rPr>
          <w:i/>
        </w:rPr>
        <w:t>iaryMember</w:t>
      </w:r>
      <w:proofErr w:type="spellEnd"/>
      <w:r>
        <w:t>. This indicates that this is the VIE component of the items on the balance sheet.</w:t>
      </w:r>
    </w:p>
    <w:p w:rsidR="007F5D89" w:rsidRDefault="007F5D89">
      <w:pPr>
        <w:spacing w:line="240" w:lineRule="auto"/>
        <w:jc w:val="both"/>
        <w:rPr>
          <w:sz w:val="18"/>
          <w:szCs w:val="18"/>
          <w:highlight w:val="white"/>
        </w:rPr>
      </w:pPr>
    </w:p>
    <w:p w:rsidR="007F5D89" w:rsidRDefault="00EE22AE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l5kh25i2qzjr" w:colFirst="0" w:colLast="0"/>
      <w:bookmarkEnd w:id="3"/>
      <w:r>
        <w:t>Problem solved by the rule</w:t>
      </w: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This rule addresses the inconsistencies in filing relative to VIE reporting, where the same facts are reported differently within a filing or across filings. This rule highlights if the filer has used one of these VIE elements so that filings can be consis</w:t>
      </w:r>
      <w:r>
        <w:t xml:space="preserve">tently reported using the </w:t>
      </w:r>
      <w:proofErr w:type="spellStart"/>
      <w:r>
        <w:rPr>
          <w:i/>
        </w:rPr>
        <w:t>ConsolidatedEntitiesAxis</w:t>
      </w:r>
      <w:proofErr w:type="spellEnd"/>
      <w:r>
        <w:t>.</w:t>
      </w:r>
    </w:p>
    <w:p w:rsidR="007F5D89" w:rsidRDefault="007F5D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34343"/>
          <w:sz w:val="28"/>
          <w:szCs w:val="28"/>
        </w:rPr>
        <w:t>Example rule message</w:t>
      </w:r>
    </w:p>
    <w:p w:rsidR="007F5D89" w:rsidRDefault="00EE22AE">
      <w:pPr>
        <w:spacing w:line="360" w:lineRule="auto"/>
      </w:pPr>
      <w:r>
        <w:t xml:space="preserve">The filer has used the element </w:t>
      </w:r>
      <w:proofErr w:type="spellStart"/>
      <w:r>
        <w:t>VariableInterestEntityConsolidatedCarryingAmountAssets</w:t>
      </w:r>
      <w:proofErr w:type="spellEnd"/>
      <w:r>
        <w:t xml:space="preserve"> to report a value of 177,352 in the filing. The filer should use the element Assets with the axi</w:t>
      </w:r>
      <w:r>
        <w:t xml:space="preserve">s </w:t>
      </w:r>
      <w:proofErr w:type="spellStart"/>
      <w:r>
        <w:t>ConsolidatedEntitiesAxis</w:t>
      </w:r>
      <w:proofErr w:type="spellEnd"/>
      <w:r>
        <w:t xml:space="preserve"> and the member </w:t>
      </w:r>
      <w:proofErr w:type="spellStart"/>
      <w:r>
        <w:t>VariableInterestEntityPrimaryBeneficiaryMember</w:t>
      </w:r>
      <w:proofErr w:type="spellEnd"/>
      <w:r>
        <w:t xml:space="preserve"> to indicate the portion of the balance sheet category that is applicable to consolidated VIE's.</w:t>
      </w:r>
    </w:p>
    <w:p w:rsidR="007F5D89" w:rsidRDefault="007F5D89">
      <w:pPr>
        <w:spacing w:line="360" w:lineRule="auto"/>
      </w:pPr>
    </w:p>
    <w:p w:rsidR="007F5D89" w:rsidRDefault="00EE22AE">
      <w:pPr>
        <w:spacing w:line="360" w:lineRule="auto"/>
      </w:pPr>
      <w:r>
        <w:lastRenderedPageBreak/>
        <w:t xml:space="preserve">The properties of this </w:t>
      </w:r>
      <w:proofErr w:type="spellStart"/>
      <w:r>
        <w:t>us-gaap</w:t>
      </w:r>
      <w:proofErr w:type="gramStart"/>
      <w:r>
        <w:t>:VariableInterestEntityConsolidatedCarry</w:t>
      </w:r>
      <w:r>
        <w:t>ingAmountAssets</w:t>
      </w:r>
      <w:proofErr w:type="spellEnd"/>
      <w:proofErr w:type="gramEnd"/>
      <w:r>
        <w:t xml:space="preserve"> fact are:</w:t>
      </w:r>
    </w:p>
    <w:p w:rsidR="007F5D89" w:rsidRDefault="00EE22AE">
      <w:pPr>
        <w:spacing w:line="360" w:lineRule="auto"/>
      </w:pPr>
      <w:proofErr w:type="gramStart"/>
      <w:r>
        <w:t>Period :2018</w:t>
      </w:r>
      <w:proofErr w:type="gramEnd"/>
      <w:r>
        <w:t>-12-31</w:t>
      </w:r>
    </w:p>
    <w:p w:rsidR="007F5D89" w:rsidRDefault="00EE22AE">
      <w:pPr>
        <w:spacing w:line="360" w:lineRule="auto"/>
      </w:pPr>
      <w:proofErr w:type="gramStart"/>
      <w:r>
        <w:t>Dimensions :</w:t>
      </w:r>
      <w:proofErr w:type="gramEnd"/>
    </w:p>
    <w:p w:rsidR="007F5D89" w:rsidRDefault="00EE22AE">
      <w:pPr>
        <w:spacing w:line="360" w:lineRule="auto"/>
      </w:pPr>
      <w:proofErr w:type="gramStart"/>
      <w:r>
        <w:t>Unit :</w:t>
      </w:r>
      <w:proofErr w:type="gramEnd"/>
      <w:r>
        <w:t xml:space="preserve"> USD</w:t>
      </w:r>
    </w:p>
    <w:p w:rsidR="007F5D89" w:rsidRDefault="00EE22AE">
      <w:pPr>
        <w:spacing w:line="360" w:lineRule="auto"/>
        <w:jc w:val="both"/>
      </w:pPr>
      <w:r>
        <w:t>Rule Element Id</w:t>
      </w:r>
      <w:proofErr w:type="gramStart"/>
      <w:r>
        <w:t>:7646</w:t>
      </w:r>
      <w:proofErr w:type="gramEnd"/>
    </w:p>
    <w:p w:rsidR="007F5D89" w:rsidRDefault="00EE22AE">
      <w:pPr>
        <w:spacing w:line="360" w:lineRule="auto"/>
        <w:jc w:val="both"/>
      </w:pPr>
      <w:r>
        <w:t>Rule version: xxx</w:t>
      </w:r>
    </w:p>
    <w:p w:rsidR="007F5D89" w:rsidRDefault="007F5D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34343"/>
          <w:sz w:val="28"/>
          <w:szCs w:val="28"/>
        </w:rPr>
        <w:t>For Developers</w:t>
      </w: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Global Rule Logic document contains general guidelines for implementation of rules.</w:t>
      </w: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rule message template contains text and </w:t>
      </w:r>
      <w:r>
        <w:t>parametric reference to arguments of the rule operation, using the syntax ${parameter} to indicate that insertion of a parameter’s value is to occur.</w:t>
      </w:r>
    </w:p>
    <w:p w:rsidR="007F5D89" w:rsidRDefault="007F5D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Message template </w:t>
      </w:r>
    </w:p>
    <w:p w:rsidR="007F5D89" w:rsidRDefault="007F5D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F5D89" w:rsidRDefault="00EE22AE">
      <w:pPr>
        <w:jc w:val="both"/>
      </w:pPr>
      <w:r>
        <w:t>The filer has used the element {$</w:t>
      </w:r>
      <w:proofErr w:type="spellStart"/>
      <w:r>
        <w:t>superseded_</w:t>
      </w:r>
      <w:proofErr w:type="gramStart"/>
      <w:r>
        <w:t>elements</w:t>
      </w:r>
      <w:proofErr w:type="spellEnd"/>
      <w:r>
        <w:t>[</w:t>
      </w:r>
      <w:proofErr w:type="gramEnd"/>
      <w:r>
        <w:t>$x][1]} to report a value of {$fa</w:t>
      </w:r>
      <w:r>
        <w:t>ct1} in the filing. The filer should use the element {$</w:t>
      </w:r>
      <w:proofErr w:type="spellStart"/>
      <w:r>
        <w:t>superseded_</w:t>
      </w:r>
      <w:proofErr w:type="gramStart"/>
      <w:r>
        <w:t>elements</w:t>
      </w:r>
      <w:proofErr w:type="spellEnd"/>
      <w:r>
        <w:t>[</w:t>
      </w:r>
      <w:proofErr w:type="gramEnd"/>
      <w:r>
        <w:t xml:space="preserve">$x][2]} with the axis </w:t>
      </w:r>
      <w:proofErr w:type="spellStart"/>
      <w:r>
        <w:t>ConsolidatedEntitiesAxis</w:t>
      </w:r>
      <w:proofErr w:type="spellEnd"/>
      <w:r>
        <w:t xml:space="preserve"> and the member </w:t>
      </w:r>
      <w:proofErr w:type="spellStart"/>
      <w:r>
        <w:t>VariableInterestEntityPrimaryBeneficiaryMember</w:t>
      </w:r>
      <w:proofErr w:type="spellEnd"/>
      <w:r>
        <w:t xml:space="preserve"> to indicate the portion of the balance sheet category that is applicable</w:t>
      </w:r>
      <w:r>
        <w:t xml:space="preserve"> to consolidated VIE's.</w:t>
      </w:r>
    </w:p>
    <w:p w:rsidR="007F5D89" w:rsidRDefault="007F5D89">
      <w:pPr>
        <w:jc w:val="both"/>
      </w:pPr>
    </w:p>
    <w:p w:rsidR="007F5D89" w:rsidRDefault="00EE22AE">
      <w:pPr>
        <w:jc w:val="both"/>
      </w:pPr>
      <w:r>
        <w:t>The properties of this {$fact1.concept} fact are:</w:t>
      </w:r>
    </w:p>
    <w:p w:rsidR="007F5D89" w:rsidRDefault="00EE22AE">
      <w:pPr>
        <w:jc w:val="both"/>
      </w:pPr>
      <w:r>
        <w:t>Period :</w:t>
      </w:r>
      <w:proofErr w:type="gramStart"/>
      <w:r>
        <w:t>{$</w:t>
      </w:r>
      <w:proofErr w:type="gramEnd"/>
      <w:r>
        <w:t>fact1.period}</w:t>
      </w:r>
    </w:p>
    <w:p w:rsidR="007F5D89" w:rsidRDefault="00EE22AE">
      <w:pPr>
        <w:jc w:val="both"/>
      </w:pPr>
      <w:proofErr w:type="gramStart"/>
      <w:r>
        <w:t>Dimensions :</w:t>
      </w:r>
      <w:proofErr w:type="gramEnd"/>
      <w:r>
        <w:t xml:space="preserve"> {$fact1.dimensions.join(', ','=')}</w:t>
      </w:r>
    </w:p>
    <w:p w:rsidR="007F5D89" w:rsidRDefault="00EE22AE">
      <w:pPr>
        <w:jc w:val="both"/>
      </w:pPr>
      <w:proofErr w:type="gramStart"/>
      <w:r>
        <w:t>Unit :</w:t>
      </w:r>
      <w:proofErr w:type="gramEnd"/>
      <w:r>
        <w:t xml:space="preserve"> {$fact1.unit}</w:t>
      </w:r>
    </w:p>
    <w:p w:rsidR="007F5D89" w:rsidRDefault="007F5D89">
      <w:pPr>
        <w:jc w:val="both"/>
      </w:pPr>
    </w:p>
    <w:p w:rsidR="007F5D89" w:rsidRDefault="00EE22AE">
      <w:pPr>
        <w:jc w:val="both"/>
      </w:pPr>
      <w:r>
        <w:t xml:space="preserve">Rule Element </w:t>
      </w:r>
      <w:proofErr w:type="gramStart"/>
      <w:r>
        <w:t>Id:</w:t>
      </w:r>
      <w:proofErr w:type="gramEnd"/>
      <w:r>
        <w:t>{$</w:t>
      </w:r>
      <w:proofErr w:type="spellStart"/>
      <w:r>
        <w:t>rule_id</w:t>
      </w:r>
      <w:proofErr w:type="spellEnd"/>
      <w:r>
        <w:t>}</w:t>
      </w:r>
    </w:p>
    <w:p w:rsidR="007F5D89" w:rsidRDefault="00EE22AE">
      <w:pPr>
        <w:jc w:val="both"/>
      </w:pPr>
      <w:r>
        <w:t>Rule version: {$</w:t>
      </w:r>
      <w:proofErr w:type="spellStart"/>
      <w:r>
        <w:t>ruleVersion</w:t>
      </w:r>
      <w:proofErr w:type="spellEnd"/>
      <w:r>
        <w:t>}</w:t>
      </w:r>
    </w:p>
    <w:p w:rsidR="007F5D89" w:rsidRDefault="007F5D89">
      <w:pPr>
        <w:jc w:val="both"/>
      </w:pPr>
    </w:p>
    <w:p w:rsidR="007F5D89" w:rsidRDefault="00EE22AE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wwbedstf3ez9" w:colFirst="0" w:colLast="0"/>
      <w:bookmarkEnd w:id="4"/>
      <w:r>
        <w:t>Rule element ID index</w:t>
      </w:r>
    </w:p>
    <w:p w:rsidR="007F5D89" w:rsidRDefault="00EE22A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rule element id is used to identify unique elements or combinations of elements tested in the rule.</w:t>
      </w:r>
    </w:p>
    <w:p w:rsidR="007F5D89" w:rsidRDefault="007F5D8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5D8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89" w:rsidRDefault="00EE22AE">
            <w:pPr>
              <w:widowControl w:val="0"/>
              <w:spacing w:line="240" w:lineRule="auto"/>
            </w:pPr>
            <w:r>
              <w:t>Rule Element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89" w:rsidRDefault="00EE22AE">
            <w:pPr>
              <w:widowControl w:val="0"/>
              <w:spacing w:line="240" w:lineRule="auto"/>
            </w:pPr>
            <w:r>
              <w:t>Elements</w:t>
            </w:r>
          </w:p>
        </w:tc>
      </w:tr>
      <w:tr w:rsidR="007F5D8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89" w:rsidRDefault="00EE22AE">
            <w:pPr>
              <w:widowControl w:val="0"/>
              <w:spacing w:line="240" w:lineRule="auto"/>
            </w:pPr>
            <w:r>
              <w:t>DQC.US.0082.9295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89" w:rsidRDefault="00EE22AE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VariableInterestEntityConsolidatedAssetsCurrent</w:t>
            </w:r>
            <w:proofErr w:type="spellEnd"/>
          </w:p>
          <w:p w:rsidR="007F5D89" w:rsidRDefault="00EE22AE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VariableInterestEntityConsolidatedAssetsNoncurrent</w:t>
            </w:r>
            <w:proofErr w:type="spellEnd"/>
          </w:p>
          <w:p w:rsidR="007F5D89" w:rsidRDefault="00EE22AE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VariableInterestEntityConsolidatedCarryingAmountAssets</w:t>
            </w:r>
            <w:proofErr w:type="spellEnd"/>
          </w:p>
          <w:p w:rsidR="007F5D89" w:rsidRDefault="00EE22AE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lastRenderedPageBreak/>
              <w:t>VariableInterestEntityConsolidatedLiabilitiesCurrent</w:t>
            </w:r>
            <w:proofErr w:type="spellEnd"/>
          </w:p>
          <w:p w:rsidR="007F5D89" w:rsidRDefault="00EE22AE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VariableInterestEntityConsolidatedLiabilitiesNoncurrent</w:t>
            </w:r>
            <w:proofErr w:type="spellEnd"/>
          </w:p>
          <w:p w:rsidR="007F5D89" w:rsidRDefault="00EE22AE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VariableInterestEntityConsolidatedCarryingAmountLiabilities</w:t>
            </w:r>
            <w:proofErr w:type="spellEnd"/>
          </w:p>
          <w:p w:rsidR="007F5D89" w:rsidRDefault="00EE22AE">
            <w:pPr>
              <w:numPr>
                <w:ilvl w:val="0"/>
                <w:numId w:val="3"/>
              </w:numPr>
              <w:spacing w:line="240" w:lineRule="auto"/>
              <w:jc w:val="both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VariableInterestEntityConsolidat</w:t>
            </w:r>
            <w:r>
              <w:rPr>
                <w:sz w:val="18"/>
                <w:szCs w:val="18"/>
                <w:highlight w:val="white"/>
              </w:rPr>
              <w:t>edCarryingAmountAssetsAndLiabilitiesNet</w:t>
            </w:r>
          </w:p>
        </w:tc>
      </w:tr>
    </w:tbl>
    <w:p w:rsidR="007F5D89" w:rsidRDefault="007F5D89"/>
    <w:sectPr w:rsidR="007F5D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954A6"/>
    <w:multiLevelType w:val="multilevel"/>
    <w:tmpl w:val="7702F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3E5752E"/>
    <w:multiLevelType w:val="multilevel"/>
    <w:tmpl w:val="8D2C4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4A73BF"/>
    <w:multiLevelType w:val="multilevel"/>
    <w:tmpl w:val="5A607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89"/>
    <w:rsid w:val="007F5D89"/>
    <w:rsid w:val="00E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8EFD5F-1153-42CB-BEE1-41CDC1D7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2019-07-10T13:29:00Z</dcterms:created>
  <dcterms:modified xsi:type="dcterms:W3CDTF">2019-07-10T13:29:00Z</dcterms:modified>
</cp:coreProperties>
</file>