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490A654C" w:rsidR="00354581" w:rsidRDefault="004D0930">
      <w:pPr>
        <w:spacing w:line="288" w:lineRule="auto"/>
        <w:jc w:val="center"/>
        <w:rPr>
          <w:rFonts w:ascii="Arial" w:eastAsia="Arial" w:hAnsi="Arial" w:cs="Arial"/>
          <w:b/>
          <w:sz w:val="24"/>
        </w:rPr>
      </w:pPr>
      <w:r>
        <w:rPr>
          <w:rFonts w:ascii="Arial" w:eastAsia="Arial" w:hAnsi="Arial" w:cs="Arial"/>
          <w:b/>
          <w:sz w:val="24"/>
        </w:rPr>
        <w:t>April 1</w:t>
      </w:r>
      <w:r w:rsidR="00982A9C">
        <w:rPr>
          <w:rFonts w:ascii="Arial" w:eastAsia="Arial" w:hAnsi="Arial" w:cs="Arial"/>
          <w:b/>
          <w:sz w:val="24"/>
        </w:rPr>
        <w:t>, 2020</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60386CD2"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2A411B" w:rsidRPr="002A411B">
        <w:rPr>
          <w:rFonts w:ascii="Arial" w:eastAsia="Arial" w:hAnsi="Arial" w:cs="Arial"/>
          <w:sz w:val="22"/>
        </w:rPr>
        <w:t>Joan Berg</w:t>
      </w:r>
      <w:r w:rsidRPr="00026C18">
        <w:rPr>
          <w:rFonts w:ascii="Arial" w:eastAsia="Arial" w:hAnsi="Arial" w:cs="Arial"/>
          <w:sz w:val="22"/>
        </w:rPr>
        <w:t xml:space="preserve">, </w:t>
      </w:r>
      <w:r w:rsidR="00D554F5">
        <w:rPr>
          <w:rFonts w:ascii="Arial" w:eastAsia="Arial" w:hAnsi="Arial" w:cs="Arial"/>
          <w:sz w:val="22"/>
        </w:rPr>
        <w:t xml:space="preserve">Charles Kessler, </w:t>
      </w:r>
      <w:r w:rsidR="000815EF">
        <w:rPr>
          <w:rFonts w:ascii="Arial" w:eastAsia="Arial" w:hAnsi="Arial" w:cs="Arial"/>
          <w:sz w:val="22"/>
        </w:rPr>
        <w:t xml:space="preserve">Mohini Singh, </w:t>
      </w:r>
      <w:r w:rsidR="0060525F">
        <w:rPr>
          <w:rFonts w:ascii="Arial" w:eastAsia="Arial" w:hAnsi="Arial" w:cs="Arial"/>
          <w:sz w:val="22"/>
        </w:rPr>
        <w:t>Heather Krupa, Sophia</w:t>
      </w:r>
      <w:r w:rsidR="00FE07C6">
        <w:rPr>
          <w:rFonts w:ascii="Arial" w:eastAsia="Arial" w:hAnsi="Arial" w:cs="Arial"/>
          <w:sz w:val="22"/>
        </w:rPr>
        <w:t xml:space="preserve"> Sharp</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295D6C43" w:rsidR="00A5025E" w:rsidRDefault="004D0930">
      <w:pPr>
        <w:spacing w:line="332" w:lineRule="auto"/>
        <w:rPr>
          <w:rFonts w:ascii="Arial" w:eastAsia="Arial" w:hAnsi="Arial" w:cs="Arial"/>
          <w:sz w:val="22"/>
        </w:rPr>
      </w:pPr>
      <w:r>
        <w:rPr>
          <w:rFonts w:ascii="Arial" w:eastAsia="Arial" w:hAnsi="Arial" w:cs="Arial"/>
          <w:sz w:val="22"/>
        </w:rPr>
        <w:t xml:space="preserve">Pranav Ghai, </w:t>
      </w:r>
      <w:r w:rsidR="000065BF">
        <w:rPr>
          <w:rFonts w:ascii="Arial" w:eastAsia="Arial" w:hAnsi="Arial" w:cs="Arial"/>
          <w:sz w:val="22"/>
        </w:rPr>
        <w:t>Emily Huang</w:t>
      </w:r>
      <w:r w:rsidR="0029757F">
        <w:rPr>
          <w:rFonts w:ascii="Arial" w:eastAsia="Arial" w:hAnsi="Arial" w:cs="Arial"/>
          <w:sz w:val="22"/>
        </w:rPr>
        <w:t>,</w:t>
      </w:r>
      <w:r w:rsidR="0029757F" w:rsidRPr="0029757F">
        <w:rPr>
          <w:rFonts w:ascii="Arial" w:eastAsia="Arial" w:hAnsi="Arial" w:cs="Arial"/>
          <w:sz w:val="22"/>
        </w:rPr>
        <w:t xml:space="preserve"> </w:t>
      </w:r>
      <w:r w:rsidR="00FE07C6">
        <w:rPr>
          <w:rFonts w:ascii="Arial" w:eastAsia="Arial" w:hAnsi="Arial" w:cs="Arial"/>
          <w:sz w:val="22"/>
        </w:rPr>
        <w:t>Amit Varshney,</w:t>
      </w:r>
      <w:r w:rsidR="00BF6D3C">
        <w:rPr>
          <w:rFonts w:ascii="Arial" w:eastAsia="Arial" w:hAnsi="Arial" w:cs="Arial"/>
          <w:sz w:val="22"/>
        </w:rPr>
        <w:t xml:space="preserve"> Adrian Cloutier,</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F6303AF"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4CABC3A8" w:rsidR="00354581" w:rsidRDefault="00770FDE">
      <w:pPr>
        <w:spacing w:line="332" w:lineRule="auto"/>
        <w:rPr>
          <w:rFonts w:ascii="Arial" w:eastAsia="Arial" w:hAnsi="Arial" w:cs="Arial"/>
          <w:sz w:val="22"/>
        </w:rPr>
      </w:pPr>
      <w:r>
        <w:rPr>
          <w:rFonts w:ascii="Arial" w:eastAsia="Arial" w:hAnsi="Arial" w:cs="Arial"/>
          <w:sz w:val="22"/>
        </w:rPr>
        <w:t>Louis Matherne</w:t>
      </w:r>
      <w:r w:rsidR="00FE07C6">
        <w:rPr>
          <w:rFonts w:ascii="Arial" w:eastAsia="Arial" w:hAnsi="Arial" w:cs="Arial"/>
          <w:sz w:val="22"/>
        </w:rPr>
        <w:t>, Iza Ruta</w:t>
      </w:r>
      <w:r w:rsidR="008023BA">
        <w:rPr>
          <w:rFonts w:ascii="Arial" w:eastAsia="Arial" w:hAnsi="Arial" w:cs="Arial"/>
          <w:sz w:val="22"/>
        </w:rPr>
        <w:t xml:space="preserve"> </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34D14BAE" w:rsidR="0035018E" w:rsidRDefault="00872ADC" w:rsidP="00C346F1">
      <w:pPr>
        <w:pStyle w:val="ListParagraph"/>
        <w:numPr>
          <w:ilvl w:val="0"/>
          <w:numId w:val="2"/>
        </w:numPr>
        <w:spacing w:line="312" w:lineRule="auto"/>
      </w:pPr>
      <w:r>
        <w:t>Chair welcomed Committee</w:t>
      </w:r>
      <w:r w:rsidR="0029757F">
        <w:t xml:space="preserve"> and introduced </w:t>
      </w:r>
      <w:r w:rsidR="008D4DA1">
        <w:t>attendees</w:t>
      </w:r>
      <w:r>
        <w:t>.</w:t>
      </w:r>
      <w:r w:rsidR="00D73A2F">
        <w:t xml:space="preserve"> </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629BC1E"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4D0930">
        <w:rPr>
          <w:rFonts w:eastAsia="Times New Roman"/>
        </w:rPr>
        <w:t>February</w:t>
      </w:r>
      <w:r w:rsidR="00982A9C">
        <w:rPr>
          <w:rFonts w:eastAsia="Times New Roman"/>
        </w:rPr>
        <w:t xml:space="preserve"> </w:t>
      </w:r>
      <w:r w:rsidR="002A411B">
        <w:rPr>
          <w:rFonts w:eastAsia="Times New Roman"/>
        </w:rPr>
        <w:t>1</w:t>
      </w:r>
      <w:r w:rsidR="00982A9C">
        <w:rPr>
          <w:rFonts w:eastAsia="Times New Roman"/>
        </w:rPr>
        <w:t>2</w:t>
      </w:r>
      <w:r w:rsidR="004D0930">
        <w:rPr>
          <w:rFonts w:eastAsia="Times New Roman"/>
        </w:rPr>
        <w:t>, 2020</w:t>
      </w:r>
      <w:r w:rsidRPr="00B61CA4">
        <w:rPr>
          <w:rFonts w:eastAsia="Times New Roman"/>
        </w:rPr>
        <w:t xml:space="preserve"> DQC meeting</w:t>
      </w:r>
      <w:r>
        <w:rPr>
          <w:rFonts w:eastAsia="Times New Roman"/>
        </w:rPr>
        <w:t xml:space="preserve">, </w:t>
      </w:r>
      <w:r w:rsidRPr="00B61CA4">
        <w:rPr>
          <w:rFonts w:eastAsia="Times New Roman"/>
        </w:rPr>
        <w:t>by</w:t>
      </w:r>
      <w:r w:rsidR="004D0930">
        <w:rPr>
          <w:rFonts w:eastAsia="Times New Roman"/>
        </w:rPr>
        <w:t xml:space="preserve"> </w:t>
      </w:r>
      <w:r w:rsidR="00BF6D3C">
        <w:rPr>
          <w:rFonts w:eastAsia="Times New Roman"/>
        </w:rPr>
        <w:t>Charles</w:t>
      </w:r>
      <w:r w:rsidR="0060525F">
        <w:rPr>
          <w:rFonts w:eastAsia="Times New Roman"/>
        </w:rPr>
        <w:t xml:space="preserve"> Kessler</w:t>
      </w:r>
      <w:r w:rsidR="0029757F">
        <w:rPr>
          <w:rFonts w:eastAsia="Times New Roman"/>
        </w:rPr>
        <w:t xml:space="preserve">, </w:t>
      </w:r>
      <w:r w:rsidRPr="00B61CA4">
        <w:rPr>
          <w:rFonts w:eastAsia="Times New Roman"/>
        </w:rPr>
        <w:t xml:space="preserve"> seconded by</w:t>
      </w:r>
      <w:r w:rsidR="00B67FBA">
        <w:rPr>
          <w:rFonts w:eastAsia="Times New Roman"/>
        </w:rPr>
        <w:t xml:space="preserve"> </w:t>
      </w:r>
      <w:r w:rsidR="008D4DA1">
        <w:t>Mohini Singh</w:t>
      </w:r>
    </w:p>
    <w:p w14:paraId="358805D7" w14:textId="5C8F3632"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BF6D3C">
        <w:rPr>
          <w:rFonts w:eastAsia="Times New Roman"/>
          <w:bCs/>
          <w:color w:val="auto"/>
          <w:szCs w:val="22"/>
        </w:rPr>
        <w:t>6</w:t>
      </w:r>
      <w:r w:rsidRPr="009E29DC">
        <w:rPr>
          <w:rFonts w:eastAsia="Times New Roman"/>
          <w:bCs/>
          <w:color w:val="auto"/>
          <w:szCs w:val="22"/>
        </w:rPr>
        <w:t>, 0 Against)</w:t>
      </w:r>
    </w:p>
    <w:p w14:paraId="3E54DDDA" w14:textId="0B94A1A3"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4D0930">
        <w:rPr>
          <w:rFonts w:eastAsia="Times New Roman"/>
        </w:rPr>
        <w:t>February</w:t>
      </w:r>
      <w:r w:rsidR="00982A9C">
        <w:rPr>
          <w:rFonts w:eastAsia="Times New Roman"/>
        </w:rPr>
        <w:t xml:space="preserve"> 12</w:t>
      </w:r>
      <w:r w:rsidR="006C2843">
        <w:rPr>
          <w:rFonts w:eastAsia="Times New Roman"/>
        </w:rPr>
        <w:t>, 20</w:t>
      </w:r>
      <w:r w:rsidR="004D0930">
        <w:rPr>
          <w:rFonts w:eastAsia="Times New Roman"/>
        </w:rPr>
        <w:t>20</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119AE36B" w14:textId="77777777" w:rsidR="003342FE" w:rsidRPr="003342FE" w:rsidRDefault="003342FE" w:rsidP="003342FE"/>
    <w:p w14:paraId="60099BD1" w14:textId="77777777" w:rsidR="004D0930" w:rsidRDefault="004D0930" w:rsidP="00982A9C">
      <w:pPr>
        <w:spacing w:line="332" w:lineRule="auto"/>
        <w:rPr>
          <w:rFonts w:ascii="Arial" w:eastAsia="Arial" w:hAnsi="Arial" w:cs="Arial"/>
          <w:b/>
          <w:sz w:val="22"/>
        </w:rPr>
      </w:pPr>
      <w:r>
        <w:rPr>
          <w:rFonts w:ascii="Arial" w:eastAsia="Arial" w:hAnsi="Arial" w:cs="Arial"/>
          <w:b/>
          <w:sz w:val="22"/>
        </w:rPr>
        <w:t>Anchoring</w:t>
      </w:r>
    </w:p>
    <w:p w14:paraId="0133F692" w14:textId="0A422AF4" w:rsidR="00646A65" w:rsidRDefault="00646A65" w:rsidP="00646A65">
      <w:pPr>
        <w:pStyle w:val="ListParagraph"/>
        <w:numPr>
          <w:ilvl w:val="0"/>
          <w:numId w:val="38"/>
        </w:numPr>
        <w:spacing w:line="332" w:lineRule="auto"/>
      </w:pPr>
      <w:r w:rsidRPr="00646A65">
        <w:t>Louis</w:t>
      </w:r>
      <w:r w:rsidR="00BF6D3C">
        <w:t xml:space="preserve"> Matherne explained that the SEC </w:t>
      </w:r>
      <w:r w:rsidR="0013768C">
        <w:t>announced</w:t>
      </w:r>
      <w:r w:rsidR="00BF6D3C">
        <w:t xml:space="preserve"> that they would permit anchoring.  This was aimed at addressing ESEF requirements for </w:t>
      </w:r>
      <w:r w:rsidR="0013768C">
        <w:t>foreign private i</w:t>
      </w:r>
      <w:r w:rsidR="00BF6D3C">
        <w:t>ssuers that file with SEC</w:t>
      </w:r>
      <w:r w:rsidR="0013768C">
        <w:t xml:space="preserve"> (</w:t>
      </w:r>
      <w:r w:rsidR="00BF6D3C">
        <w:t xml:space="preserve">use </w:t>
      </w:r>
      <w:r w:rsidR="0013768C">
        <w:t xml:space="preserve">of </w:t>
      </w:r>
      <w:r w:rsidR="00BF6D3C">
        <w:t>wider-narrower arc role</w:t>
      </w:r>
      <w:r w:rsidR="0013768C">
        <w:t>)</w:t>
      </w:r>
      <w:r w:rsidR="0060525F">
        <w:t>.</w:t>
      </w:r>
    </w:p>
    <w:p w14:paraId="69A8EBA4" w14:textId="277696C1" w:rsidR="00BF6D3C" w:rsidRDefault="00BF6D3C" w:rsidP="00646A65">
      <w:pPr>
        <w:pStyle w:val="ListParagraph"/>
        <w:numPr>
          <w:ilvl w:val="0"/>
          <w:numId w:val="38"/>
        </w:numPr>
        <w:spacing w:line="332" w:lineRule="auto"/>
      </w:pPr>
      <w:r>
        <w:t xml:space="preserve">US GAAP filers </w:t>
      </w:r>
      <w:r w:rsidR="0013768C">
        <w:t xml:space="preserve">are </w:t>
      </w:r>
      <w:r w:rsidR="00AE6122">
        <w:t>not prohibited from using links to anchor concepts in the base taxonomy.</w:t>
      </w:r>
    </w:p>
    <w:p w14:paraId="0C219010" w14:textId="218BD6A9" w:rsidR="00BF6D3C" w:rsidRDefault="00BF6D3C" w:rsidP="00646A65">
      <w:pPr>
        <w:pStyle w:val="ListParagraph"/>
        <w:numPr>
          <w:ilvl w:val="0"/>
          <w:numId w:val="38"/>
        </w:numPr>
        <w:spacing w:line="332" w:lineRule="auto"/>
      </w:pPr>
      <w:r>
        <w:t xml:space="preserve">ESEF requirement stipulates that extension elements must be anchored to wider or narrower element, </w:t>
      </w:r>
      <w:r w:rsidR="0060525F">
        <w:t xml:space="preserve">requirements are </w:t>
      </w:r>
      <w:r>
        <w:t>only</w:t>
      </w:r>
      <w:r w:rsidR="0060525F">
        <w:t xml:space="preserve"> for the</w:t>
      </w:r>
      <w:r>
        <w:t xml:space="preserve"> face</w:t>
      </w:r>
      <w:r w:rsidR="0060525F">
        <w:t xml:space="preserve"> </w:t>
      </w:r>
      <w:r>
        <w:t>financial</w:t>
      </w:r>
      <w:r w:rsidR="0060525F">
        <w:t xml:space="preserve"> statements</w:t>
      </w:r>
      <w:r w:rsidR="004B325A">
        <w:t xml:space="preserve"> (most appropriate accounting concept)</w:t>
      </w:r>
      <w:r>
        <w:t>. No requirement for</w:t>
      </w:r>
      <w:r w:rsidR="00874CB4">
        <w:t xml:space="preserve"> tagging of</w:t>
      </w:r>
      <w:r>
        <w:t xml:space="preserve"> note disclosures</w:t>
      </w:r>
      <w:bookmarkStart w:id="1" w:name="_GoBack"/>
      <w:bookmarkEnd w:id="1"/>
      <w:r>
        <w:t>.</w:t>
      </w:r>
    </w:p>
    <w:p w14:paraId="6D809032" w14:textId="79C03D2B" w:rsidR="00BF6D3C" w:rsidRDefault="004B325A" w:rsidP="00646A65">
      <w:pPr>
        <w:pStyle w:val="ListParagraph"/>
        <w:numPr>
          <w:ilvl w:val="0"/>
          <w:numId w:val="38"/>
        </w:numPr>
        <w:spacing w:line="332" w:lineRule="auto"/>
      </w:pPr>
      <w:r>
        <w:lastRenderedPageBreak/>
        <w:t xml:space="preserve">Louis presented </w:t>
      </w:r>
      <w:r w:rsidR="00BF6D3C">
        <w:t>Guidance that was published on XBRL Int’</w:t>
      </w:r>
      <w:r>
        <w:t xml:space="preserve">l website which </w:t>
      </w:r>
      <w:r w:rsidR="00BF6D3C">
        <w:t xml:space="preserve">provides examples of </w:t>
      </w:r>
      <w:r>
        <w:t>how</w:t>
      </w:r>
      <w:r w:rsidR="00BF6D3C">
        <w:t xml:space="preserve"> anchoring work</w:t>
      </w:r>
      <w:r>
        <w:t>s for the ESEF requirements</w:t>
      </w:r>
      <w:r w:rsidR="00BF6D3C">
        <w:t xml:space="preserve">.  Louis explained examples in the guidance. </w:t>
      </w:r>
    </w:p>
    <w:p w14:paraId="355A2701" w14:textId="6C53CEDD" w:rsidR="00705294" w:rsidRDefault="00705294" w:rsidP="00646A65">
      <w:pPr>
        <w:pStyle w:val="ListParagraph"/>
        <w:numPr>
          <w:ilvl w:val="0"/>
          <w:numId w:val="38"/>
        </w:numPr>
        <w:spacing w:line="332" w:lineRule="auto"/>
      </w:pPr>
      <w:r>
        <w:t>Louis stated that there is an expectation that US GAAP filers ma</w:t>
      </w:r>
      <w:r w:rsidR="0060525F">
        <w:t xml:space="preserve">y begin using this arc role.  Therefore, </w:t>
      </w:r>
      <w:r>
        <w:t>FASB staff has begun reviewing implementation guides to identify where extensions may be good candidates for anchoring (beyond face financial statements) and will discuss with FASB TAG and SEC and expose the proposed approaches to public. FASB is also discussing potential changes to EFM rules for anchoring.</w:t>
      </w:r>
    </w:p>
    <w:p w14:paraId="302A1B42" w14:textId="381A0FC6" w:rsidR="00AE6122" w:rsidRDefault="00AE6122" w:rsidP="00646A65">
      <w:pPr>
        <w:pStyle w:val="ListParagraph"/>
        <w:numPr>
          <w:ilvl w:val="0"/>
          <w:numId w:val="38"/>
        </w:numPr>
        <w:spacing w:line="332" w:lineRule="auto"/>
      </w:pPr>
      <w:r>
        <w:t xml:space="preserve">Iza stated that IASB is considering whether to add elements or add guidance for anchoring and how to support the anchoring.  </w:t>
      </w:r>
    </w:p>
    <w:p w14:paraId="64C8F12D" w14:textId="28DDB5A9" w:rsidR="00672194" w:rsidRDefault="00A842C9" w:rsidP="00646A65">
      <w:pPr>
        <w:pStyle w:val="ListParagraph"/>
        <w:numPr>
          <w:ilvl w:val="0"/>
          <w:numId w:val="38"/>
        </w:numPr>
        <w:spacing w:line="332" w:lineRule="auto"/>
      </w:pPr>
      <w:r>
        <w:t>DQC will stay informed on</w:t>
      </w:r>
      <w:r w:rsidR="00672194">
        <w:t xml:space="preserve"> this topic.</w:t>
      </w:r>
    </w:p>
    <w:p w14:paraId="338641BD" w14:textId="77777777" w:rsidR="00705294" w:rsidRPr="00646A65" w:rsidRDefault="00705294" w:rsidP="00705294">
      <w:pPr>
        <w:spacing w:line="332" w:lineRule="auto"/>
        <w:ind w:left="360"/>
        <w:rPr>
          <w:rFonts w:eastAsia="Arial"/>
        </w:rPr>
      </w:pPr>
    </w:p>
    <w:p w14:paraId="0A0D71DD" w14:textId="678B3AFA" w:rsidR="00982A9C" w:rsidRDefault="004D0930" w:rsidP="00982A9C">
      <w:pPr>
        <w:spacing w:line="332" w:lineRule="auto"/>
        <w:rPr>
          <w:rFonts w:ascii="Arial" w:eastAsia="Arial" w:hAnsi="Arial" w:cs="Arial"/>
          <w:b/>
          <w:sz w:val="22"/>
        </w:rPr>
      </w:pPr>
      <w:r>
        <w:rPr>
          <w:rFonts w:ascii="Arial" w:eastAsia="Arial" w:hAnsi="Arial" w:cs="Arial"/>
          <w:b/>
          <w:sz w:val="22"/>
        </w:rPr>
        <w:t>Review and Approval of Version 12 DQC Rules for Public Review</w:t>
      </w:r>
    </w:p>
    <w:p w14:paraId="50D17AAB" w14:textId="5392174B" w:rsidR="004D0930" w:rsidRDefault="004D0930" w:rsidP="00F25E29">
      <w:pPr>
        <w:pStyle w:val="ListParagraph"/>
        <w:numPr>
          <w:ilvl w:val="0"/>
          <w:numId w:val="36"/>
        </w:numPr>
        <w:spacing w:line="332" w:lineRule="auto"/>
      </w:pPr>
      <w:r>
        <w:t>Campbell provided explanation of the rules for Version 12:</w:t>
      </w:r>
    </w:p>
    <w:p w14:paraId="707F028F" w14:textId="12803561" w:rsidR="00672194" w:rsidRDefault="00672194" w:rsidP="00672194">
      <w:pPr>
        <w:pStyle w:val="ListParagraph"/>
        <w:numPr>
          <w:ilvl w:val="1"/>
          <w:numId w:val="36"/>
        </w:numPr>
        <w:spacing w:line="332" w:lineRule="auto"/>
      </w:pPr>
      <w:r>
        <w:t>DQC_0015 includes updates for elements in the 2020 US GAAP Taxonomy.  Added 146 elements to the rule.</w:t>
      </w:r>
    </w:p>
    <w:p w14:paraId="4AC1B0FD" w14:textId="75F6BE47" w:rsidR="00FD0BAE" w:rsidRDefault="00FD0BAE" w:rsidP="004D0930">
      <w:pPr>
        <w:pStyle w:val="ListParagraph"/>
        <w:numPr>
          <w:ilvl w:val="1"/>
          <w:numId w:val="36"/>
        </w:numPr>
        <w:spacing w:line="332" w:lineRule="auto"/>
      </w:pPr>
      <w:r>
        <w:t xml:space="preserve">DQC_0091 </w:t>
      </w:r>
      <w:r w:rsidR="00BF57AD">
        <w:t xml:space="preserve">Invalid </w:t>
      </w:r>
      <w:r w:rsidR="00007E68">
        <w:t xml:space="preserve">Scale </w:t>
      </w:r>
      <w:r w:rsidR="00BF57AD">
        <w:t>for</w:t>
      </w:r>
      <w:r w:rsidR="00234902">
        <w:t xml:space="preserve"> Percentages </w:t>
      </w:r>
      <w:r>
        <w:t xml:space="preserve">– </w:t>
      </w:r>
      <w:r w:rsidR="00234902">
        <w:t>The intent of the rule is to identify those percentage items that have a scaling issue associated with them. The rule identifies where filers have used a percentage item type with a value that is greater than the value of 10</w:t>
      </w:r>
      <w:r w:rsidR="00BF57AD">
        <w:t xml:space="preserve"> (percentage value should be equal or less than 1)</w:t>
      </w:r>
      <w:r w:rsidR="00234902">
        <w:t>.</w:t>
      </w:r>
      <w:r w:rsidR="00BF57AD">
        <w:t xml:space="preserve">  There is one exception for effective income tax rates.</w:t>
      </w:r>
    </w:p>
    <w:p w14:paraId="615A17CC" w14:textId="6D515F46" w:rsidR="00234902" w:rsidRDefault="00FD0BAE" w:rsidP="00234902">
      <w:pPr>
        <w:pStyle w:val="ListParagraph"/>
        <w:numPr>
          <w:ilvl w:val="1"/>
          <w:numId w:val="36"/>
        </w:numPr>
        <w:spacing w:line="332" w:lineRule="auto"/>
      </w:pPr>
      <w:r>
        <w:t xml:space="preserve">DQC_0092 </w:t>
      </w:r>
      <w:r w:rsidR="00C33392">
        <w:t xml:space="preserve">Non </w:t>
      </w:r>
      <w:r w:rsidR="00234902">
        <w:t>Positive Amounts</w:t>
      </w:r>
      <w:r w:rsidR="00C33392">
        <w:t xml:space="preserve"> </w:t>
      </w:r>
      <w:r>
        <w:t xml:space="preserve">- </w:t>
      </w:r>
      <w:r w:rsidR="00234902">
        <w:t xml:space="preserve">The intent of the rule is to identify those facts that have been entered with a </w:t>
      </w:r>
      <w:r w:rsidR="00C33392">
        <w:t>positive</w:t>
      </w:r>
      <w:r w:rsidR="00A842C9">
        <w:t xml:space="preserve"> value when the value</w:t>
      </w:r>
      <w:r w:rsidR="00234902">
        <w:t xml:space="preserve"> should have been a </w:t>
      </w:r>
      <w:r w:rsidR="00C33392">
        <w:t>negative</w:t>
      </w:r>
      <w:r w:rsidR="00234902">
        <w:t xml:space="preserve"> amount.</w:t>
      </w:r>
      <w:r w:rsidR="00C33392">
        <w:t xml:space="preserve">  All exceptions from negative value rule are included in this rule.  </w:t>
      </w:r>
    </w:p>
    <w:p w14:paraId="4E42C73D" w14:textId="05F6872C" w:rsidR="00FD0BAE" w:rsidRDefault="00234902" w:rsidP="00234902">
      <w:pPr>
        <w:pStyle w:val="ListParagraph"/>
        <w:numPr>
          <w:ilvl w:val="1"/>
          <w:numId w:val="36"/>
        </w:numPr>
        <w:spacing w:line="332" w:lineRule="auto"/>
      </w:pPr>
      <w:r>
        <w:t>DQC_0093 Durational Aggregation</w:t>
      </w:r>
      <w:r w:rsidR="00FD0BAE">
        <w:t xml:space="preserve"> –</w:t>
      </w:r>
      <w:r>
        <w:t xml:space="preserve"> This rule addresses inconsistencies in tagging the same element from period to period</w:t>
      </w:r>
      <w:r w:rsidR="00C33392">
        <w:t xml:space="preserve"> for IFRS filings</w:t>
      </w:r>
      <w:r>
        <w:t>.  This rule identifies where the values of a durational element for a series of periods of time do not aggregate to the value representing the aggregated period in the instance.</w:t>
      </w:r>
      <w:r w:rsidR="00C33392">
        <w:t xml:space="preserve">  This rule </w:t>
      </w:r>
      <w:r w:rsidR="00F563A2">
        <w:t xml:space="preserve">already </w:t>
      </w:r>
      <w:r w:rsidR="00C33392">
        <w:t>exists for US GAAP</w:t>
      </w:r>
      <w:r w:rsidR="00F224F1">
        <w:t xml:space="preserve"> (DQC_00</w:t>
      </w:r>
      <w:r w:rsidR="00F563A2">
        <w:t>84)</w:t>
      </w:r>
      <w:r w:rsidR="00C33392">
        <w:t>, this rule is the same for IFRS.</w:t>
      </w:r>
      <w:r>
        <w:t xml:space="preserve"> </w:t>
      </w:r>
      <w:r w:rsidR="00FD0BAE">
        <w:t xml:space="preserve"> </w:t>
      </w:r>
    </w:p>
    <w:p w14:paraId="1961E374" w14:textId="5DAC4959" w:rsidR="00C33392" w:rsidRDefault="00C33392" w:rsidP="00C33392">
      <w:pPr>
        <w:pStyle w:val="ListParagraph"/>
        <w:numPr>
          <w:ilvl w:val="2"/>
          <w:numId w:val="36"/>
        </w:numPr>
        <w:spacing w:line="332" w:lineRule="auto"/>
      </w:pPr>
      <w:r>
        <w:t>Iza</w:t>
      </w:r>
      <w:r w:rsidR="00F563A2">
        <w:t xml:space="preserve"> stated</w:t>
      </w:r>
      <w:r>
        <w:t xml:space="preserve"> that there should be an identifier to indicate that this rule would apply to IFRS filings.</w:t>
      </w:r>
    </w:p>
    <w:p w14:paraId="6F664D9D" w14:textId="1F9EC121" w:rsidR="00961E9C" w:rsidRDefault="00FD0BAE" w:rsidP="00FD0BAE">
      <w:pPr>
        <w:pStyle w:val="ListParagraph"/>
        <w:numPr>
          <w:ilvl w:val="1"/>
          <w:numId w:val="36"/>
        </w:numPr>
        <w:spacing w:line="332" w:lineRule="auto"/>
      </w:pPr>
      <w:r>
        <w:t>D</w:t>
      </w:r>
      <w:r w:rsidR="00234902">
        <w:t>QC_0094</w:t>
      </w:r>
      <w:r>
        <w:t xml:space="preserve"> </w:t>
      </w:r>
      <w:r w:rsidR="00234902">
        <w:t xml:space="preserve">Fiscal Maturities </w:t>
      </w:r>
      <w:r>
        <w:t>–</w:t>
      </w:r>
      <w:r w:rsidR="00961E9C">
        <w:t xml:space="preserve"> This rule is intended to check that the changes in the 2020 taxonomy (the definition of the maturity schedule elements has been </w:t>
      </w:r>
      <w:r w:rsidR="00961E9C">
        <w:lastRenderedPageBreak/>
        <w:t>clarified) are applied to t</w:t>
      </w:r>
      <w:r w:rsidR="00B40040">
        <w:t>he instance documents using the 2020</w:t>
      </w:r>
      <w:r w:rsidR="00D31522">
        <w:t xml:space="preserve"> (and subsequent) </w:t>
      </w:r>
      <w:r w:rsidR="00961E9C">
        <w:t xml:space="preserve">taxonomy.  </w:t>
      </w:r>
      <w:r w:rsidR="00B40040">
        <w:t>The rule includes two</w:t>
      </w:r>
      <w:r w:rsidR="00C33392">
        <w:t xml:space="preserve"> parts:</w:t>
      </w:r>
    </w:p>
    <w:p w14:paraId="029D2577" w14:textId="1A59D429" w:rsidR="00F563A2" w:rsidRDefault="00F563A2" w:rsidP="00F563A2">
      <w:pPr>
        <w:pStyle w:val="ListParagraph"/>
        <w:numPr>
          <w:ilvl w:val="2"/>
          <w:numId w:val="36"/>
        </w:numPr>
        <w:spacing w:line="332" w:lineRule="auto"/>
      </w:pPr>
      <w:r>
        <w:t>In annual filings, flag an error if “remainder of the year” amount</w:t>
      </w:r>
      <w:r w:rsidR="0013768C">
        <w:t xml:space="preserve"> is</w:t>
      </w:r>
      <w:r w:rsidRPr="003E08D8">
        <w:t xml:space="preserve"> </w:t>
      </w:r>
      <w:r>
        <w:t>reported</w:t>
      </w:r>
      <w:r w:rsidR="0013768C">
        <w:t>.</w:t>
      </w:r>
    </w:p>
    <w:p w14:paraId="61B2EB9E" w14:textId="6666AE93" w:rsidR="00F563A2" w:rsidRDefault="00F563A2" w:rsidP="00F563A2">
      <w:pPr>
        <w:pStyle w:val="ListParagraph"/>
        <w:numPr>
          <w:ilvl w:val="2"/>
          <w:numId w:val="36"/>
        </w:numPr>
        <w:spacing w:line="332" w:lineRule="auto"/>
      </w:pPr>
      <w:r>
        <w:t>In quarterly filings, if “remainder of year” and “year 2” are reported, the rule flags an error if a value for “year 1” is</w:t>
      </w:r>
      <w:r w:rsidR="00992A29">
        <w:t xml:space="preserve"> not</w:t>
      </w:r>
      <w:r>
        <w:t xml:space="preserve"> reported.</w:t>
      </w:r>
    </w:p>
    <w:p w14:paraId="72BF066B" w14:textId="15EEA37B" w:rsidR="00961E9C" w:rsidRDefault="00961E9C" w:rsidP="00961E9C">
      <w:pPr>
        <w:pStyle w:val="ListParagraph"/>
        <w:numPr>
          <w:ilvl w:val="1"/>
          <w:numId w:val="36"/>
        </w:numPr>
        <w:spacing w:line="332" w:lineRule="auto"/>
      </w:pPr>
      <w:r>
        <w:t>DQC_0095 Scal</w:t>
      </w:r>
      <w:r w:rsidR="00B40040">
        <w:t>e Common Stock Outstanding</w:t>
      </w:r>
      <w:r w:rsidR="00FD0BAE">
        <w:t xml:space="preserve"> </w:t>
      </w:r>
      <w:r>
        <w:t>- The intent of the rule is to identify where filers have used an incorrect scale wh</w:t>
      </w:r>
      <w:r w:rsidR="00BF57AD">
        <w:t xml:space="preserve">en reporting </w:t>
      </w:r>
      <w:r w:rsidR="00B40040">
        <w:t xml:space="preserve">Common Stock Shares Outstanding (identifies large differences between values in the financial statements vs. the </w:t>
      </w:r>
      <w:r w:rsidR="00992A29">
        <w:t xml:space="preserve">value </w:t>
      </w:r>
      <w:r w:rsidR="00B40040">
        <w:t xml:space="preserve">reported in the cover page).  The rule flags when the difference is </w:t>
      </w:r>
      <w:r w:rsidR="00992A29">
        <w:t xml:space="preserve">at least </w:t>
      </w:r>
      <w:r w:rsidR="00B40040">
        <w:t>100 times different.</w:t>
      </w:r>
    </w:p>
    <w:p w14:paraId="75E7A86B" w14:textId="07080A15" w:rsidR="0088690D" w:rsidRDefault="0088690D" w:rsidP="00961E9C">
      <w:pPr>
        <w:pStyle w:val="ListParagraph"/>
        <w:numPr>
          <w:ilvl w:val="1"/>
          <w:numId w:val="36"/>
        </w:numPr>
        <w:spacing w:line="332" w:lineRule="auto"/>
      </w:pPr>
      <w:r>
        <w:t>Public review for these rules are proposed April 15, 2020 – May 31, 2020.</w:t>
      </w:r>
    </w:p>
    <w:p w14:paraId="2FE9A08B" w14:textId="24F33A78" w:rsidR="00FD0BAE" w:rsidRPr="0013768C" w:rsidRDefault="00FD0BAE" w:rsidP="0013768C">
      <w:pPr>
        <w:pStyle w:val="ListParagraph"/>
        <w:numPr>
          <w:ilvl w:val="0"/>
          <w:numId w:val="36"/>
        </w:numPr>
        <w:spacing w:line="332" w:lineRule="auto"/>
      </w:pPr>
      <w:r w:rsidRPr="0013768C">
        <w:t>Motion to approve rules DQC_0091, DQC_0092, DQC_009</w:t>
      </w:r>
      <w:r w:rsidR="0013768C">
        <w:t>3</w:t>
      </w:r>
      <w:r w:rsidRPr="0013768C">
        <w:t>, DQC_0094, DQC_0095 and updates to DQC_0015 for public review</w:t>
      </w:r>
      <w:r w:rsidR="0088690D" w:rsidRPr="0013768C">
        <w:t xml:space="preserve"> </w:t>
      </w:r>
      <w:r w:rsidR="0088690D">
        <w:t>April 15, 2020 – May 31, 2020</w:t>
      </w:r>
      <w:r w:rsidRPr="0013768C">
        <w:t xml:space="preserve">, by </w:t>
      </w:r>
      <w:r w:rsidR="00F563A2" w:rsidRPr="0013768C">
        <w:t>H</w:t>
      </w:r>
      <w:r w:rsidR="0088690D" w:rsidRPr="0013768C">
        <w:t>eather</w:t>
      </w:r>
      <w:r w:rsidR="00F563A2" w:rsidRPr="0013768C">
        <w:t xml:space="preserve"> Krupa</w:t>
      </w:r>
      <w:r w:rsidRPr="0013768C">
        <w:t xml:space="preserve">,  seconded by </w:t>
      </w:r>
      <w:r w:rsidR="0088690D">
        <w:t>Charles</w:t>
      </w:r>
      <w:r w:rsidR="00F563A2">
        <w:t xml:space="preserve"> Kissler</w:t>
      </w:r>
    </w:p>
    <w:p w14:paraId="30C0CF89" w14:textId="60574081" w:rsidR="00FD0BAE" w:rsidRPr="0013768C" w:rsidRDefault="00FD0BAE" w:rsidP="0013768C">
      <w:pPr>
        <w:pStyle w:val="ListParagraph"/>
        <w:numPr>
          <w:ilvl w:val="0"/>
          <w:numId w:val="36"/>
        </w:numPr>
        <w:spacing w:line="332" w:lineRule="auto"/>
      </w:pPr>
      <w:r w:rsidRPr="0013768C">
        <w:t xml:space="preserve">Vote (For </w:t>
      </w:r>
      <w:r w:rsidR="0088690D" w:rsidRPr="0013768C">
        <w:t>6</w:t>
      </w:r>
      <w:r w:rsidRPr="0013768C">
        <w:t>, 0 Against)</w:t>
      </w:r>
    </w:p>
    <w:p w14:paraId="6FE688D8" w14:textId="62327095" w:rsidR="00FD0BAE" w:rsidRPr="0013768C" w:rsidRDefault="00FD0BAE" w:rsidP="0013768C">
      <w:pPr>
        <w:pStyle w:val="ListParagraph"/>
        <w:numPr>
          <w:ilvl w:val="0"/>
          <w:numId w:val="36"/>
        </w:numPr>
        <w:spacing w:line="332" w:lineRule="auto"/>
      </w:pPr>
      <w:r w:rsidRPr="0013768C">
        <w:t>Motion passed. Rules DQC_0091, DQC_0092, DQC_009</w:t>
      </w:r>
      <w:r w:rsidR="0013768C">
        <w:t>3</w:t>
      </w:r>
      <w:r w:rsidRPr="0013768C">
        <w:t>, DQC_0094, DQC_0095 and updates to DQC_0015 for public review approved.</w:t>
      </w:r>
    </w:p>
    <w:p w14:paraId="40D5D459" w14:textId="77777777" w:rsidR="00982A9C" w:rsidRDefault="00982A9C" w:rsidP="004208CB">
      <w:pPr>
        <w:spacing w:line="332" w:lineRule="auto"/>
        <w:rPr>
          <w:rFonts w:ascii="Arial" w:eastAsia="Arial" w:hAnsi="Arial" w:cs="Arial"/>
          <w:b/>
          <w:sz w:val="22"/>
        </w:rPr>
      </w:pPr>
    </w:p>
    <w:p w14:paraId="1C82A9CE" w14:textId="77777777" w:rsidR="00982A9C" w:rsidRDefault="00982A9C" w:rsidP="004208CB">
      <w:pPr>
        <w:spacing w:line="332" w:lineRule="auto"/>
        <w:rPr>
          <w:rFonts w:ascii="Arial" w:eastAsia="Arial" w:hAnsi="Arial" w:cs="Arial"/>
          <w:b/>
          <w:sz w:val="22"/>
        </w:rPr>
      </w:pPr>
    </w:p>
    <w:p w14:paraId="041AB09C" w14:textId="2EBE6448" w:rsidR="00982A9C" w:rsidRDefault="00FD0BAE" w:rsidP="004208CB">
      <w:pPr>
        <w:spacing w:line="332" w:lineRule="auto"/>
        <w:rPr>
          <w:rFonts w:ascii="Arial" w:eastAsia="Arial" w:hAnsi="Arial" w:cs="Arial"/>
          <w:b/>
          <w:sz w:val="22"/>
        </w:rPr>
      </w:pPr>
      <w:r>
        <w:rPr>
          <w:rFonts w:ascii="Arial" w:eastAsia="Arial" w:hAnsi="Arial" w:cs="Arial"/>
          <w:b/>
          <w:sz w:val="22"/>
        </w:rPr>
        <w:t>DQC Errors</w:t>
      </w:r>
    </w:p>
    <w:p w14:paraId="7661F063" w14:textId="0E277204" w:rsidR="00A36487" w:rsidRDefault="00FD0BAE" w:rsidP="00982A9C">
      <w:pPr>
        <w:pStyle w:val="ListParagraph"/>
        <w:numPr>
          <w:ilvl w:val="0"/>
          <w:numId w:val="36"/>
        </w:numPr>
        <w:spacing w:line="332" w:lineRule="auto"/>
      </w:pPr>
      <w:r>
        <w:t xml:space="preserve">Ami presented updated graphs that showed quarterly errors for rules DQC_0001, DQC_0015, DQC_0080, DQC_0052, DQC_0060, DQC_0067 and DQC_0081.  </w:t>
      </w:r>
    </w:p>
    <w:p w14:paraId="3F392404" w14:textId="3397ACD0" w:rsidR="00FD0BAE" w:rsidRDefault="00FD0BAE" w:rsidP="00982A9C">
      <w:pPr>
        <w:pStyle w:val="ListParagraph"/>
        <w:numPr>
          <w:ilvl w:val="0"/>
          <w:numId w:val="36"/>
        </w:numPr>
        <w:spacing w:line="332" w:lineRule="auto"/>
      </w:pPr>
      <w:r>
        <w:t>The graphs indicate the quarter when the rule was approved.  These rules still have over 1,000 errors on a quarterly basis.</w:t>
      </w:r>
    </w:p>
    <w:p w14:paraId="1A4DBEA6" w14:textId="1960DD32" w:rsidR="00FD0BAE" w:rsidRDefault="00FD0BAE" w:rsidP="00982A9C">
      <w:pPr>
        <w:pStyle w:val="ListParagraph"/>
        <w:numPr>
          <w:ilvl w:val="0"/>
          <w:numId w:val="36"/>
        </w:numPr>
        <w:spacing w:line="332" w:lineRule="auto"/>
      </w:pPr>
      <w:r>
        <w:t>Ami also mentioned that all rules have been analyzed and presented a spreadsheet that showed</w:t>
      </w:r>
      <w:r w:rsidR="00F563A2">
        <w:t xml:space="preserve"> error counts for all of the rules with</w:t>
      </w:r>
      <w:r>
        <w:t xml:space="preserve"> the amount of errors for the quarter </w:t>
      </w:r>
      <w:r w:rsidR="0013768C">
        <w:t>which</w:t>
      </w:r>
      <w:r>
        <w:t xml:space="preserve"> the rule was approved vs. errors in Q1 2020</w:t>
      </w:r>
      <w:r w:rsidRPr="00FD0BAE">
        <w:t xml:space="preserve"> </w:t>
      </w:r>
      <w:r>
        <w:t xml:space="preserve">for each rule.   </w:t>
      </w:r>
    </w:p>
    <w:p w14:paraId="27770835" w14:textId="77777777" w:rsidR="00982A9C" w:rsidRDefault="00982A9C" w:rsidP="004208CB">
      <w:pPr>
        <w:spacing w:line="332" w:lineRule="auto"/>
        <w:rPr>
          <w:rFonts w:ascii="Arial" w:eastAsia="Arial" w:hAnsi="Arial" w:cs="Arial"/>
          <w:b/>
          <w:sz w:val="22"/>
        </w:rPr>
      </w:pPr>
    </w:p>
    <w:p w14:paraId="77247277" w14:textId="77777777" w:rsidR="00E40FC4" w:rsidRPr="00F563A2" w:rsidRDefault="002F2803" w:rsidP="00E40FC4">
      <w:pPr>
        <w:spacing w:line="332" w:lineRule="auto"/>
        <w:rPr>
          <w:rFonts w:ascii="Arial" w:eastAsia="Arial" w:hAnsi="Arial" w:cs="Arial"/>
          <w:b/>
          <w:sz w:val="22"/>
        </w:rPr>
      </w:pPr>
      <w:r w:rsidRPr="00F563A2">
        <w:rPr>
          <w:rFonts w:ascii="Arial" w:eastAsia="Arial" w:hAnsi="Arial" w:cs="Arial"/>
          <w:b/>
          <w:sz w:val="22"/>
        </w:rPr>
        <w:t>Analysis of DQC rules</w:t>
      </w:r>
    </w:p>
    <w:p w14:paraId="0888B02A" w14:textId="77777777" w:rsidR="00E40FC4" w:rsidRDefault="00E40FC4" w:rsidP="00E40FC4">
      <w:pPr>
        <w:pStyle w:val="ListParagraph"/>
      </w:pPr>
    </w:p>
    <w:p w14:paraId="17925A17" w14:textId="34127F23" w:rsidR="00433FC2" w:rsidRDefault="00E40FC4" w:rsidP="00433FC2">
      <w:pPr>
        <w:pStyle w:val="ListParagraph"/>
        <w:numPr>
          <w:ilvl w:val="0"/>
          <w:numId w:val="36"/>
        </w:numPr>
        <w:spacing w:line="332" w:lineRule="auto"/>
      </w:pPr>
      <w:r>
        <w:t xml:space="preserve">Joan presented analysis of errors for DQC_0001 and discussed the top 10 errors.  There is a small amount of filers making the majority of the errors.  The top error for this rule is Legal Entity Axis. </w:t>
      </w:r>
      <w:r w:rsidR="00433FC2">
        <w:t xml:space="preserve">The 9 remaining axes causing the most errors for this rule were Equity Components Axis, Range Axis, Fair Value Hierarch Axis, Consolidation Items Axis (this rule will be adjusted and may reduce errors), Measurement Basis Axis, Business </w:t>
      </w:r>
      <w:r w:rsidR="00433FC2">
        <w:lastRenderedPageBreak/>
        <w:t>Acquisition Axis (rule not yet effective, rule will flag this amount of errors once effective), Currency Axis, Subsequent Event Axis,</w:t>
      </w:r>
      <w:r w:rsidR="0013768C">
        <w:t xml:space="preserve"> and</w:t>
      </w:r>
      <w:r w:rsidR="00433FC2">
        <w:t xml:space="preserve"> Scenario Axis.</w:t>
      </w:r>
    </w:p>
    <w:p w14:paraId="28B117D5" w14:textId="3F858348" w:rsidR="00E40FC4" w:rsidRDefault="00E40FC4" w:rsidP="00E40FC4">
      <w:pPr>
        <w:pStyle w:val="ListParagraph"/>
        <w:numPr>
          <w:ilvl w:val="0"/>
          <w:numId w:val="36"/>
        </w:numPr>
        <w:spacing w:line="332" w:lineRule="auto"/>
      </w:pPr>
      <w:r>
        <w:t xml:space="preserve">Joan presented analysis of errors of DQC_0015.  The typical error </w:t>
      </w:r>
      <w:r w:rsidR="0013768C">
        <w:t>wa</w:t>
      </w:r>
      <w:r>
        <w:t xml:space="preserve">s for elements presented in brackets in the filing.  The </w:t>
      </w:r>
      <w:r w:rsidR="00433FC2">
        <w:t>number</w:t>
      </w:r>
      <w:r>
        <w:t xml:space="preserve"> of companies </w:t>
      </w:r>
      <w:r w:rsidR="00433FC2">
        <w:t xml:space="preserve">making the errors </w:t>
      </w:r>
      <w:r>
        <w:t xml:space="preserve">is small amount.  The top error is interest expense.  </w:t>
      </w:r>
      <w:r w:rsidR="0013768C">
        <w:t>Joan mentioned that th</w:t>
      </w:r>
      <w:r>
        <w:t>is rule is</w:t>
      </w:r>
      <w:r w:rsidR="0013768C">
        <w:t xml:space="preserve"> now</w:t>
      </w:r>
      <w:r>
        <w:t xml:space="preserve"> included in the </w:t>
      </w:r>
      <w:r w:rsidR="0013768C">
        <w:t xml:space="preserve">US GAAP 2020 </w:t>
      </w:r>
      <w:r>
        <w:t>taxonomy.  There is one element (</w:t>
      </w:r>
      <w:r w:rsidR="00433FC2" w:rsidRPr="00CB2087">
        <w:t>Short-duration Insurance Contracts, Incurred but Not Reported (IBNR) Claims Liability, Net</w:t>
      </w:r>
      <w:r w:rsidR="00433FC2">
        <w:t>,</w:t>
      </w:r>
      <w:r>
        <w:t>) that may have instances where there could be legitimate uses of negative value, so</w:t>
      </w:r>
      <w:r w:rsidR="0013768C">
        <w:t xml:space="preserve"> the</w:t>
      </w:r>
      <w:r>
        <w:t xml:space="preserve"> rule will be adjusted.</w:t>
      </w:r>
    </w:p>
    <w:p w14:paraId="41221966" w14:textId="77777777" w:rsidR="002F2803" w:rsidRDefault="002F2803" w:rsidP="004208CB">
      <w:pPr>
        <w:spacing w:line="332" w:lineRule="auto"/>
        <w:rPr>
          <w:rFonts w:ascii="Arial" w:eastAsia="Arial" w:hAnsi="Arial" w:cs="Arial"/>
          <w:b/>
          <w:sz w:val="22"/>
        </w:rPr>
      </w:pPr>
    </w:p>
    <w:p w14:paraId="2C531E5F" w14:textId="543525E9" w:rsidR="002F2803" w:rsidRDefault="002F2803" w:rsidP="004208CB">
      <w:pPr>
        <w:spacing w:line="332" w:lineRule="auto"/>
        <w:rPr>
          <w:rFonts w:ascii="Arial" w:eastAsia="Arial" w:hAnsi="Arial" w:cs="Arial"/>
          <w:b/>
          <w:sz w:val="22"/>
        </w:rPr>
      </w:pPr>
      <w:r>
        <w:rPr>
          <w:rFonts w:ascii="Arial" w:eastAsia="Arial" w:hAnsi="Arial" w:cs="Arial"/>
          <w:b/>
          <w:sz w:val="22"/>
        </w:rPr>
        <w:t>Linkbase for DQC Rules</w:t>
      </w:r>
    </w:p>
    <w:p w14:paraId="0391C6FB" w14:textId="000A2C04" w:rsidR="002F2803" w:rsidRPr="00E40FC4" w:rsidRDefault="002F2803" w:rsidP="002F2803">
      <w:pPr>
        <w:pStyle w:val="ListParagraph"/>
        <w:numPr>
          <w:ilvl w:val="0"/>
          <w:numId w:val="37"/>
        </w:numPr>
        <w:spacing w:line="332" w:lineRule="auto"/>
        <w:rPr>
          <w:b/>
        </w:rPr>
      </w:pPr>
      <w:r>
        <w:t xml:space="preserve">Campbell provided a demonstration of the DQC rules in the US GAAP </w:t>
      </w:r>
      <w:r w:rsidR="00E40FC4">
        <w:t xml:space="preserve">2020 Taxonomy which is available on the FASB website.  </w:t>
      </w:r>
      <w:r w:rsidR="0013768C">
        <w:t xml:space="preserve">The </w:t>
      </w:r>
      <w:r w:rsidR="00E40FC4">
        <w:t xml:space="preserve">Rules taxonomy is a separate taxonomy from the full taxonomy.   </w:t>
      </w:r>
    </w:p>
    <w:p w14:paraId="1AA2D3DD" w14:textId="1FDFF44F" w:rsidR="00E40FC4" w:rsidRPr="00E40FC4" w:rsidRDefault="00E40FC4" w:rsidP="002F2803">
      <w:pPr>
        <w:pStyle w:val="ListParagraph"/>
        <w:numPr>
          <w:ilvl w:val="0"/>
          <w:numId w:val="37"/>
        </w:numPr>
        <w:spacing w:line="332" w:lineRule="auto"/>
        <w:rPr>
          <w:b/>
        </w:rPr>
      </w:pPr>
      <w:r>
        <w:t xml:space="preserve">Three rules are included (DQC_0001, </w:t>
      </w:r>
      <w:r w:rsidR="00433FC2">
        <w:t>DQC_</w:t>
      </w:r>
      <w:r>
        <w:t xml:space="preserve">0008 and </w:t>
      </w:r>
      <w:r w:rsidR="00433FC2">
        <w:t>DQC_</w:t>
      </w:r>
      <w:r>
        <w:t>0015)</w:t>
      </w:r>
    </w:p>
    <w:p w14:paraId="73A67310" w14:textId="5505FFAA" w:rsidR="00E40FC4" w:rsidRPr="00E40FC4" w:rsidRDefault="00E40FC4" w:rsidP="002F2803">
      <w:pPr>
        <w:pStyle w:val="ListParagraph"/>
        <w:numPr>
          <w:ilvl w:val="0"/>
          <w:numId w:val="37"/>
        </w:numPr>
        <w:spacing w:line="332" w:lineRule="auto"/>
        <w:rPr>
          <w:b/>
        </w:rPr>
      </w:pPr>
      <w:r>
        <w:t xml:space="preserve">Rules cannot be run </w:t>
      </w:r>
      <w:r w:rsidR="00433FC2">
        <w:t xml:space="preserve">directly </w:t>
      </w:r>
      <w:r>
        <w:t xml:space="preserve">from taxonomy, but concepts that are included in the rules are in the taxonomy.  Core components of </w:t>
      </w:r>
      <w:r w:rsidR="0013768C">
        <w:t xml:space="preserve">each </w:t>
      </w:r>
      <w:r>
        <w:t>rule are included</w:t>
      </w:r>
      <w:r w:rsidR="0013768C">
        <w:t>.</w:t>
      </w:r>
    </w:p>
    <w:p w14:paraId="4EEFB90C" w14:textId="730186BB" w:rsidR="00E40FC4" w:rsidRPr="00E40FC4" w:rsidRDefault="00E40FC4" w:rsidP="002F2803">
      <w:pPr>
        <w:pStyle w:val="ListParagraph"/>
        <w:numPr>
          <w:ilvl w:val="0"/>
          <w:numId w:val="37"/>
        </w:numPr>
        <w:spacing w:line="332" w:lineRule="auto"/>
      </w:pPr>
      <w:r w:rsidRPr="00E40FC4">
        <w:t>DQC will work with FASB to incorporate all DQC rules.</w:t>
      </w:r>
    </w:p>
    <w:p w14:paraId="3CBEF59A" w14:textId="77777777" w:rsidR="00E40FC4" w:rsidRPr="002F2803" w:rsidRDefault="00E40FC4" w:rsidP="00E40FC4">
      <w:pPr>
        <w:pStyle w:val="ListParagraph"/>
        <w:spacing w:line="332" w:lineRule="auto"/>
        <w:rPr>
          <w:b/>
        </w:rPr>
      </w:pPr>
    </w:p>
    <w:p w14:paraId="2D18CFE1" w14:textId="38C2A3B7" w:rsidR="00A02814" w:rsidRDefault="002F2803">
      <w:pPr>
        <w:spacing w:line="332" w:lineRule="auto"/>
        <w:rPr>
          <w:rFonts w:ascii="Arial" w:eastAsia="Arial" w:hAnsi="Arial" w:cs="Arial"/>
          <w:sz w:val="22"/>
        </w:rPr>
      </w:pPr>
      <w:r w:rsidRPr="002F2803">
        <w:rPr>
          <w:rFonts w:ascii="Arial" w:eastAsia="Arial" w:hAnsi="Arial" w:cs="Arial"/>
          <w:sz w:val="22"/>
        </w:rPr>
        <w:t>DQC</w:t>
      </w:r>
      <w:r>
        <w:rPr>
          <w:rFonts w:ascii="Arial" w:eastAsia="Arial" w:hAnsi="Arial" w:cs="Arial"/>
          <w:sz w:val="22"/>
        </w:rPr>
        <w:t xml:space="preserve"> conducted a closed session.</w:t>
      </w:r>
    </w:p>
    <w:p w14:paraId="26F8FB05" w14:textId="77777777" w:rsidR="002F2803" w:rsidRPr="002F2803" w:rsidRDefault="002F2803">
      <w:pPr>
        <w:spacing w:line="332" w:lineRule="auto"/>
        <w:rPr>
          <w:rFonts w:ascii="Arial" w:eastAsia="Arial" w:hAnsi="Arial" w:cs="Arial"/>
          <w:sz w:val="22"/>
        </w:rPr>
      </w:pPr>
    </w:p>
    <w:p w14:paraId="6A796DE8" w14:textId="4CA67819" w:rsidR="002C7013" w:rsidRDefault="00A02814">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2F2803">
        <w:rPr>
          <w:rFonts w:ascii="Arial" w:eastAsia="Arial" w:hAnsi="Arial" w:cs="Arial"/>
          <w:sz w:val="22"/>
        </w:rPr>
        <w:t>1</w:t>
      </w:r>
      <w:r w:rsidR="00476B5C">
        <w:rPr>
          <w:rFonts w:ascii="Arial" w:eastAsia="Arial" w:hAnsi="Arial" w:cs="Arial"/>
          <w:sz w:val="22"/>
        </w:rPr>
        <w:t>:</w:t>
      </w:r>
      <w:r w:rsidR="002F2803">
        <w:rPr>
          <w:rFonts w:ascii="Arial" w:eastAsia="Arial" w:hAnsi="Arial" w:cs="Arial"/>
          <w:sz w:val="22"/>
        </w:rPr>
        <w:t>30A</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8"/>
      <w:footerReference w:type="default" r:id="rId9"/>
      <w:pgSz w:w="12240" w:h="15840"/>
      <w:pgMar w:top="1440" w:right="1440" w:bottom="1440" w:left="1440" w:header="160" w:footer="1240" w:gutter="0"/>
      <w:pgNumType w:chapSep="period"/>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FEABEB" w16cid:durableId="2235C565"/>
  <w16cid:commentId w16cid:paraId="00D48A52" w16cid:durableId="2235C5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635AE" w14:textId="77777777" w:rsidR="00437246" w:rsidRDefault="00437246">
      <w:r>
        <w:separator/>
      </w:r>
    </w:p>
  </w:endnote>
  <w:endnote w:type="continuationSeparator" w:id="0">
    <w:p w14:paraId="5964DCCB" w14:textId="77777777" w:rsidR="00437246" w:rsidRDefault="0043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A9AB3" w14:textId="77777777" w:rsidR="00437246" w:rsidRDefault="00437246">
      <w:r>
        <w:separator/>
      </w:r>
    </w:p>
  </w:footnote>
  <w:footnote w:type="continuationSeparator" w:id="0">
    <w:p w14:paraId="64D85B19" w14:textId="77777777" w:rsidR="00437246" w:rsidRDefault="00437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B55"/>
    <w:multiLevelType w:val="hybridMultilevel"/>
    <w:tmpl w:val="D20ED8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94515"/>
    <w:multiLevelType w:val="hybridMultilevel"/>
    <w:tmpl w:val="1516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6B3F30"/>
    <w:multiLevelType w:val="hybridMultilevel"/>
    <w:tmpl w:val="996404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6C4F40"/>
    <w:multiLevelType w:val="hybridMultilevel"/>
    <w:tmpl w:val="39A62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9422D4"/>
    <w:multiLevelType w:val="hybridMultilevel"/>
    <w:tmpl w:val="A7AE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7">
    <w:nsid w:val="4186710E"/>
    <w:multiLevelType w:val="hybridMultilevel"/>
    <w:tmpl w:val="001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19">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856B4"/>
    <w:multiLevelType w:val="hybridMultilevel"/>
    <w:tmpl w:val="8132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13"/>
  </w:num>
  <w:num w:numId="4">
    <w:abstractNumId w:val="15"/>
  </w:num>
  <w:num w:numId="5">
    <w:abstractNumId w:val="27"/>
  </w:num>
  <w:num w:numId="6">
    <w:abstractNumId w:val="36"/>
  </w:num>
  <w:num w:numId="7">
    <w:abstractNumId w:val="28"/>
  </w:num>
  <w:num w:numId="8">
    <w:abstractNumId w:val="26"/>
  </w:num>
  <w:num w:numId="9">
    <w:abstractNumId w:val="37"/>
  </w:num>
  <w:num w:numId="10">
    <w:abstractNumId w:val="25"/>
  </w:num>
  <w:num w:numId="11">
    <w:abstractNumId w:val="29"/>
  </w:num>
  <w:num w:numId="12">
    <w:abstractNumId w:val="19"/>
  </w:num>
  <w:num w:numId="13">
    <w:abstractNumId w:val="21"/>
  </w:num>
  <w:num w:numId="14">
    <w:abstractNumId w:val="16"/>
  </w:num>
  <w:num w:numId="15">
    <w:abstractNumId w:val="18"/>
  </w:num>
  <w:num w:numId="16">
    <w:abstractNumId w:val="6"/>
  </w:num>
  <w:num w:numId="17">
    <w:abstractNumId w:val="2"/>
  </w:num>
  <w:num w:numId="18">
    <w:abstractNumId w:val="10"/>
  </w:num>
  <w:num w:numId="19">
    <w:abstractNumId w:val="31"/>
  </w:num>
  <w:num w:numId="20">
    <w:abstractNumId w:val="7"/>
  </w:num>
  <w:num w:numId="21">
    <w:abstractNumId w:val="9"/>
  </w:num>
  <w:num w:numId="22">
    <w:abstractNumId w:val="1"/>
  </w:num>
  <w:num w:numId="23">
    <w:abstractNumId w:val="32"/>
  </w:num>
  <w:num w:numId="24">
    <w:abstractNumId w:val="4"/>
  </w:num>
  <w:num w:numId="25">
    <w:abstractNumId w:val="22"/>
  </w:num>
  <w:num w:numId="26">
    <w:abstractNumId w:val="24"/>
  </w:num>
  <w:num w:numId="27">
    <w:abstractNumId w:val="5"/>
  </w:num>
  <w:num w:numId="28">
    <w:abstractNumId w:val="30"/>
  </w:num>
  <w:num w:numId="29">
    <w:abstractNumId w:val="8"/>
  </w:num>
  <w:num w:numId="30">
    <w:abstractNumId w:val="12"/>
  </w:num>
  <w:num w:numId="31">
    <w:abstractNumId w:val="0"/>
  </w:num>
  <w:num w:numId="32">
    <w:abstractNumId w:val="23"/>
  </w:num>
  <w:num w:numId="33">
    <w:abstractNumId w:val="14"/>
  </w:num>
  <w:num w:numId="34">
    <w:abstractNumId w:val="35"/>
  </w:num>
  <w:num w:numId="35">
    <w:abstractNumId w:val="11"/>
  </w:num>
  <w:num w:numId="36">
    <w:abstractNumId w:val="34"/>
  </w:num>
  <w:num w:numId="37">
    <w:abstractNumId w:val="3"/>
  </w:num>
  <w:num w:numId="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07E68"/>
    <w:rsid w:val="000127F5"/>
    <w:rsid w:val="00016AA4"/>
    <w:rsid w:val="00016F7E"/>
    <w:rsid w:val="000204AB"/>
    <w:rsid w:val="00020EA9"/>
    <w:rsid w:val="00021BB0"/>
    <w:rsid w:val="00026C18"/>
    <w:rsid w:val="00043834"/>
    <w:rsid w:val="00052B41"/>
    <w:rsid w:val="000558DD"/>
    <w:rsid w:val="00056425"/>
    <w:rsid w:val="0005737B"/>
    <w:rsid w:val="00070FA9"/>
    <w:rsid w:val="00075261"/>
    <w:rsid w:val="00076C96"/>
    <w:rsid w:val="00080874"/>
    <w:rsid w:val="000815EF"/>
    <w:rsid w:val="000A67DF"/>
    <w:rsid w:val="000B7303"/>
    <w:rsid w:val="000C4DBF"/>
    <w:rsid w:val="000C5EDD"/>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3768C"/>
    <w:rsid w:val="001410BB"/>
    <w:rsid w:val="00143014"/>
    <w:rsid w:val="001436D9"/>
    <w:rsid w:val="00144ADB"/>
    <w:rsid w:val="001469D0"/>
    <w:rsid w:val="00151CA6"/>
    <w:rsid w:val="00154EEA"/>
    <w:rsid w:val="0015637A"/>
    <w:rsid w:val="00164F24"/>
    <w:rsid w:val="00173232"/>
    <w:rsid w:val="00193771"/>
    <w:rsid w:val="00197558"/>
    <w:rsid w:val="001A0737"/>
    <w:rsid w:val="001A0D9A"/>
    <w:rsid w:val="001A36D1"/>
    <w:rsid w:val="001A3C89"/>
    <w:rsid w:val="001C59CC"/>
    <w:rsid w:val="001D383E"/>
    <w:rsid w:val="00212E84"/>
    <w:rsid w:val="0021499F"/>
    <w:rsid w:val="00220D59"/>
    <w:rsid w:val="00230A9B"/>
    <w:rsid w:val="00234902"/>
    <w:rsid w:val="00235DD8"/>
    <w:rsid w:val="0024118F"/>
    <w:rsid w:val="00242E5A"/>
    <w:rsid w:val="0025152A"/>
    <w:rsid w:val="00254C84"/>
    <w:rsid w:val="00261302"/>
    <w:rsid w:val="002671C3"/>
    <w:rsid w:val="00280B44"/>
    <w:rsid w:val="00286985"/>
    <w:rsid w:val="002878C8"/>
    <w:rsid w:val="00290C62"/>
    <w:rsid w:val="00295C0F"/>
    <w:rsid w:val="0029757F"/>
    <w:rsid w:val="002A14AA"/>
    <w:rsid w:val="002A411B"/>
    <w:rsid w:val="002B49CC"/>
    <w:rsid w:val="002C7013"/>
    <w:rsid w:val="002C763D"/>
    <w:rsid w:val="002C77AA"/>
    <w:rsid w:val="002D0471"/>
    <w:rsid w:val="002D5CA0"/>
    <w:rsid w:val="002E2269"/>
    <w:rsid w:val="002E4B3A"/>
    <w:rsid w:val="002F2803"/>
    <w:rsid w:val="002F74D5"/>
    <w:rsid w:val="00300401"/>
    <w:rsid w:val="0031179F"/>
    <w:rsid w:val="00312759"/>
    <w:rsid w:val="003318D8"/>
    <w:rsid w:val="003342FE"/>
    <w:rsid w:val="00337674"/>
    <w:rsid w:val="00346E12"/>
    <w:rsid w:val="0035018E"/>
    <w:rsid w:val="00354581"/>
    <w:rsid w:val="003643AF"/>
    <w:rsid w:val="0036531D"/>
    <w:rsid w:val="00366E6F"/>
    <w:rsid w:val="003830A0"/>
    <w:rsid w:val="00390AD5"/>
    <w:rsid w:val="003A2B6F"/>
    <w:rsid w:val="003B3597"/>
    <w:rsid w:val="003C312A"/>
    <w:rsid w:val="003F1A04"/>
    <w:rsid w:val="00403FF5"/>
    <w:rsid w:val="004208CB"/>
    <w:rsid w:val="004304EB"/>
    <w:rsid w:val="0043160A"/>
    <w:rsid w:val="00431A03"/>
    <w:rsid w:val="00433FC2"/>
    <w:rsid w:val="00437246"/>
    <w:rsid w:val="00440AAE"/>
    <w:rsid w:val="004462ED"/>
    <w:rsid w:val="00450E6C"/>
    <w:rsid w:val="00452126"/>
    <w:rsid w:val="00466105"/>
    <w:rsid w:val="00467BC4"/>
    <w:rsid w:val="00472478"/>
    <w:rsid w:val="0047313A"/>
    <w:rsid w:val="004748A1"/>
    <w:rsid w:val="00475CE3"/>
    <w:rsid w:val="00476B5C"/>
    <w:rsid w:val="00482CDA"/>
    <w:rsid w:val="004A1956"/>
    <w:rsid w:val="004A1E93"/>
    <w:rsid w:val="004B09A2"/>
    <w:rsid w:val="004B325A"/>
    <w:rsid w:val="004B4BD3"/>
    <w:rsid w:val="004C40B0"/>
    <w:rsid w:val="004C4DF0"/>
    <w:rsid w:val="004D0930"/>
    <w:rsid w:val="004E1A8B"/>
    <w:rsid w:val="00502AE5"/>
    <w:rsid w:val="00515552"/>
    <w:rsid w:val="00517D09"/>
    <w:rsid w:val="0052105C"/>
    <w:rsid w:val="0052752D"/>
    <w:rsid w:val="0052799A"/>
    <w:rsid w:val="00530B0C"/>
    <w:rsid w:val="005423CE"/>
    <w:rsid w:val="00542A4E"/>
    <w:rsid w:val="005454BB"/>
    <w:rsid w:val="00556956"/>
    <w:rsid w:val="00566B81"/>
    <w:rsid w:val="005741AD"/>
    <w:rsid w:val="00591B7D"/>
    <w:rsid w:val="00593811"/>
    <w:rsid w:val="00595A84"/>
    <w:rsid w:val="005A1F09"/>
    <w:rsid w:val="005A6E7E"/>
    <w:rsid w:val="005C5A47"/>
    <w:rsid w:val="005C693B"/>
    <w:rsid w:val="005D223A"/>
    <w:rsid w:val="005D3FB4"/>
    <w:rsid w:val="005D6513"/>
    <w:rsid w:val="005E49C3"/>
    <w:rsid w:val="006005D5"/>
    <w:rsid w:val="0060525F"/>
    <w:rsid w:val="00611DA0"/>
    <w:rsid w:val="006153B8"/>
    <w:rsid w:val="00630028"/>
    <w:rsid w:val="00641B08"/>
    <w:rsid w:val="006467C5"/>
    <w:rsid w:val="00646A65"/>
    <w:rsid w:val="0066246C"/>
    <w:rsid w:val="00663B29"/>
    <w:rsid w:val="00672194"/>
    <w:rsid w:val="00677CBA"/>
    <w:rsid w:val="0068060D"/>
    <w:rsid w:val="006860F0"/>
    <w:rsid w:val="00691A1D"/>
    <w:rsid w:val="00692982"/>
    <w:rsid w:val="006A1F47"/>
    <w:rsid w:val="006B7294"/>
    <w:rsid w:val="006C2843"/>
    <w:rsid w:val="006C47F9"/>
    <w:rsid w:val="006C4F0F"/>
    <w:rsid w:val="006D6E32"/>
    <w:rsid w:val="006E4D73"/>
    <w:rsid w:val="006E5E2F"/>
    <w:rsid w:val="006E6393"/>
    <w:rsid w:val="006E7395"/>
    <w:rsid w:val="006F11E4"/>
    <w:rsid w:val="006F29C3"/>
    <w:rsid w:val="007011F3"/>
    <w:rsid w:val="00702AAF"/>
    <w:rsid w:val="00705294"/>
    <w:rsid w:val="00705B84"/>
    <w:rsid w:val="007249A3"/>
    <w:rsid w:val="0073741E"/>
    <w:rsid w:val="0074756D"/>
    <w:rsid w:val="00750B0E"/>
    <w:rsid w:val="007544F4"/>
    <w:rsid w:val="00762E07"/>
    <w:rsid w:val="00765D5B"/>
    <w:rsid w:val="007667EF"/>
    <w:rsid w:val="00770FDE"/>
    <w:rsid w:val="007855EC"/>
    <w:rsid w:val="007863AC"/>
    <w:rsid w:val="00794C46"/>
    <w:rsid w:val="00794D7E"/>
    <w:rsid w:val="007A5966"/>
    <w:rsid w:val="007B31DC"/>
    <w:rsid w:val="007C1682"/>
    <w:rsid w:val="007C7A0B"/>
    <w:rsid w:val="007F3FC6"/>
    <w:rsid w:val="007F46DE"/>
    <w:rsid w:val="008023BA"/>
    <w:rsid w:val="00811793"/>
    <w:rsid w:val="00821F2A"/>
    <w:rsid w:val="008348B6"/>
    <w:rsid w:val="0083745E"/>
    <w:rsid w:val="008646D3"/>
    <w:rsid w:val="008676DC"/>
    <w:rsid w:val="008724A6"/>
    <w:rsid w:val="00872ADC"/>
    <w:rsid w:val="0087480B"/>
    <w:rsid w:val="00874CB4"/>
    <w:rsid w:val="00877891"/>
    <w:rsid w:val="00877CAB"/>
    <w:rsid w:val="008832AA"/>
    <w:rsid w:val="00885777"/>
    <w:rsid w:val="0088690D"/>
    <w:rsid w:val="00897BAC"/>
    <w:rsid w:val="008A00BB"/>
    <w:rsid w:val="008B0414"/>
    <w:rsid w:val="008C739C"/>
    <w:rsid w:val="008D2197"/>
    <w:rsid w:val="008D23F7"/>
    <w:rsid w:val="008D4DA1"/>
    <w:rsid w:val="008E7CE9"/>
    <w:rsid w:val="0090041A"/>
    <w:rsid w:val="00903A18"/>
    <w:rsid w:val="00905256"/>
    <w:rsid w:val="009119BA"/>
    <w:rsid w:val="009142B4"/>
    <w:rsid w:val="009179C5"/>
    <w:rsid w:val="009361C7"/>
    <w:rsid w:val="0093673C"/>
    <w:rsid w:val="00936A8B"/>
    <w:rsid w:val="00942C6A"/>
    <w:rsid w:val="009435E6"/>
    <w:rsid w:val="00961E9C"/>
    <w:rsid w:val="00973E9A"/>
    <w:rsid w:val="009816AC"/>
    <w:rsid w:val="00982A9C"/>
    <w:rsid w:val="0098685A"/>
    <w:rsid w:val="00992A29"/>
    <w:rsid w:val="0099362B"/>
    <w:rsid w:val="009A0E5C"/>
    <w:rsid w:val="009A18D3"/>
    <w:rsid w:val="009A25DB"/>
    <w:rsid w:val="009B23D6"/>
    <w:rsid w:val="009B3D47"/>
    <w:rsid w:val="009C4BCA"/>
    <w:rsid w:val="009F2418"/>
    <w:rsid w:val="009F25B0"/>
    <w:rsid w:val="00A019FB"/>
    <w:rsid w:val="00A02814"/>
    <w:rsid w:val="00A02FFE"/>
    <w:rsid w:val="00A13CFF"/>
    <w:rsid w:val="00A205AE"/>
    <w:rsid w:val="00A259F1"/>
    <w:rsid w:val="00A33373"/>
    <w:rsid w:val="00A36487"/>
    <w:rsid w:val="00A36CDE"/>
    <w:rsid w:val="00A36ECD"/>
    <w:rsid w:val="00A37881"/>
    <w:rsid w:val="00A379AF"/>
    <w:rsid w:val="00A46277"/>
    <w:rsid w:val="00A467F0"/>
    <w:rsid w:val="00A5025E"/>
    <w:rsid w:val="00A5660C"/>
    <w:rsid w:val="00A61324"/>
    <w:rsid w:val="00A65ABD"/>
    <w:rsid w:val="00A67D7D"/>
    <w:rsid w:val="00A72464"/>
    <w:rsid w:val="00A842C9"/>
    <w:rsid w:val="00A926E5"/>
    <w:rsid w:val="00A93243"/>
    <w:rsid w:val="00A96BB0"/>
    <w:rsid w:val="00A97E3C"/>
    <w:rsid w:val="00AA3A1B"/>
    <w:rsid w:val="00AB1688"/>
    <w:rsid w:val="00AB4B2A"/>
    <w:rsid w:val="00AB5F8C"/>
    <w:rsid w:val="00AB7D41"/>
    <w:rsid w:val="00AC5CAF"/>
    <w:rsid w:val="00AC6198"/>
    <w:rsid w:val="00AD0202"/>
    <w:rsid w:val="00AE3A04"/>
    <w:rsid w:val="00AE6122"/>
    <w:rsid w:val="00AF511A"/>
    <w:rsid w:val="00B054B5"/>
    <w:rsid w:val="00B11D9E"/>
    <w:rsid w:val="00B1378C"/>
    <w:rsid w:val="00B20B3A"/>
    <w:rsid w:val="00B22AAE"/>
    <w:rsid w:val="00B22CB2"/>
    <w:rsid w:val="00B40040"/>
    <w:rsid w:val="00B42B26"/>
    <w:rsid w:val="00B43F06"/>
    <w:rsid w:val="00B452FC"/>
    <w:rsid w:val="00B540E5"/>
    <w:rsid w:val="00B54FE9"/>
    <w:rsid w:val="00B65088"/>
    <w:rsid w:val="00B67FBA"/>
    <w:rsid w:val="00B70243"/>
    <w:rsid w:val="00B721B1"/>
    <w:rsid w:val="00B87D1B"/>
    <w:rsid w:val="00B958EB"/>
    <w:rsid w:val="00B96227"/>
    <w:rsid w:val="00B977F0"/>
    <w:rsid w:val="00BA5501"/>
    <w:rsid w:val="00BC3BA3"/>
    <w:rsid w:val="00BD24C2"/>
    <w:rsid w:val="00BE7BCC"/>
    <w:rsid w:val="00BF1817"/>
    <w:rsid w:val="00BF412D"/>
    <w:rsid w:val="00BF57AD"/>
    <w:rsid w:val="00BF6D3C"/>
    <w:rsid w:val="00C12268"/>
    <w:rsid w:val="00C15982"/>
    <w:rsid w:val="00C20C85"/>
    <w:rsid w:val="00C2341B"/>
    <w:rsid w:val="00C238C0"/>
    <w:rsid w:val="00C24CB9"/>
    <w:rsid w:val="00C30558"/>
    <w:rsid w:val="00C31B06"/>
    <w:rsid w:val="00C33392"/>
    <w:rsid w:val="00C346F1"/>
    <w:rsid w:val="00C444A4"/>
    <w:rsid w:val="00C470E9"/>
    <w:rsid w:val="00C52CD9"/>
    <w:rsid w:val="00C63285"/>
    <w:rsid w:val="00C7439A"/>
    <w:rsid w:val="00C967BC"/>
    <w:rsid w:val="00CA06B9"/>
    <w:rsid w:val="00CA6386"/>
    <w:rsid w:val="00CB688B"/>
    <w:rsid w:val="00CC7AAD"/>
    <w:rsid w:val="00CD32C0"/>
    <w:rsid w:val="00CD44A5"/>
    <w:rsid w:val="00CE00F7"/>
    <w:rsid w:val="00CE3535"/>
    <w:rsid w:val="00CF2499"/>
    <w:rsid w:val="00CF688D"/>
    <w:rsid w:val="00D024F1"/>
    <w:rsid w:val="00D16116"/>
    <w:rsid w:val="00D16C06"/>
    <w:rsid w:val="00D224DC"/>
    <w:rsid w:val="00D2548B"/>
    <w:rsid w:val="00D31522"/>
    <w:rsid w:val="00D32CF2"/>
    <w:rsid w:val="00D36F4D"/>
    <w:rsid w:val="00D434A6"/>
    <w:rsid w:val="00D5012E"/>
    <w:rsid w:val="00D548D4"/>
    <w:rsid w:val="00D554F5"/>
    <w:rsid w:val="00D65797"/>
    <w:rsid w:val="00D67616"/>
    <w:rsid w:val="00D73A2F"/>
    <w:rsid w:val="00D74899"/>
    <w:rsid w:val="00D749F7"/>
    <w:rsid w:val="00D82434"/>
    <w:rsid w:val="00D867F7"/>
    <w:rsid w:val="00DA293E"/>
    <w:rsid w:val="00DA37E0"/>
    <w:rsid w:val="00DA4B02"/>
    <w:rsid w:val="00DA7CE9"/>
    <w:rsid w:val="00DB13CC"/>
    <w:rsid w:val="00DC4648"/>
    <w:rsid w:val="00DD1867"/>
    <w:rsid w:val="00DD42F7"/>
    <w:rsid w:val="00DE0265"/>
    <w:rsid w:val="00DE58C5"/>
    <w:rsid w:val="00DF0ADF"/>
    <w:rsid w:val="00DF10B7"/>
    <w:rsid w:val="00E021A8"/>
    <w:rsid w:val="00E06B6F"/>
    <w:rsid w:val="00E07CAD"/>
    <w:rsid w:val="00E114E3"/>
    <w:rsid w:val="00E3133C"/>
    <w:rsid w:val="00E322B0"/>
    <w:rsid w:val="00E33295"/>
    <w:rsid w:val="00E40FC4"/>
    <w:rsid w:val="00E430E3"/>
    <w:rsid w:val="00E448C5"/>
    <w:rsid w:val="00E45A5B"/>
    <w:rsid w:val="00E70EDC"/>
    <w:rsid w:val="00E712F3"/>
    <w:rsid w:val="00E7140A"/>
    <w:rsid w:val="00E75780"/>
    <w:rsid w:val="00E82FB6"/>
    <w:rsid w:val="00EA1CDC"/>
    <w:rsid w:val="00EA2B35"/>
    <w:rsid w:val="00EA6554"/>
    <w:rsid w:val="00EA7A8F"/>
    <w:rsid w:val="00ED16AE"/>
    <w:rsid w:val="00ED37D7"/>
    <w:rsid w:val="00EE2C03"/>
    <w:rsid w:val="00EE32D5"/>
    <w:rsid w:val="00EF0CE1"/>
    <w:rsid w:val="00EF18D7"/>
    <w:rsid w:val="00EF227F"/>
    <w:rsid w:val="00F04404"/>
    <w:rsid w:val="00F0716E"/>
    <w:rsid w:val="00F20D36"/>
    <w:rsid w:val="00F2187C"/>
    <w:rsid w:val="00F224F1"/>
    <w:rsid w:val="00F25E29"/>
    <w:rsid w:val="00F43B77"/>
    <w:rsid w:val="00F442D3"/>
    <w:rsid w:val="00F5567D"/>
    <w:rsid w:val="00F563A2"/>
    <w:rsid w:val="00F70ADA"/>
    <w:rsid w:val="00F73B78"/>
    <w:rsid w:val="00F76594"/>
    <w:rsid w:val="00F77A92"/>
    <w:rsid w:val="00F866DD"/>
    <w:rsid w:val="00F90BF2"/>
    <w:rsid w:val="00F90F12"/>
    <w:rsid w:val="00FB2C20"/>
    <w:rsid w:val="00FB420B"/>
    <w:rsid w:val="00FC0B9E"/>
    <w:rsid w:val="00FD0BAE"/>
    <w:rsid w:val="00FE07C6"/>
    <w:rsid w:val="00FE1E1A"/>
    <w:rsid w:val="00FE6EE5"/>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BF1B8-7066-4451-9986-78580F6C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2020-04-08T16:44:00Z</dcterms:created>
  <dcterms:modified xsi:type="dcterms:W3CDTF">2020-04-08T16:44:00Z</dcterms:modified>
</cp:coreProperties>
</file>