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A6" w:rsidRPr="00892861" w:rsidRDefault="002D12A6" w:rsidP="00892861">
      <w:pPr>
        <w:pStyle w:val="Title"/>
        <w:keepNext w:val="0"/>
        <w:keepLines w:val="0"/>
        <w:spacing w:after="0" w:line="331" w:lineRule="auto"/>
        <w:contextualSpacing w:val="0"/>
        <w:rPr>
          <w:b/>
          <w:sz w:val="32"/>
          <w:szCs w:val="32"/>
        </w:rPr>
      </w:pPr>
      <w:r w:rsidRPr="00892861">
        <w:rPr>
          <w:b/>
          <w:sz w:val="32"/>
          <w:szCs w:val="32"/>
        </w:rPr>
        <w:t xml:space="preserve">Guidance </w:t>
      </w:r>
      <w:r w:rsidR="002C5EDF">
        <w:rPr>
          <w:b/>
          <w:sz w:val="32"/>
          <w:szCs w:val="32"/>
        </w:rPr>
        <w:t>on</w:t>
      </w:r>
      <w:bookmarkStart w:id="0" w:name="_GoBack"/>
      <w:bookmarkEnd w:id="0"/>
      <w:r w:rsidRPr="00892861">
        <w:rPr>
          <w:b/>
          <w:sz w:val="32"/>
          <w:szCs w:val="32"/>
        </w:rPr>
        <w:t xml:space="preserve"> Tagging </w:t>
      </w:r>
      <w:r w:rsidRPr="002D12A6">
        <w:rPr>
          <w:b/>
          <w:sz w:val="32"/>
          <w:szCs w:val="32"/>
        </w:rPr>
        <w:t>Designated Hedges and Non-Designated Hedges</w:t>
      </w:r>
    </w:p>
    <w:p w:rsidR="00892861" w:rsidRDefault="00892861" w:rsidP="00892861">
      <w:pPr>
        <w:pStyle w:val="Subtitle"/>
        <w:keepNext w:val="0"/>
        <w:keepLines w:val="0"/>
        <w:spacing w:after="0" w:line="331" w:lineRule="auto"/>
        <w:contextualSpacing w:val="0"/>
      </w:pPr>
      <w:r>
        <w:rPr>
          <w:sz w:val="28"/>
          <w:szCs w:val="28"/>
        </w:rPr>
        <w:t>XBRL US Data Quality Committee</w:t>
      </w:r>
      <w:r>
        <w:t xml:space="preserve"> </w:t>
      </w:r>
    </w:p>
    <w:p w:rsidR="00892861" w:rsidRPr="002D12A6" w:rsidRDefault="00892861" w:rsidP="002D12A6">
      <w:pPr>
        <w:spacing w:before="160" w:after="0" w:line="240" w:lineRule="auto"/>
        <w:outlineLvl w:val="2"/>
        <w:rPr>
          <w:rFonts w:ascii="Times New Roman" w:eastAsia="Times New Roman" w:hAnsi="Times New Roman" w:cs="Times New Roman"/>
          <w:b/>
          <w:bCs/>
          <w:sz w:val="27"/>
          <w:szCs w:val="27"/>
        </w:rPr>
      </w:pP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 xml:space="preserve">The US GAAP taxonomy contains a number of taxonomy structures to support disclosures related to hedging positions. The axis </w:t>
      </w:r>
      <w:proofErr w:type="spellStart"/>
      <w:r w:rsidRPr="002D12A6">
        <w:rPr>
          <w:rFonts w:ascii="Arial" w:eastAsia="Times New Roman" w:hAnsi="Arial" w:cs="Arial"/>
          <w:i/>
          <w:iCs/>
          <w:color w:val="000000"/>
          <w:sz w:val="18"/>
          <w:szCs w:val="18"/>
          <w:shd w:val="clear" w:color="auto" w:fill="FFFFFF"/>
        </w:rPr>
        <w:t>HedgingDesignationAxis</w:t>
      </w:r>
      <w:proofErr w:type="spellEnd"/>
      <w:r w:rsidRPr="002D12A6">
        <w:rPr>
          <w:rFonts w:ascii="Arial" w:eastAsia="Times New Roman" w:hAnsi="Arial" w:cs="Arial"/>
          <w:i/>
          <w:iCs/>
          <w:color w:val="000000"/>
          <w:sz w:val="18"/>
          <w:szCs w:val="18"/>
          <w:shd w:val="clear" w:color="auto" w:fill="FFFFFF"/>
        </w:rPr>
        <w:t xml:space="preserve"> </w:t>
      </w:r>
      <w:r w:rsidRPr="002D12A6">
        <w:rPr>
          <w:rFonts w:ascii="Arial" w:eastAsia="Times New Roman" w:hAnsi="Arial" w:cs="Arial"/>
          <w:color w:val="000000"/>
        </w:rPr>
        <w:t>is used to disaggregate hedges into those hedges designated as a hedge and those hedges not designated as a hedge.  This axis can be used in combination with the Hedging Relationship axis which allows a filer to disaggregate between cash flow, fair value and net investment hedges.  The relationship between these axis and the members they contain is as follows:</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noProof/>
          <w:color w:val="000000"/>
          <w:sz w:val="18"/>
          <w:szCs w:val="18"/>
          <w:shd w:val="clear" w:color="auto" w:fill="FFFFFF"/>
        </w:rPr>
        <w:drawing>
          <wp:inline distT="0" distB="0" distL="0" distR="0">
            <wp:extent cx="5943600" cy="2790825"/>
            <wp:effectExtent l="0" t="0" r="0" b="9525"/>
            <wp:docPr id="9" name="Picture 9" descr="https://docs.google.com/drawings/d/s3dnE13slRlT9OF2hMI6iSQ/image?w=624&amp;h=293&amp;rev=385&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3dnE13slRlT9OF2hMI6iSQ/image?w=624&amp;h=293&amp;rev=385&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color w:val="000000"/>
        </w:rPr>
        <w:t>Companies will often disaggregate derivative positions into those categories of derivatives that are designated as hedges and those that are not.</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noProof/>
          <w:color w:val="000000"/>
        </w:rPr>
        <w:drawing>
          <wp:inline distT="0" distB="0" distL="0" distR="0">
            <wp:extent cx="5943600" cy="1343025"/>
            <wp:effectExtent l="0" t="0" r="0" b="9525"/>
            <wp:docPr id="8" name="Picture 8" descr="https://docs.google.com/drawings/d/sdLvKTcpwe-5GeJYf0SIooQ/image?w=624&amp;h=141&amp;rev=1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dLvKTcpwe-5GeJYf0SIooQ/image?w=624&amp;h=141&amp;rev=11&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 xml:space="preserve">In this example the company has disaggregated the notional value of their foreign currency forwards into categories that are designated as hedges or not designated as hedges.  To disaggregate these two amounts for any given reporting period the </w:t>
      </w:r>
      <w:proofErr w:type="spellStart"/>
      <w:r w:rsidRPr="002D12A6">
        <w:rPr>
          <w:rFonts w:ascii="Arial" w:eastAsia="Times New Roman" w:hAnsi="Arial" w:cs="Arial"/>
          <w:i/>
          <w:iCs/>
          <w:color w:val="000000"/>
          <w:sz w:val="18"/>
          <w:szCs w:val="18"/>
          <w:shd w:val="clear" w:color="auto" w:fill="FFFFFF"/>
        </w:rPr>
        <w:t>HedgingDesignationAxis</w:t>
      </w:r>
      <w:proofErr w:type="spellEnd"/>
      <w:r w:rsidRPr="002D12A6">
        <w:rPr>
          <w:rFonts w:ascii="Arial" w:eastAsia="Times New Roman" w:hAnsi="Arial" w:cs="Arial"/>
          <w:i/>
          <w:iCs/>
          <w:color w:val="000000"/>
          <w:sz w:val="18"/>
          <w:szCs w:val="18"/>
          <w:shd w:val="clear" w:color="auto" w:fill="FFFFFF"/>
        </w:rPr>
        <w:t xml:space="preserve"> </w:t>
      </w:r>
      <w:r w:rsidRPr="002D12A6">
        <w:rPr>
          <w:rFonts w:ascii="Arial" w:eastAsia="Times New Roman" w:hAnsi="Arial" w:cs="Arial"/>
          <w:color w:val="000000"/>
        </w:rPr>
        <w:t xml:space="preserve">should be used with the members </w:t>
      </w:r>
      <w:proofErr w:type="spellStart"/>
      <w:r w:rsidRPr="002D12A6">
        <w:rPr>
          <w:rFonts w:ascii="Arial" w:eastAsia="Times New Roman" w:hAnsi="Arial" w:cs="Arial"/>
          <w:i/>
          <w:iCs/>
          <w:color w:val="000000"/>
          <w:sz w:val="18"/>
          <w:szCs w:val="18"/>
          <w:shd w:val="clear" w:color="auto" w:fill="FFFFFF"/>
        </w:rPr>
        <w:t>DesignatedAsHedgingInstrumentMember</w:t>
      </w:r>
      <w:proofErr w:type="spellEnd"/>
      <w:r w:rsidRPr="002D12A6">
        <w:rPr>
          <w:rFonts w:ascii="Arial" w:eastAsia="Times New Roman" w:hAnsi="Arial" w:cs="Arial"/>
          <w:i/>
          <w:iCs/>
          <w:color w:val="000000"/>
          <w:sz w:val="18"/>
          <w:szCs w:val="18"/>
          <w:shd w:val="clear" w:color="auto" w:fill="FFFFFF"/>
        </w:rPr>
        <w:t xml:space="preserve"> </w:t>
      </w:r>
      <w:r w:rsidRPr="002D12A6">
        <w:rPr>
          <w:rFonts w:ascii="Arial" w:eastAsia="Times New Roman" w:hAnsi="Arial" w:cs="Arial"/>
          <w:color w:val="000000"/>
        </w:rPr>
        <w:t xml:space="preserve">and </w:t>
      </w:r>
      <w:proofErr w:type="spellStart"/>
      <w:r w:rsidRPr="002D12A6">
        <w:rPr>
          <w:rFonts w:ascii="Arial" w:eastAsia="Times New Roman" w:hAnsi="Arial" w:cs="Arial"/>
          <w:i/>
          <w:iCs/>
          <w:color w:val="000000"/>
          <w:sz w:val="18"/>
          <w:szCs w:val="18"/>
          <w:shd w:val="clear" w:color="auto" w:fill="FFFFFF"/>
        </w:rPr>
        <w:t>NondesignatedMember</w:t>
      </w:r>
      <w:proofErr w:type="spellEnd"/>
      <w:r w:rsidRPr="002D12A6">
        <w:rPr>
          <w:rFonts w:ascii="Arial" w:eastAsia="Times New Roman" w:hAnsi="Arial" w:cs="Arial"/>
          <w:i/>
          <w:iCs/>
          <w:color w:val="000000"/>
          <w:sz w:val="18"/>
          <w:szCs w:val="18"/>
          <w:shd w:val="clear" w:color="auto" w:fill="FFFFFF"/>
        </w:rPr>
        <w:t>.</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lastRenderedPageBreak/>
        <w:t xml:space="preserve">In other situations companies further disaggregate the non-designated hedge amounts into economic hedges and derivatives used for </w:t>
      </w:r>
      <w:proofErr w:type="spellStart"/>
      <w:r w:rsidRPr="002D12A6">
        <w:rPr>
          <w:rFonts w:ascii="Arial" w:eastAsia="Times New Roman" w:hAnsi="Arial" w:cs="Arial"/>
          <w:color w:val="000000"/>
        </w:rPr>
        <w:t>non hedging</w:t>
      </w:r>
      <w:proofErr w:type="spellEnd"/>
      <w:r w:rsidRPr="002D12A6">
        <w:rPr>
          <w:rFonts w:ascii="Arial" w:eastAsia="Times New Roman" w:hAnsi="Arial" w:cs="Arial"/>
          <w:color w:val="000000"/>
        </w:rPr>
        <w:t xml:space="preserve"> purposes.  The following extension members</w:t>
      </w:r>
      <w:r w:rsidR="00892861">
        <w:rPr>
          <w:rStyle w:val="FootnoteReference"/>
          <w:rFonts w:ascii="Arial" w:eastAsia="Times New Roman" w:hAnsi="Arial" w:cs="Arial"/>
          <w:color w:val="000000"/>
        </w:rPr>
        <w:footnoteReference w:id="1"/>
      </w:r>
      <w:r w:rsidRPr="002D12A6">
        <w:rPr>
          <w:rFonts w:ascii="Arial" w:eastAsia="Times New Roman" w:hAnsi="Arial" w:cs="Arial"/>
          <w:color w:val="000000"/>
        </w:rPr>
        <w:t xml:space="preserve"> can be used to identify the amounts disaggregated into these categories:</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b/>
          <w:bCs/>
          <w:i/>
          <w:iCs/>
          <w:color w:val="000000"/>
          <w:sz w:val="18"/>
          <w:szCs w:val="18"/>
          <w:shd w:val="clear" w:color="auto" w:fill="FFFFFF"/>
        </w:rPr>
        <w:t>Economic Hedge Component</w:t>
      </w:r>
    </w:p>
    <w:tbl>
      <w:tblPr>
        <w:tblW w:w="0" w:type="auto"/>
        <w:tblCellMar>
          <w:top w:w="15" w:type="dxa"/>
          <w:left w:w="15" w:type="dxa"/>
          <w:bottom w:w="15" w:type="dxa"/>
          <w:right w:w="15" w:type="dxa"/>
        </w:tblCellMar>
        <w:tblLook w:val="04A0" w:firstRow="1" w:lastRow="0" w:firstColumn="1" w:lastColumn="0" w:noHBand="0" w:noVBand="1"/>
      </w:tblPr>
      <w:tblGrid>
        <w:gridCol w:w="5203"/>
        <w:gridCol w:w="1710"/>
      </w:tblGrid>
      <w:tr w:rsidR="002D12A6" w:rsidRPr="002D12A6" w:rsidTr="002D12A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proofErr w:type="spellStart"/>
            <w:r w:rsidRPr="002D12A6">
              <w:rPr>
                <w:rFonts w:ascii="Arial" w:eastAsia="Times New Roman" w:hAnsi="Arial" w:cs="Arial"/>
                <w:i/>
                <w:iCs/>
                <w:color w:val="000000"/>
                <w:sz w:val="18"/>
                <w:szCs w:val="18"/>
                <w:shd w:val="clear" w:color="auto" w:fill="FFFFFF"/>
              </w:rPr>
              <w:t>NotDesignatedAsHedgingInstrumentEconomicHedgesMember</w:t>
            </w:r>
            <w:proofErr w:type="spellEnd"/>
            <w:r w:rsidRPr="002D12A6">
              <w:rPr>
                <w:rFonts w:ascii="Arial" w:eastAsia="Times New Roman" w:hAnsi="Arial" w:cs="Arial"/>
                <w:i/>
                <w:iCs/>
                <w:color w:val="000000"/>
                <w:sz w:val="18"/>
                <w:szCs w:val="18"/>
                <w:shd w:val="clear" w:color="auto" w:fill="FFFFFF"/>
              </w:rPr>
              <w:t xml:space="preserve">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noProof/>
                <w:color w:val="000000"/>
              </w:rPr>
              <w:drawing>
                <wp:inline distT="0" distB="0" distL="0" distR="0">
                  <wp:extent cx="952500" cy="161925"/>
                  <wp:effectExtent l="0" t="0" r="0" b="9525"/>
                  <wp:docPr id="7" name="Picture 7"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b/>
          <w:bCs/>
          <w:i/>
          <w:iCs/>
          <w:color w:val="000000"/>
          <w:sz w:val="18"/>
          <w:szCs w:val="18"/>
          <w:shd w:val="clear" w:color="auto" w:fill="FFFFFF"/>
        </w:rPr>
        <w:t>Non Hedge Component</w:t>
      </w:r>
    </w:p>
    <w:tbl>
      <w:tblPr>
        <w:tblW w:w="0" w:type="auto"/>
        <w:tblCellMar>
          <w:top w:w="15" w:type="dxa"/>
          <w:left w:w="15" w:type="dxa"/>
          <w:bottom w:w="15" w:type="dxa"/>
          <w:right w:w="15" w:type="dxa"/>
        </w:tblCellMar>
        <w:tblLook w:val="04A0" w:firstRow="1" w:lastRow="0" w:firstColumn="1" w:lastColumn="0" w:noHBand="0" w:noVBand="1"/>
      </w:tblPr>
      <w:tblGrid>
        <w:gridCol w:w="4403"/>
        <w:gridCol w:w="1710"/>
      </w:tblGrid>
      <w:tr w:rsidR="002D12A6" w:rsidRPr="002D12A6" w:rsidTr="002D12A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proofErr w:type="spellStart"/>
            <w:r w:rsidRPr="002D12A6">
              <w:rPr>
                <w:rFonts w:ascii="Arial" w:eastAsia="Times New Roman" w:hAnsi="Arial" w:cs="Arial"/>
                <w:i/>
                <w:iCs/>
                <w:color w:val="000000"/>
                <w:sz w:val="18"/>
                <w:szCs w:val="18"/>
                <w:shd w:val="clear" w:color="auto" w:fill="FFFFFF"/>
              </w:rPr>
              <w:t>NotDesignatedAsHedgingInstrumentTradingMember</w:t>
            </w:r>
            <w:proofErr w:type="spellEnd"/>
            <w:r w:rsidRPr="002D12A6">
              <w:rPr>
                <w:rFonts w:ascii="Arial" w:eastAsia="Times New Roman" w:hAnsi="Arial" w:cs="Arial"/>
                <w:i/>
                <w:iCs/>
                <w:color w:val="000000"/>
                <w:sz w:val="18"/>
                <w:szCs w:val="18"/>
                <w:shd w:val="clear" w:color="auto" w:fill="FFFFFF"/>
              </w:rPr>
              <w:t xml:space="preserve">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noProof/>
                <w:color w:val="000000"/>
              </w:rPr>
              <w:drawing>
                <wp:inline distT="0" distB="0" distL="0" distR="0">
                  <wp:extent cx="952500" cy="161925"/>
                  <wp:effectExtent l="0" t="0" r="0" b="9525"/>
                  <wp:docPr id="6" name="Picture 6"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 xml:space="preserve">In the following example the company has reported the notional amounts for both economic (Management) hedges and trading derivatives. </w:t>
      </w: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i/>
          <w:iCs/>
          <w:noProof/>
          <w:color w:val="000000"/>
          <w:sz w:val="18"/>
          <w:szCs w:val="18"/>
          <w:shd w:val="clear" w:color="auto" w:fill="FFFFFF"/>
        </w:rPr>
        <w:lastRenderedPageBreak/>
        <w:drawing>
          <wp:inline distT="0" distB="0" distL="0" distR="0">
            <wp:extent cx="5943600" cy="7772400"/>
            <wp:effectExtent l="0" t="0" r="0" b="0"/>
            <wp:docPr id="5" name="Picture 5" descr="https://docs.google.com/drawings/d/sxCnaTekiQ9IBtWnwizlj_Q/image?w=624&amp;h=816&amp;rev=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xCnaTekiQ9IBtWnwizlj_Q/image?w=624&amp;h=816&amp;rev=9&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 xml:space="preserve">The data in the first column would use the member </w:t>
      </w:r>
      <w:proofErr w:type="spellStart"/>
      <w:r w:rsidRPr="002D12A6">
        <w:rPr>
          <w:rFonts w:ascii="Arial" w:eastAsia="Times New Roman" w:hAnsi="Arial" w:cs="Arial"/>
          <w:i/>
          <w:iCs/>
          <w:color w:val="000000"/>
          <w:sz w:val="18"/>
          <w:szCs w:val="18"/>
          <w:shd w:val="clear" w:color="auto" w:fill="FFFFFF"/>
        </w:rPr>
        <w:t>DesignatedAsHedgingInstrumentMember</w:t>
      </w:r>
      <w:proofErr w:type="spellEnd"/>
      <w:r w:rsidRPr="002D12A6">
        <w:rPr>
          <w:rFonts w:ascii="Arial" w:eastAsia="Times New Roman" w:hAnsi="Arial" w:cs="Arial"/>
          <w:i/>
          <w:iCs/>
          <w:color w:val="000000"/>
          <w:sz w:val="18"/>
          <w:szCs w:val="18"/>
          <w:shd w:val="clear" w:color="auto" w:fill="FFFFFF"/>
        </w:rPr>
        <w:t>,</w:t>
      </w:r>
      <w:r w:rsidRPr="002D12A6">
        <w:rPr>
          <w:rFonts w:ascii="Arial" w:eastAsia="Times New Roman" w:hAnsi="Arial" w:cs="Arial"/>
          <w:color w:val="000000"/>
          <w:sz w:val="18"/>
          <w:szCs w:val="18"/>
          <w:shd w:val="clear" w:color="auto" w:fill="FFFFFF"/>
        </w:rPr>
        <w:t xml:space="preserve"> </w:t>
      </w:r>
      <w:r w:rsidRPr="002D12A6">
        <w:rPr>
          <w:rFonts w:ascii="Arial" w:eastAsia="Times New Roman" w:hAnsi="Arial" w:cs="Arial"/>
          <w:color w:val="000000"/>
        </w:rPr>
        <w:t xml:space="preserve">the second column would use the member </w:t>
      </w:r>
      <w:proofErr w:type="spellStart"/>
      <w:r w:rsidRPr="002D12A6">
        <w:rPr>
          <w:rFonts w:ascii="Arial" w:eastAsia="Times New Roman" w:hAnsi="Arial" w:cs="Arial"/>
          <w:i/>
          <w:iCs/>
          <w:color w:val="000000"/>
          <w:sz w:val="18"/>
          <w:szCs w:val="18"/>
          <w:shd w:val="clear" w:color="auto" w:fill="FFFFFF"/>
        </w:rPr>
        <w:t>NotDesignatedAsHedgingInstrumentTradingMember</w:t>
      </w:r>
      <w:proofErr w:type="spellEnd"/>
      <w:r w:rsidRPr="002D12A6">
        <w:rPr>
          <w:rFonts w:ascii="Arial" w:eastAsia="Times New Roman" w:hAnsi="Arial" w:cs="Arial"/>
          <w:i/>
          <w:iCs/>
          <w:color w:val="000000"/>
          <w:sz w:val="18"/>
          <w:szCs w:val="18"/>
          <w:shd w:val="clear" w:color="auto" w:fill="FFFFFF"/>
        </w:rPr>
        <w:t xml:space="preserve"> </w:t>
      </w:r>
      <w:r w:rsidRPr="002D12A6">
        <w:rPr>
          <w:rFonts w:ascii="Arial" w:eastAsia="Times New Roman" w:hAnsi="Arial" w:cs="Arial"/>
          <w:color w:val="000000"/>
        </w:rPr>
        <w:t xml:space="preserve">and the third </w:t>
      </w:r>
      <w:proofErr w:type="spellStart"/>
      <w:proofErr w:type="gramStart"/>
      <w:r w:rsidRPr="002D12A6">
        <w:rPr>
          <w:rFonts w:ascii="Arial" w:eastAsia="Times New Roman" w:hAnsi="Arial" w:cs="Arial"/>
          <w:color w:val="000000"/>
        </w:rPr>
        <w:t>colum</w:t>
      </w:r>
      <w:proofErr w:type="spellEnd"/>
      <w:proofErr w:type="gramEnd"/>
      <w:r w:rsidRPr="002D12A6">
        <w:rPr>
          <w:rFonts w:ascii="Arial" w:eastAsia="Times New Roman" w:hAnsi="Arial" w:cs="Arial"/>
          <w:color w:val="000000"/>
        </w:rPr>
        <w:t xml:space="preserve"> </w:t>
      </w:r>
      <w:r w:rsidRPr="002D12A6">
        <w:rPr>
          <w:rFonts w:ascii="Arial" w:eastAsia="Times New Roman" w:hAnsi="Arial" w:cs="Arial"/>
          <w:color w:val="000000"/>
        </w:rPr>
        <w:lastRenderedPageBreak/>
        <w:t xml:space="preserve">would use the member </w:t>
      </w:r>
      <w:proofErr w:type="spellStart"/>
      <w:r w:rsidRPr="002D12A6">
        <w:rPr>
          <w:rFonts w:ascii="Arial" w:eastAsia="Times New Roman" w:hAnsi="Arial" w:cs="Arial"/>
          <w:i/>
          <w:iCs/>
          <w:color w:val="000000"/>
          <w:sz w:val="18"/>
          <w:szCs w:val="18"/>
          <w:shd w:val="clear" w:color="auto" w:fill="FFFFFF"/>
        </w:rPr>
        <w:t>NotDesignatedAsHedgingInstrumentEconomicHedgesMember</w:t>
      </w:r>
      <w:proofErr w:type="spellEnd"/>
      <w:r w:rsidRPr="002D12A6">
        <w:rPr>
          <w:rFonts w:ascii="Arial" w:eastAsia="Times New Roman" w:hAnsi="Arial" w:cs="Arial"/>
          <w:i/>
          <w:iCs/>
          <w:color w:val="000000"/>
          <w:sz w:val="18"/>
          <w:szCs w:val="18"/>
          <w:shd w:val="clear" w:color="auto" w:fill="FFFFFF"/>
        </w:rPr>
        <w:t xml:space="preserve">. </w:t>
      </w:r>
      <w:r w:rsidRPr="002D12A6">
        <w:rPr>
          <w:rFonts w:ascii="Arial" w:eastAsia="Times New Roman" w:hAnsi="Arial" w:cs="Arial"/>
          <w:color w:val="000000"/>
        </w:rPr>
        <w:t xml:space="preserve">The management hedges are in effect economic hedges as described in footnote 3 of the disclosure. All of the values in the disclosure would use the element </w:t>
      </w:r>
      <w:proofErr w:type="spellStart"/>
      <w:r w:rsidRPr="002D12A6">
        <w:rPr>
          <w:rFonts w:ascii="Arial" w:eastAsia="Times New Roman" w:hAnsi="Arial" w:cs="Arial"/>
          <w:i/>
          <w:iCs/>
          <w:color w:val="000000"/>
          <w:sz w:val="18"/>
          <w:szCs w:val="18"/>
          <w:shd w:val="clear" w:color="auto" w:fill="FFFFFF"/>
        </w:rPr>
        <w:t>DerivativeNotionalAmount</w:t>
      </w:r>
      <w:proofErr w:type="spellEnd"/>
      <w:r w:rsidRPr="002D12A6">
        <w:rPr>
          <w:rFonts w:ascii="Arial" w:eastAsia="Times New Roman" w:hAnsi="Arial" w:cs="Arial"/>
          <w:i/>
          <w:iCs/>
          <w:color w:val="000000"/>
          <w:sz w:val="18"/>
          <w:szCs w:val="18"/>
          <w:shd w:val="clear" w:color="auto" w:fill="FFFFFF"/>
        </w:rPr>
        <w:t>.</w:t>
      </w:r>
    </w:p>
    <w:p w:rsidR="002D12A6" w:rsidRPr="002D12A6" w:rsidRDefault="002D12A6" w:rsidP="002D12A6">
      <w:pPr>
        <w:spacing w:before="160" w:after="0" w:line="240" w:lineRule="auto"/>
        <w:jc w:val="both"/>
        <w:outlineLvl w:val="3"/>
        <w:rPr>
          <w:rFonts w:ascii="Times New Roman" w:eastAsia="Times New Roman" w:hAnsi="Times New Roman" w:cs="Times New Roman"/>
          <w:b/>
          <w:bCs/>
          <w:sz w:val="24"/>
          <w:szCs w:val="24"/>
        </w:rPr>
      </w:pPr>
      <w:r w:rsidRPr="002D12A6">
        <w:rPr>
          <w:rFonts w:ascii="Trebuchet MS" w:eastAsia="Times New Roman" w:hAnsi="Trebuchet MS" w:cs="Times New Roman"/>
          <w:color w:val="666666"/>
          <w:u w:val="single"/>
        </w:rPr>
        <w:t xml:space="preserve">Axis Redundancy </w:t>
      </w: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If a derivative is identified as a cash flow hedge, fair value hedge or Net Investment hedge the hedging designation axis should not be used. If any of these members are used the value must be a designated hedge and the addition of the hedging designation axis is redundant. See the section on net investment hedges in section 470.</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before="160" w:after="0" w:line="240" w:lineRule="auto"/>
        <w:outlineLvl w:val="3"/>
        <w:rPr>
          <w:rFonts w:ascii="Times New Roman" w:eastAsia="Times New Roman" w:hAnsi="Times New Roman" w:cs="Times New Roman"/>
          <w:b/>
          <w:bCs/>
          <w:sz w:val="24"/>
          <w:szCs w:val="24"/>
        </w:rPr>
      </w:pPr>
      <w:r w:rsidRPr="002D12A6">
        <w:rPr>
          <w:rFonts w:ascii="Trebuchet MS" w:eastAsia="Times New Roman" w:hAnsi="Trebuchet MS" w:cs="Times New Roman"/>
          <w:color w:val="666666"/>
          <w:u w:val="single"/>
        </w:rPr>
        <w:t>De-Designation of a Hedge</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 xml:space="preserve">In many cases companies will report the fact that a hedge was de designated as a hedge. This means that in a prior period an amount was hedged and in the current period it was not.  The company will often disclose the value of the notional or fair value that was de-designated as a hedge. Because this is a movement from one member on the </w:t>
      </w:r>
      <w:proofErr w:type="spellStart"/>
      <w:r w:rsidRPr="002D12A6">
        <w:rPr>
          <w:rFonts w:ascii="Arial" w:eastAsia="Times New Roman" w:hAnsi="Arial" w:cs="Arial"/>
          <w:i/>
          <w:iCs/>
          <w:color w:val="000000"/>
          <w:sz w:val="18"/>
          <w:szCs w:val="18"/>
          <w:shd w:val="clear" w:color="auto" w:fill="FFFFFF"/>
        </w:rPr>
        <w:t>HedgingDesignationAxis</w:t>
      </w:r>
      <w:proofErr w:type="spellEnd"/>
      <w:r w:rsidRPr="002D12A6">
        <w:rPr>
          <w:rFonts w:ascii="Arial" w:eastAsia="Times New Roman" w:hAnsi="Arial" w:cs="Arial"/>
          <w:color w:val="000000"/>
        </w:rPr>
        <w:t xml:space="preserve"> to another member on the axis it makes little sense to use this axis to distinguish this amount. Using the member not designated as a hedge with these values creates ambiguities in the filing as consumers of the data could misinterpret the amount to be the value of designated hedges as opposed to the change during the period. In the following disclosure the company reports the value of forward currency contracts that we de-designated of $4,879.</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noProof/>
          <w:color w:val="1155CC"/>
          <w:sz w:val="20"/>
          <w:szCs w:val="20"/>
        </w:rPr>
        <w:drawing>
          <wp:inline distT="0" distB="0" distL="0" distR="0">
            <wp:extent cx="5943600" cy="1143000"/>
            <wp:effectExtent l="0" t="0" r="0" b="0"/>
            <wp:docPr id="4" name="Picture 4" descr="https://docs.google.com/drawings/d/sRdMsMP29UzL0Sq1o1Kqlew/image?w=624&amp;h=120&amp;rev=13&amp;ac=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RdMsMP29UzL0Sq1o1Kqlew/image?w=624&amp;h=120&amp;rev=13&amp;a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color w:val="000000"/>
        </w:rPr>
        <w:t xml:space="preserve">This disclosure should be reported using an extension element called </w:t>
      </w:r>
      <w:proofErr w:type="spellStart"/>
      <w:r w:rsidRPr="002D12A6">
        <w:rPr>
          <w:rFonts w:ascii="Arial" w:eastAsia="Times New Roman" w:hAnsi="Arial" w:cs="Arial"/>
          <w:i/>
          <w:iCs/>
          <w:color w:val="000000"/>
          <w:sz w:val="18"/>
          <w:szCs w:val="18"/>
          <w:shd w:val="clear" w:color="auto" w:fill="FFFFFF"/>
        </w:rPr>
        <w:t>DerivativeNotionalAmountDeDesignatedHedge</w:t>
      </w:r>
      <w:proofErr w:type="spellEnd"/>
      <w:r w:rsidRPr="002D12A6">
        <w:rPr>
          <w:rFonts w:ascii="Arial" w:eastAsia="Times New Roman" w:hAnsi="Arial" w:cs="Arial"/>
          <w:i/>
          <w:iCs/>
          <w:color w:val="000000"/>
          <w:sz w:val="18"/>
          <w:szCs w:val="18"/>
          <w:shd w:val="clear" w:color="auto" w:fill="FFFFFF"/>
        </w:rPr>
        <w:t xml:space="preserve"> </w:t>
      </w:r>
      <w:r w:rsidRPr="002D12A6">
        <w:rPr>
          <w:rFonts w:ascii="Arial" w:eastAsia="Times New Roman" w:hAnsi="Arial" w:cs="Arial"/>
          <w:color w:val="000000"/>
        </w:rPr>
        <w:t>with the member representing that the amount relates to foreign currency contracts and the member indicating that it is a fair value hedge.</w:t>
      </w:r>
    </w:p>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color w:val="000000"/>
        </w:rPr>
        <w:t xml:space="preserve">The following extension </w:t>
      </w:r>
      <w:proofErr w:type="gramStart"/>
      <w:r w:rsidRPr="002D12A6">
        <w:rPr>
          <w:rFonts w:ascii="Arial" w:eastAsia="Times New Roman" w:hAnsi="Arial" w:cs="Arial"/>
          <w:color w:val="000000"/>
        </w:rPr>
        <w:t>elements  can</w:t>
      </w:r>
      <w:proofErr w:type="gramEnd"/>
      <w:r w:rsidRPr="002D12A6">
        <w:rPr>
          <w:rFonts w:ascii="Arial" w:eastAsia="Times New Roman" w:hAnsi="Arial" w:cs="Arial"/>
          <w:color w:val="000000"/>
        </w:rPr>
        <w:t xml:space="preserve"> be used when defining the changes in the notional amounts due to de-designated hedges during a period: </w:t>
      </w:r>
    </w:p>
    <w:p w:rsidR="002D12A6" w:rsidRPr="002D12A6" w:rsidRDefault="002D12A6" w:rsidP="002D12A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03"/>
        <w:gridCol w:w="1710"/>
      </w:tblGrid>
      <w:tr w:rsidR="002D12A6" w:rsidRPr="002D12A6" w:rsidTr="002D12A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b/>
                <w:bCs/>
                <w:i/>
                <w:iCs/>
                <w:color w:val="000000"/>
                <w:sz w:val="18"/>
                <w:szCs w:val="18"/>
                <w:shd w:val="clear" w:color="auto" w:fill="FFFFFF"/>
              </w:rPr>
              <w:t>Change in Notional Amounts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p>
        </w:tc>
      </w:tr>
      <w:tr w:rsidR="002D12A6" w:rsidRPr="002D12A6" w:rsidTr="002D12A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proofErr w:type="spellStart"/>
            <w:r w:rsidRPr="002D12A6">
              <w:rPr>
                <w:rFonts w:ascii="Arial" w:eastAsia="Times New Roman" w:hAnsi="Arial" w:cs="Arial"/>
                <w:i/>
                <w:iCs/>
                <w:color w:val="000000"/>
                <w:sz w:val="18"/>
                <w:szCs w:val="18"/>
                <w:shd w:val="clear" w:color="auto" w:fill="FFFFFF"/>
              </w:rPr>
              <w:t>DerivativeNotionalAmountDeDesignatedHedge</w:t>
            </w:r>
            <w:proofErr w:type="spellEnd"/>
            <w:r w:rsidRPr="002D12A6">
              <w:rPr>
                <w:rFonts w:ascii="Arial" w:eastAsia="Times New Roman" w:hAnsi="Arial" w:cs="Arial"/>
                <w:i/>
                <w:iCs/>
                <w:color w:val="000000"/>
                <w:sz w:val="18"/>
                <w:szCs w:val="18"/>
                <w:shd w:val="clear" w:color="auto" w:fill="FFFFFF"/>
              </w:rPr>
              <w:t xml:space="preserve"> - Duration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noProof/>
                <w:color w:val="000000"/>
              </w:rPr>
              <w:drawing>
                <wp:inline distT="0" distB="0" distL="0" distR="0">
                  <wp:extent cx="952500" cy="161925"/>
                  <wp:effectExtent l="0" t="0" r="0" b="9525"/>
                  <wp:docPr id="3" name="Picture 3"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b/>
          <w:bCs/>
          <w:i/>
          <w:iCs/>
          <w:color w:val="000000"/>
          <w:sz w:val="18"/>
          <w:szCs w:val="18"/>
          <w:shd w:val="clear" w:color="auto" w:fill="FFFFFF"/>
        </w:rPr>
        <w:t>Change in Derivative Asset Amounts</w:t>
      </w:r>
    </w:p>
    <w:p w:rsidR="002D12A6" w:rsidRPr="002D12A6" w:rsidRDefault="002D12A6" w:rsidP="002D12A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62"/>
        <w:gridCol w:w="1710"/>
      </w:tblGrid>
      <w:tr w:rsidR="002D12A6" w:rsidRPr="002D12A6" w:rsidTr="002D12A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proofErr w:type="spellStart"/>
            <w:r w:rsidRPr="002D12A6">
              <w:rPr>
                <w:rFonts w:ascii="Arial" w:eastAsia="Times New Roman" w:hAnsi="Arial" w:cs="Arial"/>
                <w:i/>
                <w:iCs/>
                <w:color w:val="000000"/>
                <w:sz w:val="18"/>
                <w:szCs w:val="18"/>
                <w:shd w:val="clear" w:color="auto" w:fill="FFFFFF"/>
              </w:rPr>
              <w:t>DerivativeAssetsDeDesignatedHedge</w:t>
            </w:r>
            <w:proofErr w:type="spellEnd"/>
            <w:r w:rsidRPr="002D12A6">
              <w:rPr>
                <w:rFonts w:ascii="Arial" w:eastAsia="Times New Roman" w:hAnsi="Arial" w:cs="Arial"/>
                <w:i/>
                <w:iCs/>
                <w:color w:val="000000"/>
                <w:sz w:val="18"/>
                <w:szCs w:val="18"/>
                <w:shd w:val="clear" w:color="auto" w:fill="FFFFFF"/>
              </w:rPr>
              <w:t xml:space="preserve"> - Duration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noProof/>
                <w:color w:val="000000"/>
              </w:rPr>
              <w:drawing>
                <wp:inline distT="0" distB="0" distL="0" distR="0">
                  <wp:extent cx="952500" cy="161925"/>
                  <wp:effectExtent l="0" t="0" r="0" b="9525"/>
                  <wp:docPr id="2" name="Picture 2"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2D12A6" w:rsidRPr="002D12A6" w:rsidRDefault="002D12A6" w:rsidP="002D12A6">
      <w:pPr>
        <w:spacing w:after="0" w:line="240" w:lineRule="auto"/>
        <w:rPr>
          <w:rFonts w:ascii="Times New Roman" w:eastAsia="Times New Roman" w:hAnsi="Times New Roman" w:cs="Times New Roman"/>
          <w:sz w:val="24"/>
          <w:szCs w:val="24"/>
        </w:rPr>
      </w:pPr>
    </w:p>
    <w:p w:rsidR="002D12A6" w:rsidRPr="002D12A6" w:rsidRDefault="002D12A6" w:rsidP="002D12A6">
      <w:pPr>
        <w:spacing w:after="0" w:line="240" w:lineRule="auto"/>
        <w:rPr>
          <w:rFonts w:ascii="Times New Roman" w:eastAsia="Times New Roman" w:hAnsi="Times New Roman" w:cs="Times New Roman"/>
          <w:sz w:val="24"/>
          <w:szCs w:val="24"/>
        </w:rPr>
      </w:pPr>
      <w:r w:rsidRPr="002D12A6">
        <w:rPr>
          <w:rFonts w:ascii="Arial" w:eastAsia="Times New Roman" w:hAnsi="Arial" w:cs="Arial"/>
          <w:b/>
          <w:bCs/>
          <w:i/>
          <w:iCs/>
          <w:color w:val="000000"/>
          <w:sz w:val="18"/>
          <w:szCs w:val="18"/>
          <w:shd w:val="clear" w:color="auto" w:fill="FFFFFF"/>
        </w:rPr>
        <w:t>Change in Derivative Liability Amounts</w:t>
      </w:r>
    </w:p>
    <w:p w:rsidR="002D12A6" w:rsidRPr="002D12A6" w:rsidRDefault="002D12A6" w:rsidP="002D12A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03"/>
        <w:gridCol w:w="1710"/>
      </w:tblGrid>
      <w:tr w:rsidR="002D12A6" w:rsidRPr="002D12A6" w:rsidTr="002D12A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rPr>
                <w:rFonts w:ascii="Times New Roman" w:eastAsia="Times New Roman" w:hAnsi="Times New Roman" w:cs="Times New Roman"/>
                <w:sz w:val="24"/>
                <w:szCs w:val="24"/>
              </w:rPr>
            </w:pPr>
            <w:proofErr w:type="spellStart"/>
            <w:r w:rsidRPr="002D12A6">
              <w:rPr>
                <w:rFonts w:ascii="Arial" w:eastAsia="Times New Roman" w:hAnsi="Arial" w:cs="Arial"/>
                <w:i/>
                <w:iCs/>
                <w:color w:val="000000"/>
                <w:sz w:val="18"/>
                <w:szCs w:val="18"/>
                <w:shd w:val="clear" w:color="auto" w:fill="FFFFFF"/>
              </w:rPr>
              <w:t>DerivativeLiabillitiesDeDesignatedHedge</w:t>
            </w:r>
            <w:proofErr w:type="spellEnd"/>
            <w:r w:rsidRPr="002D12A6">
              <w:rPr>
                <w:rFonts w:ascii="Arial" w:eastAsia="Times New Roman" w:hAnsi="Arial" w:cs="Arial"/>
                <w:i/>
                <w:iCs/>
                <w:color w:val="000000"/>
                <w:sz w:val="18"/>
                <w:szCs w:val="18"/>
                <w:shd w:val="clear" w:color="auto" w:fill="FFFFFF"/>
              </w:rPr>
              <w:t xml:space="preserve"> - Duration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2D12A6" w:rsidRPr="002D12A6" w:rsidRDefault="002D12A6" w:rsidP="002D12A6">
            <w:pPr>
              <w:spacing w:after="0" w:line="240" w:lineRule="auto"/>
              <w:jc w:val="both"/>
              <w:rPr>
                <w:rFonts w:ascii="Times New Roman" w:eastAsia="Times New Roman" w:hAnsi="Times New Roman" w:cs="Times New Roman"/>
                <w:sz w:val="24"/>
                <w:szCs w:val="24"/>
              </w:rPr>
            </w:pPr>
            <w:r w:rsidRPr="002D12A6">
              <w:rPr>
                <w:rFonts w:ascii="Arial" w:eastAsia="Times New Roman" w:hAnsi="Arial" w:cs="Arial"/>
                <w:noProof/>
                <w:color w:val="000000"/>
              </w:rPr>
              <w:drawing>
                <wp:inline distT="0" distB="0" distL="0" distR="0">
                  <wp:extent cx="952500" cy="161925"/>
                  <wp:effectExtent l="0" t="0" r="0" b="9525"/>
                  <wp:docPr id="1" name="Picture 1"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an5slW0yqp4E45jmMNVHnYxmzV1LMP-7R-nNJn0Kh3UP0M6MP16zKzE6W6n3QC5ZMxXCIXSsAUx2cHdbhB-s4dEqC_ot9zvR2mgbbb1u8Ee55SU_BL-Q0d-xzut9kMtSEg1J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p>
        </w:tc>
      </w:tr>
    </w:tbl>
    <w:p w:rsidR="00655187" w:rsidRDefault="002D12A6">
      <w:r w:rsidRPr="002D12A6">
        <w:rPr>
          <w:rFonts w:ascii="Times New Roman" w:eastAsia="Times New Roman" w:hAnsi="Times New Roman" w:cs="Times New Roman"/>
          <w:sz w:val="24"/>
          <w:szCs w:val="24"/>
        </w:rPr>
        <w:lastRenderedPageBreak/>
        <w:br/>
      </w:r>
      <w:r w:rsidRPr="002D12A6">
        <w:rPr>
          <w:rFonts w:ascii="Arial" w:eastAsia="Times New Roman" w:hAnsi="Arial" w:cs="Arial"/>
          <w:color w:val="000000"/>
        </w:rPr>
        <w:t xml:space="preserve">The US GAAP taxonomy currently does not have elements that reflect the change in notional and derivative fair market values that reflect the movement in the notional or derivative value during the period. If reporting the </w:t>
      </w:r>
      <w:proofErr w:type="spellStart"/>
      <w:r w:rsidRPr="002D12A6">
        <w:rPr>
          <w:rFonts w:ascii="Arial" w:eastAsia="Times New Roman" w:hAnsi="Arial" w:cs="Arial"/>
          <w:color w:val="000000"/>
        </w:rPr>
        <w:t>the</w:t>
      </w:r>
      <w:proofErr w:type="spellEnd"/>
      <w:r w:rsidRPr="002D12A6">
        <w:rPr>
          <w:rFonts w:ascii="Arial" w:eastAsia="Times New Roman" w:hAnsi="Arial" w:cs="Arial"/>
          <w:color w:val="000000"/>
        </w:rPr>
        <w:t xml:space="preserve"> amount de designated for a Fair Value, Cash Flow or Net Investment hedge then qualify the values using the hedging Relationship [Axis].</w:t>
      </w:r>
    </w:p>
    <w:sectPr w:rsidR="0065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BB9" w:rsidRDefault="00786BB9" w:rsidP="00892861">
      <w:pPr>
        <w:spacing w:after="0" w:line="240" w:lineRule="auto"/>
      </w:pPr>
      <w:r>
        <w:separator/>
      </w:r>
    </w:p>
  </w:endnote>
  <w:endnote w:type="continuationSeparator" w:id="0">
    <w:p w:rsidR="00786BB9" w:rsidRDefault="00786BB9" w:rsidP="008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BB9" w:rsidRDefault="00786BB9" w:rsidP="00892861">
      <w:pPr>
        <w:spacing w:after="0" w:line="240" w:lineRule="auto"/>
      </w:pPr>
      <w:r>
        <w:separator/>
      </w:r>
    </w:p>
  </w:footnote>
  <w:footnote w:type="continuationSeparator" w:id="0">
    <w:p w:rsidR="00786BB9" w:rsidRDefault="00786BB9" w:rsidP="00892861">
      <w:pPr>
        <w:spacing w:after="0" w:line="240" w:lineRule="auto"/>
      </w:pPr>
      <w:r>
        <w:continuationSeparator/>
      </w:r>
    </w:p>
  </w:footnote>
  <w:footnote w:id="1">
    <w:p w:rsidR="00892861" w:rsidRDefault="00892861">
      <w:pPr>
        <w:pStyle w:val="FootnoteText"/>
      </w:pPr>
      <w:r>
        <w:rPr>
          <w:rStyle w:val="FootnoteReference"/>
        </w:rPr>
        <w:footnoteRef/>
      </w:r>
      <w:r>
        <w:t xml:space="preserve"> </w:t>
      </w:r>
      <w:r>
        <w:rPr>
          <w:rFonts w:ascii="Arial" w:hAnsi="Arial" w:cs="Arial"/>
          <w:noProof/>
          <w:color w:val="000000"/>
          <w:sz w:val="22"/>
          <w:szCs w:val="22"/>
        </w:rPr>
        <w:drawing>
          <wp:inline distT="0" distB="0" distL="0" distR="0" wp14:anchorId="0345A8AF" wp14:editId="2264FABF">
            <wp:extent cx="952500" cy="161925"/>
            <wp:effectExtent l="0" t="0" r="0" b="9525"/>
            <wp:docPr id="11" name="Picture 11" descr="https://lh6.googleusercontent.com/UBan5slW0yqp4E45jmMNVHnYxmzV1LMP-7R-nNJn0Kh3UP0M6MP16zKzE6W6n3QC5ZMxXCIXSsAUx2cHdbhB-s4dEqC_ot9zvR2mgbbb1u8Ee55SU_BL-Q0d-xzut9kMtSEg1J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UBan5slW0yqp4E45jmMNVHnYxmzV1LMP-7R-nNJn0Kh3UP0M6MP16zKzE6W6n3QC5ZMxXCIXSsAUx2cHdbhB-s4dEqC_ot9zvR2mgbbb1u8Ee55SU_BL-Q0d-xzut9kMtSEg1JB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Pr="00892861">
        <w:rPr>
          <w:rFonts w:ascii="Arial" w:hAnsi="Arial" w:cs="Arial"/>
          <w:color w:val="000000"/>
          <w:szCs w:val="22"/>
        </w:rPr>
        <w:t>When the FASB icon is shown in this document it means that a request has been made (or should be made) to the FASB to update the taxonomy for the specific area discussed.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A6"/>
    <w:rsid w:val="002C5EDF"/>
    <w:rsid w:val="002D12A6"/>
    <w:rsid w:val="00655187"/>
    <w:rsid w:val="00786BB9"/>
    <w:rsid w:val="0089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D7800-27B3-4BE8-A4A4-3473AAC9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1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12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2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12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12A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rsid w:val="00892861"/>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892861"/>
    <w:rPr>
      <w:rFonts w:ascii="Arial" w:eastAsia="Arial" w:hAnsi="Arial" w:cs="Arial"/>
      <w:color w:val="666666"/>
      <w:sz w:val="30"/>
      <w:szCs w:val="30"/>
    </w:rPr>
  </w:style>
  <w:style w:type="paragraph" w:styleId="Title">
    <w:name w:val="Title"/>
    <w:basedOn w:val="Normal"/>
    <w:next w:val="Normal"/>
    <w:link w:val="TitleChar"/>
    <w:rsid w:val="00892861"/>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892861"/>
    <w:rPr>
      <w:rFonts w:ascii="Arial" w:eastAsia="Arial" w:hAnsi="Arial" w:cs="Arial"/>
      <w:color w:val="000000"/>
      <w:sz w:val="52"/>
      <w:szCs w:val="52"/>
    </w:rPr>
  </w:style>
  <w:style w:type="paragraph" w:styleId="FootnoteText">
    <w:name w:val="footnote text"/>
    <w:basedOn w:val="Normal"/>
    <w:link w:val="FootnoteTextChar"/>
    <w:uiPriority w:val="99"/>
    <w:semiHidden/>
    <w:unhideWhenUsed/>
    <w:rsid w:val="008928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861"/>
    <w:rPr>
      <w:sz w:val="20"/>
      <w:szCs w:val="20"/>
    </w:rPr>
  </w:style>
  <w:style w:type="character" w:styleId="FootnoteReference">
    <w:name w:val="footnote reference"/>
    <w:basedOn w:val="DefaultParagraphFont"/>
    <w:uiPriority w:val="99"/>
    <w:semiHidden/>
    <w:unhideWhenUsed/>
    <w:rsid w:val="00892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58397">
      <w:bodyDiv w:val="1"/>
      <w:marLeft w:val="0"/>
      <w:marRight w:val="0"/>
      <w:marTop w:val="0"/>
      <w:marBottom w:val="0"/>
      <w:divBdr>
        <w:top w:val="none" w:sz="0" w:space="0" w:color="auto"/>
        <w:left w:val="none" w:sz="0" w:space="0" w:color="auto"/>
        <w:bottom w:val="none" w:sz="0" w:space="0" w:color="auto"/>
        <w:right w:val="none" w:sz="0" w:space="0" w:color="auto"/>
      </w:divBdr>
      <w:divsChild>
        <w:div w:id="2078476078">
          <w:marLeft w:val="0"/>
          <w:marRight w:val="0"/>
          <w:marTop w:val="0"/>
          <w:marBottom w:val="0"/>
          <w:divBdr>
            <w:top w:val="none" w:sz="0" w:space="0" w:color="auto"/>
            <w:left w:val="none" w:sz="0" w:space="0" w:color="auto"/>
            <w:bottom w:val="none" w:sz="0" w:space="0" w:color="auto"/>
            <w:right w:val="none" w:sz="0" w:space="0" w:color="auto"/>
          </w:divBdr>
        </w:div>
        <w:div w:id="23404521">
          <w:marLeft w:val="0"/>
          <w:marRight w:val="0"/>
          <w:marTop w:val="0"/>
          <w:marBottom w:val="0"/>
          <w:divBdr>
            <w:top w:val="none" w:sz="0" w:space="0" w:color="auto"/>
            <w:left w:val="none" w:sz="0" w:space="0" w:color="auto"/>
            <w:bottom w:val="none" w:sz="0" w:space="0" w:color="auto"/>
            <w:right w:val="none" w:sz="0" w:space="0" w:color="auto"/>
          </w:divBdr>
        </w:div>
        <w:div w:id="484324595">
          <w:marLeft w:val="0"/>
          <w:marRight w:val="0"/>
          <w:marTop w:val="0"/>
          <w:marBottom w:val="0"/>
          <w:divBdr>
            <w:top w:val="none" w:sz="0" w:space="0" w:color="auto"/>
            <w:left w:val="none" w:sz="0" w:space="0" w:color="auto"/>
            <w:bottom w:val="none" w:sz="0" w:space="0" w:color="auto"/>
            <w:right w:val="none" w:sz="0" w:space="0" w:color="auto"/>
          </w:divBdr>
        </w:div>
        <w:div w:id="616257843">
          <w:marLeft w:val="0"/>
          <w:marRight w:val="0"/>
          <w:marTop w:val="0"/>
          <w:marBottom w:val="0"/>
          <w:divBdr>
            <w:top w:val="none" w:sz="0" w:space="0" w:color="auto"/>
            <w:left w:val="none" w:sz="0" w:space="0" w:color="auto"/>
            <w:bottom w:val="none" w:sz="0" w:space="0" w:color="auto"/>
            <w:right w:val="none" w:sz="0" w:space="0" w:color="auto"/>
          </w:divBdr>
        </w:div>
        <w:div w:id="44415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suite.xbrl.us/php/dispatch.php?Task=htmlExport&amp;FactID=122274725&amp;searchText=%224,879%22"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556C-D59E-49DC-91B7-C1C2DE39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3</cp:revision>
  <dcterms:created xsi:type="dcterms:W3CDTF">2016-06-22T00:34:00Z</dcterms:created>
  <dcterms:modified xsi:type="dcterms:W3CDTF">2016-06-22T18:37:00Z</dcterms:modified>
</cp:coreProperties>
</file>