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d3fb1c64a" Type="http://schemas.openxmlformats.org/officeDocument/2006/extended-properties" Target="docProps/app0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5A7F" w14:textId="77777777" w:rsidR="00354581" w:rsidRDefault="00431A0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Quality Committee</w:t>
      </w:r>
      <w:bookmarkStart w:id="0" w:name="Section_1"/>
      <w:bookmarkEnd w:id="0"/>
    </w:p>
    <w:p w14:paraId="1C63824C" w14:textId="177EB07A" w:rsidR="00354581" w:rsidRDefault="00431A03">
      <w:pPr>
        <w:spacing w:line="288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E2D28">
        <w:rPr>
          <w:rFonts w:ascii="Arial" w:eastAsia="Arial" w:hAnsi="Arial" w:cs="Arial"/>
          <w:b/>
          <w:sz w:val="23"/>
        </w:rPr>
        <w:t>Washington D.C.</w:t>
      </w:r>
    </w:p>
    <w:p w14:paraId="44DFAFF7" w14:textId="2C829667" w:rsidR="00354581" w:rsidRDefault="005D6513">
      <w:pPr>
        <w:spacing w:line="288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April 25, 2018</w:t>
      </w:r>
    </w:p>
    <w:p w14:paraId="546E7FA1" w14:textId="77777777" w:rsidR="00354581" w:rsidRDefault="00431A03">
      <w:pPr>
        <w:spacing w:line="332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Meeting Notes</w:t>
      </w:r>
    </w:p>
    <w:p w14:paraId="2E2328B8" w14:textId="77777777" w:rsidR="00354581" w:rsidRDefault="00354581">
      <w:pPr>
        <w:spacing w:line="332" w:lineRule="auto"/>
        <w:jc w:val="center"/>
        <w:rPr>
          <w:rFonts w:ascii="Arial" w:eastAsia="Arial" w:hAnsi="Arial" w:cs="Arial"/>
          <w:sz w:val="22"/>
        </w:rPr>
      </w:pPr>
    </w:p>
    <w:p w14:paraId="15DDDD88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Attendees</w:t>
      </w:r>
    </w:p>
    <w:p w14:paraId="7B887734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Committee Members</w:t>
      </w:r>
    </w:p>
    <w:p w14:paraId="3D520D10" w14:textId="7A53EE92" w:rsidR="00354581" w:rsidRDefault="00431A03" w:rsidP="005D223A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 xml:space="preserve">Pranav </w:t>
      </w:r>
      <w:proofErr w:type="spellStart"/>
      <w:r w:rsidRPr="00026C18">
        <w:rPr>
          <w:rFonts w:ascii="Arial" w:eastAsia="Arial" w:hAnsi="Arial" w:cs="Arial"/>
          <w:sz w:val="22"/>
        </w:rPr>
        <w:t>Ghai</w:t>
      </w:r>
      <w:proofErr w:type="spellEnd"/>
      <w:r w:rsidRPr="00026C18">
        <w:rPr>
          <w:rFonts w:ascii="Arial" w:eastAsia="Arial" w:hAnsi="Arial" w:cs="Arial"/>
          <w:sz w:val="22"/>
        </w:rPr>
        <w:t xml:space="preserve">, Campbell </w:t>
      </w:r>
      <w:proofErr w:type="spellStart"/>
      <w:r w:rsidRPr="00026C18">
        <w:rPr>
          <w:rFonts w:ascii="Arial" w:eastAsia="Arial" w:hAnsi="Arial" w:cs="Arial"/>
          <w:sz w:val="22"/>
        </w:rPr>
        <w:t>Pryde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hyperlink r:id="rId8">
        <w:r w:rsidRPr="00026C18">
          <w:rPr>
            <w:rFonts w:ascii="Arial" w:eastAsia="Arial" w:hAnsi="Arial" w:cs="Arial"/>
            <w:sz w:val="22"/>
          </w:rPr>
          <w:t>Lou</w:t>
        </w:r>
      </w:hyperlink>
      <w:r w:rsidRPr="00026C18">
        <w:rPr>
          <w:rFonts w:ascii="Arial" w:eastAsia="Arial" w:hAnsi="Arial" w:cs="Arial"/>
          <w:sz w:val="22"/>
        </w:rPr>
        <w:t xml:space="preserve"> </w:t>
      </w:r>
      <w:proofErr w:type="spellStart"/>
      <w:r w:rsidRPr="00026C18">
        <w:rPr>
          <w:rFonts w:ascii="Arial" w:eastAsia="Arial" w:hAnsi="Arial" w:cs="Arial"/>
          <w:sz w:val="22"/>
        </w:rPr>
        <w:t>Rohman</w:t>
      </w:r>
      <w:proofErr w:type="spellEnd"/>
      <w:r w:rsidRPr="00026C18">
        <w:rPr>
          <w:rFonts w:ascii="Arial" w:eastAsia="Arial" w:hAnsi="Arial" w:cs="Arial"/>
          <w:sz w:val="22"/>
        </w:rPr>
        <w:t xml:space="preserve">, </w:t>
      </w:r>
      <w:proofErr w:type="spellStart"/>
      <w:r w:rsidR="005D6513">
        <w:rPr>
          <w:rFonts w:ascii="Arial" w:eastAsia="Arial" w:hAnsi="Arial" w:cs="Arial"/>
          <w:sz w:val="22"/>
        </w:rPr>
        <w:t>Mohini</w:t>
      </w:r>
      <w:proofErr w:type="spellEnd"/>
      <w:r w:rsidR="005D6513">
        <w:rPr>
          <w:rFonts w:ascii="Arial" w:eastAsia="Arial" w:hAnsi="Arial" w:cs="Arial"/>
          <w:sz w:val="22"/>
        </w:rPr>
        <w:t xml:space="preserve"> Singh</w:t>
      </w:r>
      <w:r w:rsidR="008724A6">
        <w:rPr>
          <w:rFonts w:ascii="Arial" w:eastAsia="Arial" w:hAnsi="Arial" w:cs="Arial"/>
          <w:sz w:val="22"/>
        </w:rPr>
        <w:t>,</w:t>
      </w:r>
      <w:r w:rsidR="008724A6" w:rsidRPr="00D16C06">
        <w:rPr>
          <w:rFonts w:ascii="Arial" w:eastAsia="Arial" w:hAnsi="Arial" w:cs="Arial"/>
          <w:sz w:val="22"/>
        </w:rPr>
        <w:t xml:space="preserve"> </w:t>
      </w:r>
      <w:r w:rsidR="00193771" w:rsidRPr="00026C18">
        <w:rPr>
          <w:rFonts w:ascii="Arial" w:eastAsia="Arial" w:hAnsi="Arial" w:cs="Arial"/>
          <w:sz w:val="22"/>
        </w:rPr>
        <w:t xml:space="preserve">Chase </w:t>
      </w:r>
      <w:proofErr w:type="spellStart"/>
      <w:r w:rsidR="00193771" w:rsidRPr="00026C18">
        <w:rPr>
          <w:rFonts w:ascii="Arial" w:eastAsia="Arial" w:hAnsi="Arial" w:cs="Arial"/>
          <w:sz w:val="22"/>
        </w:rPr>
        <w:t>Bongirno</w:t>
      </w:r>
      <w:proofErr w:type="spellEnd"/>
      <w:r w:rsidR="00193771">
        <w:rPr>
          <w:rFonts w:ascii="Arial" w:eastAsia="Arial" w:hAnsi="Arial" w:cs="Arial"/>
          <w:sz w:val="22"/>
        </w:rPr>
        <w:t>,</w:t>
      </w:r>
      <w:r w:rsidR="000065BF">
        <w:rPr>
          <w:rFonts w:ascii="Arial" w:eastAsia="Arial" w:hAnsi="Arial" w:cs="Arial"/>
          <w:sz w:val="22"/>
        </w:rPr>
        <w:t xml:space="preserve"> Steve </w:t>
      </w:r>
      <w:proofErr w:type="spellStart"/>
      <w:r w:rsidR="000065BF">
        <w:rPr>
          <w:rFonts w:ascii="Arial" w:eastAsia="Arial" w:hAnsi="Arial" w:cs="Arial"/>
          <w:sz w:val="22"/>
        </w:rPr>
        <w:t>Soter</w:t>
      </w:r>
      <w:proofErr w:type="spellEnd"/>
      <w:r w:rsidR="005D6513">
        <w:rPr>
          <w:rFonts w:ascii="Arial" w:eastAsia="Arial" w:hAnsi="Arial" w:cs="Arial"/>
          <w:sz w:val="22"/>
        </w:rPr>
        <w:t xml:space="preserve">, Jo </w:t>
      </w:r>
      <w:proofErr w:type="spellStart"/>
      <w:r w:rsidR="005D6513">
        <w:rPr>
          <w:rFonts w:ascii="Arial" w:eastAsia="Arial" w:hAnsi="Arial" w:cs="Arial"/>
          <w:sz w:val="22"/>
        </w:rPr>
        <w:t>Guo</w:t>
      </w:r>
      <w:proofErr w:type="spellEnd"/>
      <w:r w:rsidR="005D6513">
        <w:rPr>
          <w:rFonts w:ascii="Arial" w:eastAsia="Arial" w:hAnsi="Arial" w:cs="Arial"/>
          <w:sz w:val="22"/>
        </w:rPr>
        <w:t>*</w:t>
      </w:r>
      <w:r w:rsidR="000065BF">
        <w:rPr>
          <w:rFonts w:ascii="Arial" w:eastAsia="Arial" w:hAnsi="Arial" w:cs="Arial"/>
          <w:sz w:val="22"/>
        </w:rPr>
        <w:t>,</w:t>
      </w:r>
      <w:r w:rsidR="000065BF" w:rsidRPr="000065BF">
        <w:rPr>
          <w:rFonts w:ascii="Arial" w:eastAsia="Arial" w:hAnsi="Arial" w:cs="Arial"/>
          <w:sz w:val="22"/>
        </w:rPr>
        <w:t xml:space="preserve"> </w:t>
      </w:r>
      <w:r w:rsidR="000065BF">
        <w:rPr>
          <w:rFonts w:ascii="Arial" w:eastAsia="Arial" w:hAnsi="Arial" w:cs="Arial"/>
          <w:sz w:val="22"/>
        </w:rPr>
        <w:t>Charles Kessler*</w:t>
      </w:r>
      <w:r w:rsidR="00591B7D">
        <w:rPr>
          <w:rFonts w:ascii="Arial" w:eastAsia="Arial" w:hAnsi="Arial" w:cs="Arial"/>
          <w:sz w:val="22"/>
        </w:rPr>
        <w:t>, Amit Varshney*</w:t>
      </w:r>
      <w:bookmarkStart w:id="1" w:name="_GoBack"/>
      <w:bookmarkEnd w:id="1"/>
    </w:p>
    <w:p w14:paraId="0FCBEC5E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D37858D" w14:textId="77777777" w:rsidR="00354581" w:rsidRDefault="00431A03">
      <w:pPr>
        <w:tabs>
          <w:tab w:val="left" w:pos="1140"/>
          <w:tab w:val="left" w:pos="2320"/>
        </w:tabs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Absent</w:t>
      </w:r>
    </w:p>
    <w:p w14:paraId="282D2D9C" w14:textId="219A4D9D" w:rsidR="00354581" w:rsidRDefault="000E2D28">
      <w:pPr>
        <w:spacing w:line="332" w:lineRule="auto"/>
        <w:rPr>
          <w:rFonts w:ascii="Arial" w:eastAsia="Arial" w:hAnsi="Arial" w:cs="Arial"/>
          <w:sz w:val="22"/>
        </w:rPr>
      </w:pPr>
      <w:r w:rsidRPr="00026C18">
        <w:rPr>
          <w:rFonts w:ascii="Arial" w:eastAsia="Arial" w:hAnsi="Arial" w:cs="Arial"/>
          <w:sz w:val="22"/>
        </w:rPr>
        <w:t>Craig Lewis,</w:t>
      </w:r>
      <w:r w:rsidRPr="00193771">
        <w:rPr>
          <w:rFonts w:ascii="Arial" w:eastAsia="Arial" w:hAnsi="Arial" w:cs="Arial"/>
          <w:sz w:val="22"/>
        </w:rPr>
        <w:t xml:space="preserve"> </w:t>
      </w:r>
      <w:r w:rsidR="000065BF">
        <w:rPr>
          <w:rFonts w:ascii="Arial" w:eastAsia="Arial" w:hAnsi="Arial" w:cs="Arial"/>
          <w:sz w:val="22"/>
        </w:rPr>
        <w:t>Emily Huang</w:t>
      </w:r>
      <w:r w:rsidR="00D16C06">
        <w:rPr>
          <w:rFonts w:ascii="Arial" w:eastAsia="Arial" w:hAnsi="Arial" w:cs="Arial"/>
          <w:sz w:val="22"/>
        </w:rPr>
        <w:t xml:space="preserve"> </w:t>
      </w:r>
    </w:p>
    <w:p w14:paraId="56D92F68" w14:textId="77777777" w:rsidR="00A5025E" w:rsidRDefault="00A5025E">
      <w:pPr>
        <w:spacing w:line="332" w:lineRule="auto"/>
        <w:rPr>
          <w:rFonts w:ascii="Arial" w:eastAsia="Arial" w:hAnsi="Arial" w:cs="Arial"/>
          <w:color w:val="000000"/>
          <w:sz w:val="22"/>
          <w:u w:val="single" w:color="000000"/>
        </w:rPr>
      </w:pPr>
    </w:p>
    <w:p w14:paraId="683B8785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Staff</w:t>
      </w:r>
    </w:p>
    <w:p w14:paraId="4ECAEEF4" w14:textId="05B03442" w:rsidR="00354581" w:rsidRDefault="006C47F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Ami Beers, David </w:t>
      </w:r>
      <w:proofErr w:type="spellStart"/>
      <w:r>
        <w:rPr>
          <w:rFonts w:ascii="Arial" w:eastAsia="Arial" w:hAnsi="Arial" w:cs="Arial"/>
          <w:sz w:val="22"/>
        </w:rPr>
        <w:t>Tauriello</w:t>
      </w:r>
      <w:proofErr w:type="spellEnd"/>
    </w:p>
    <w:p w14:paraId="5A3DE739" w14:textId="77777777" w:rsidR="00354581" w:rsidRDefault="00354581">
      <w:pPr>
        <w:spacing w:line="332" w:lineRule="auto"/>
        <w:rPr>
          <w:rFonts w:ascii="Arial" w:eastAsia="Arial" w:hAnsi="Arial" w:cs="Arial"/>
          <w:sz w:val="22"/>
        </w:rPr>
      </w:pPr>
    </w:p>
    <w:p w14:paraId="13DC54B8" w14:textId="77777777" w:rsidR="00354581" w:rsidRDefault="00431A03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  <w:u w:val="single" w:color="000000"/>
        </w:rPr>
        <w:t>Observers</w:t>
      </w:r>
    </w:p>
    <w:p w14:paraId="06AAD69D" w14:textId="4E92A203" w:rsidR="00354581" w:rsidRDefault="00770FDE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Louis </w:t>
      </w:r>
      <w:proofErr w:type="spellStart"/>
      <w:r>
        <w:rPr>
          <w:rFonts w:ascii="Arial" w:eastAsia="Arial" w:hAnsi="Arial" w:cs="Arial"/>
          <w:sz w:val="22"/>
        </w:rPr>
        <w:t>Matherne</w:t>
      </w:r>
      <w:proofErr w:type="spellEnd"/>
      <w:r w:rsidR="005D6513">
        <w:rPr>
          <w:rFonts w:ascii="Arial" w:eastAsia="Arial" w:hAnsi="Arial" w:cs="Arial"/>
          <w:sz w:val="22"/>
        </w:rPr>
        <w:t xml:space="preserve">, </w:t>
      </w:r>
      <w:proofErr w:type="spellStart"/>
      <w:r w:rsidR="005D6513">
        <w:rPr>
          <w:rFonts w:ascii="Arial" w:eastAsia="Arial" w:hAnsi="Arial" w:cs="Arial"/>
          <w:sz w:val="22"/>
        </w:rPr>
        <w:t>Iza</w:t>
      </w:r>
      <w:proofErr w:type="spellEnd"/>
      <w:r w:rsidR="005D6513">
        <w:rPr>
          <w:rFonts w:ascii="Arial" w:eastAsia="Arial" w:hAnsi="Arial" w:cs="Arial"/>
          <w:sz w:val="22"/>
        </w:rPr>
        <w:t xml:space="preserve"> </w:t>
      </w:r>
      <w:proofErr w:type="spellStart"/>
      <w:r w:rsidR="005D6513">
        <w:rPr>
          <w:rFonts w:ascii="Arial" w:eastAsia="Arial" w:hAnsi="Arial" w:cs="Arial"/>
          <w:sz w:val="22"/>
        </w:rPr>
        <w:t>Ruta</w:t>
      </w:r>
      <w:proofErr w:type="spellEnd"/>
      <w:r w:rsidR="005D6513">
        <w:rPr>
          <w:rFonts w:ascii="Arial" w:eastAsia="Arial" w:hAnsi="Arial" w:cs="Arial"/>
          <w:sz w:val="22"/>
        </w:rPr>
        <w:t>*</w:t>
      </w:r>
      <w:r w:rsidR="00821F2A">
        <w:rPr>
          <w:rFonts w:ascii="Arial" w:eastAsia="Arial" w:hAnsi="Arial" w:cs="Arial"/>
          <w:sz w:val="22"/>
        </w:rPr>
        <w:t>, Andie Wood*</w:t>
      </w:r>
    </w:p>
    <w:p w14:paraId="75823BCA" w14:textId="77777777" w:rsidR="00D16116" w:rsidRDefault="00D16116">
      <w:pPr>
        <w:spacing w:line="332" w:lineRule="auto"/>
        <w:rPr>
          <w:rFonts w:ascii="Arial" w:eastAsia="Arial" w:hAnsi="Arial" w:cs="Arial"/>
          <w:sz w:val="22"/>
        </w:rPr>
      </w:pPr>
    </w:p>
    <w:p w14:paraId="203CA71A" w14:textId="173B8034" w:rsidR="00D16116" w:rsidRDefault="00D16116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*</w:t>
      </w:r>
      <w:r w:rsidRPr="00D16116">
        <w:rPr>
          <w:rFonts w:ascii="Arial" w:eastAsia="Arial" w:hAnsi="Arial" w:cs="Arial"/>
          <w:i/>
          <w:sz w:val="22"/>
        </w:rPr>
        <w:t>joined by phone</w:t>
      </w:r>
    </w:p>
    <w:p w14:paraId="1C0CA075" w14:textId="77777777" w:rsidR="00354581" w:rsidRDefault="00354581">
      <w:pPr>
        <w:spacing w:line="332" w:lineRule="auto"/>
        <w:rPr>
          <w:rFonts w:ascii="Arial" w:eastAsia="Arial" w:hAnsi="Arial" w:cs="Arial"/>
          <w:i/>
          <w:sz w:val="22"/>
        </w:rPr>
      </w:pPr>
    </w:p>
    <w:p w14:paraId="2B747229" w14:textId="77777777" w:rsidR="00354581" w:rsidRDefault="00431A0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Welcome</w:t>
      </w:r>
    </w:p>
    <w:p w14:paraId="38BAF49F" w14:textId="5E520A27" w:rsidR="0035018E" w:rsidRDefault="00DF0ADF" w:rsidP="00C346F1">
      <w:pPr>
        <w:pStyle w:val="ListParagraph"/>
        <w:numPr>
          <w:ilvl w:val="0"/>
          <w:numId w:val="2"/>
        </w:numPr>
        <w:spacing w:line="312" w:lineRule="auto"/>
      </w:pPr>
      <w:r w:rsidRPr="00DF0ADF">
        <w:t>Chair welcomed Committee members</w:t>
      </w:r>
      <w:r w:rsidR="00AB4B2A">
        <w:t>.</w:t>
      </w:r>
      <w:r w:rsidR="00D73A2F">
        <w:t xml:space="preserve"> Lou announced that Jo </w:t>
      </w:r>
      <w:proofErr w:type="spellStart"/>
      <w:r w:rsidR="00D73A2F">
        <w:t>Guo</w:t>
      </w:r>
      <w:proofErr w:type="spellEnd"/>
      <w:r w:rsidR="00D73A2F">
        <w:t xml:space="preserve"> from Morningstar is a new member joining the Committee.</w:t>
      </w:r>
    </w:p>
    <w:p w14:paraId="6A5E3743" w14:textId="77777777" w:rsidR="00821F2A" w:rsidRDefault="00821F2A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3526E4DA" w14:textId="0D94C2D5" w:rsidR="00502AE5" w:rsidRDefault="00A36CDE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Minutes </w:t>
      </w:r>
      <w:r w:rsidRPr="0035018E">
        <w:rPr>
          <w:rFonts w:ascii="Arial" w:eastAsia="Arial" w:hAnsi="Arial" w:cs="Arial"/>
          <w:b/>
          <w:sz w:val="22"/>
        </w:rPr>
        <w:t>Approval</w:t>
      </w:r>
    </w:p>
    <w:p w14:paraId="7A94B245" w14:textId="6F658A5B" w:rsidR="00502AE5" w:rsidRPr="00B61CA4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 w:rsidR="005D6513">
        <w:rPr>
          <w:rFonts w:eastAsia="Times New Roman"/>
        </w:rPr>
        <w:t>March14, 2018</w:t>
      </w:r>
      <w:r w:rsidRPr="00B61CA4">
        <w:rPr>
          <w:rFonts w:eastAsia="Times New Roman"/>
        </w:rPr>
        <w:t xml:space="preserve"> DQC meeting</w:t>
      </w:r>
      <w:r>
        <w:rPr>
          <w:rFonts w:eastAsia="Times New Roman"/>
        </w:rPr>
        <w:t xml:space="preserve">, </w:t>
      </w:r>
      <w:r w:rsidRPr="00B61CA4">
        <w:rPr>
          <w:rFonts w:eastAsia="Times New Roman"/>
        </w:rPr>
        <w:t>by</w:t>
      </w:r>
      <w:r w:rsidR="000016D8">
        <w:rPr>
          <w:rFonts w:eastAsia="Times New Roman"/>
        </w:rPr>
        <w:t xml:space="preserve"> Chase </w:t>
      </w:r>
      <w:proofErr w:type="spellStart"/>
      <w:r w:rsidR="000016D8">
        <w:rPr>
          <w:rFonts w:eastAsia="Times New Roman"/>
        </w:rPr>
        <w:t>Bon</w:t>
      </w:r>
      <w:r w:rsidR="00770FDE">
        <w:rPr>
          <w:rFonts w:eastAsia="Times New Roman"/>
        </w:rPr>
        <w:t>girno</w:t>
      </w:r>
      <w:proofErr w:type="spellEnd"/>
      <w:r w:rsidRPr="00B61CA4">
        <w:rPr>
          <w:rFonts w:eastAsia="Times New Roman"/>
        </w:rPr>
        <w:t>, seconded by</w:t>
      </w:r>
      <w:r w:rsidR="00D73A2F">
        <w:rPr>
          <w:rFonts w:eastAsia="Times New Roman"/>
        </w:rPr>
        <w:t xml:space="preserve"> Steve </w:t>
      </w:r>
      <w:proofErr w:type="spellStart"/>
      <w:r w:rsidR="00D73A2F">
        <w:rPr>
          <w:rFonts w:eastAsia="Times New Roman"/>
        </w:rPr>
        <w:t>Soter</w:t>
      </w:r>
      <w:proofErr w:type="spellEnd"/>
      <w:r w:rsidR="00026C18">
        <w:rPr>
          <w:rFonts w:eastAsia="Times New Roman"/>
        </w:rPr>
        <w:t>.</w:t>
      </w:r>
    </w:p>
    <w:p w14:paraId="358805D7" w14:textId="49ABA304" w:rsidR="00502AE5" w:rsidRPr="009E29DC" w:rsidRDefault="00502AE5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Vote (For </w:t>
      </w:r>
      <w:r w:rsidR="00D73A2F">
        <w:rPr>
          <w:rFonts w:eastAsia="Times New Roman"/>
          <w:bCs/>
          <w:color w:val="auto"/>
          <w:szCs w:val="22"/>
        </w:rPr>
        <w:t>6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3E54DDDA" w14:textId="5455C764" w:rsidR="00502AE5" w:rsidRDefault="00A36CDE" w:rsidP="00C346F1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>Motion passed</w:t>
      </w:r>
      <w:r w:rsidR="000E66B1">
        <w:rPr>
          <w:rFonts w:eastAsia="Times New Roman"/>
          <w:bCs/>
          <w:color w:val="auto"/>
          <w:szCs w:val="22"/>
        </w:rPr>
        <w:t>.</w:t>
      </w:r>
      <w:r w:rsidR="00CF688D">
        <w:rPr>
          <w:rFonts w:eastAsia="Times New Roman"/>
          <w:bCs/>
          <w:color w:val="auto"/>
          <w:szCs w:val="22"/>
        </w:rPr>
        <w:t xml:space="preserve"> </w:t>
      </w:r>
      <w:r w:rsidR="005D6513">
        <w:rPr>
          <w:rFonts w:eastAsia="Times New Roman"/>
        </w:rPr>
        <w:t>March 14, 2018</w:t>
      </w:r>
      <w:r w:rsidR="005D6513" w:rsidRPr="00B61CA4">
        <w:rPr>
          <w:rFonts w:eastAsia="Times New Roman"/>
        </w:rPr>
        <w:t xml:space="preserve"> </w:t>
      </w:r>
      <w:r w:rsidR="00502AE5">
        <w:rPr>
          <w:rFonts w:eastAsia="Times New Roman"/>
        </w:rPr>
        <w:t>DQC meeting minutes approved.</w:t>
      </w:r>
    </w:p>
    <w:p w14:paraId="35DAD42A" w14:textId="77777777" w:rsidR="00502AE5" w:rsidRDefault="00502AE5">
      <w:pPr>
        <w:spacing w:line="312" w:lineRule="auto"/>
        <w:rPr>
          <w:rFonts w:ascii="Arial" w:eastAsia="Arial" w:hAnsi="Arial" w:cs="Arial"/>
          <w:b/>
          <w:sz w:val="22"/>
        </w:rPr>
      </w:pPr>
    </w:p>
    <w:p w14:paraId="466A5DF9" w14:textId="1D5D1C16" w:rsidR="00193771" w:rsidRPr="0035018E" w:rsidRDefault="005D6513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Status of Public Review Rules Version 6</w:t>
      </w:r>
    </w:p>
    <w:p w14:paraId="305130F1" w14:textId="7606FFE7" w:rsidR="000016D8" w:rsidRDefault="00D73A2F" w:rsidP="00D73A2F">
      <w:pPr>
        <w:pStyle w:val="ListParagraph"/>
        <w:numPr>
          <w:ilvl w:val="0"/>
          <w:numId w:val="12"/>
        </w:numPr>
        <w:tabs>
          <w:tab w:val="left" w:pos="7050"/>
        </w:tabs>
      </w:pPr>
      <w:r>
        <w:t>Campbell announced that the public review is ongoing</w:t>
      </w:r>
      <w:r w:rsidR="00821F2A">
        <w:t xml:space="preserve"> for rule set 6</w:t>
      </w:r>
      <w:r>
        <w:t xml:space="preserve"> and comments</w:t>
      </w:r>
      <w:r w:rsidR="00821F2A">
        <w:t xml:space="preserve"> are</w:t>
      </w:r>
      <w:r>
        <w:t xml:space="preserve"> due May 7</w:t>
      </w:r>
      <w:r w:rsidRPr="00D73A2F">
        <w:rPr>
          <w:vertAlign w:val="superscript"/>
        </w:rPr>
        <w:t>th</w:t>
      </w:r>
      <w:r>
        <w:t>, 2018.</w:t>
      </w:r>
    </w:p>
    <w:p w14:paraId="1D0F4F6D" w14:textId="05943A75" w:rsidR="00D73A2F" w:rsidRDefault="00D73A2F" w:rsidP="00D73A2F">
      <w:pPr>
        <w:pStyle w:val="ListParagraph"/>
        <w:numPr>
          <w:ilvl w:val="0"/>
          <w:numId w:val="12"/>
        </w:numPr>
        <w:tabs>
          <w:tab w:val="left" w:pos="7050"/>
        </w:tabs>
      </w:pPr>
      <w:r>
        <w:t>No comments received yet.  We do not expect to</w:t>
      </w:r>
      <w:r w:rsidR="00821F2A">
        <w:t>o</w:t>
      </w:r>
      <w:r>
        <w:t xml:space="preserve"> many comments due to the fact that changes related to 2018 taxonomy.</w:t>
      </w:r>
    </w:p>
    <w:p w14:paraId="6680B7FA" w14:textId="50673AF9" w:rsidR="00D73A2F" w:rsidRDefault="00D73A2F" w:rsidP="00D73A2F">
      <w:pPr>
        <w:pStyle w:val="ListParagraph"/>
        <w:numPr>
          <w:ilvl w:val="0"/>
          <w:numId w:val="12"/>
        </w:numPr>
        <w:tabs>
          <w:tab w:val="left" w:pos="7050"/>
        </w:tabs>
      </w:pPr>
      <w:r>
        <w:t xml:space="preserve">If no comments are received we will have an email approval process for the </w:t>
      </w:r>
      <w:r w:rsidR="00821F2A">
        <w:t>DQC</w:t>
      </w:r>
      <w:r w:rsidR="005C693B">
        <w:t xml:space="preserve"> members</w:t>
      </w:r>
      <w:r w:rsidR="00821F2A">
        <w:t xml:space="preserve"> to</w:t>
      </w:r>
      <w:r>
        <w:t xml:space="preserve"> approve.  The effective date of the rules will be June 2, 2018</w:t>
      </w:r>
      <w:r w:rsidR="00821F2A">
        <w:t>.</w:t>
      </w:r>
    </w:p>
    <w:p w14:paraId="543E4B95" w14:textId="77777777" w:rsidR="00D73A2F" w:rsidRPr="000016D8" w:rsidRDefault="00D73A2F" w:rsidP="000016D8">
      <w:pPr>
        <w:tabs>
          <w:tab w:val="left" w:pos="7050"/>
        </w:tabs>
      </w:pPr>
    </w:p>
    <w:p w14:paraId="0BF69664" w14:textId="77777777" w:rsidR="00193771" w:rsidRPr="00193771" w:rsidRDefault="00193771" w:rsidP="00193771">
      <w:pPr>
        <w:pStyle w:val="ListParagraph"/>
        <w:spacing w:line="312" w:lineRule="auto"/>
        <w:ind w:left="780"/>
      </w:pPr>
    </w:p>
    <w:p w14:paraId="59000760" w14:textId="4F69FF1F" w:rsidR="00502AE5" w:rsidRDefault="00AB5F8C" w:rsidP="00502AE5">
      <w:pPr>
        <w:spacing w:line="312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Guidance and </w:t>
      </w:r>
      <w:r w:rsidR="00821F2A">
        <w:rPr>
          <w:rFonts w:ascii="Arial" w:eastAsia="Arial" w:hAnsi="Arial" w:cs="Arial"/>
          <w:b/>
          <w:sz w:val="22"/>
        </w:rPr>
        <w:t xml:space="preserve">Future </w:t>
      </w:r>
      <w:r>
        <w:rPr>
          <w:rFonts w:ascii="Arial" w:eastAsia="Arial" w:hAnsi="Arial" w:cs="Arial"/>
          <w:b/>
          <w:sz w:val="22"/>
        </w:rPr>
        <w:t xml:space="preserve">Rule Sets </w:t>
      </w:r>
    </w:p>
    <w:p w14:paraId="327C11D3" w14:textId="0EA0F1D4" w:rsidR="00D73A2F" w:rsidRPr="00D73A2F" w:rsidRDefault="00821F2A" w:rsidP="005D6513">
      <w:pPr>
        <w:pStyle w:val="ListParagraph"/>
        <w:numPr>
          <w:ilvl w:val="0"/>
          <w:numId w:val="5"/>
        </w:numPr>
        <w:spacing w:line="312" w:lineRule="auto"/>
        <w:rPr>
          <w:b/>
          <w:szCs w:val="22"/>
        </w:rPr>
      </w:pPr>
      <w:r>
        <w:t>Revenue Recog</w:t>
      </w:r>
      <w:r w:rsidR="00D73A2F">
        <w:t>n</w:t>
      </w:r>
      <w:r>
        <w:t>i</w:t>
      </w:r>
      <w:r w:rsidR="00D73A2F">
        <w:t>tion</w:t>
      </w:r>
    </w:p>
    <w:p w14:paraId="2AF24572" w14:textId="0B802061" w:rsidR="0093673C" w:rsidRPr="000065BF" w:rsidRDefault="00D73A2F" w:rsidP="00D73A2F">
      <w:pPr>
        <w:pStyle w:val="ListParagraph"/>
        <w:numPr>
          <w:ilvl w:val="1"/>
          <w:numId w:val="5"/>
        </w:numPr>
        <w:spacing w:line="312" w:lineRule="auto"/>
        <w:rPr>
          <w:b/>
          <w:szCs w:val="22"/>
        </w:rPr>
      </w:pPr>
      <w:r>
        <w:t>Campbell stated that there has been a</w:t>
      </w:r>
      <w:r w:rsidR="00821F2A">
        <w:t xml:space="preserve"> number</w:t>
      </w:r>
      <w:r>
        <w:t xml:space="preserve"> of changes to the standards for revenue.  </w:t>
      </w:r>
      <w:r w:rsidR="00821F2A">
        <w:t>Many companies implemented the new standards during the first quarter of 2018</w:t>
      </w:r>
      <w:r w:rsidR="000075A0">
        <w:t xml:space="preserve"> and</w:t>
      </w:r>
      <w:r w:rsidR="00821F2A">
        <w:t xml:space="preserve"> there were m</w:t>
      </w:r>
      <w:r>
        <w:t>any</w:t>
      </w:r>
      <w:r w:rsidR="00821F2A">
        <w:t xml:space="preserve"> inconsistencies </w:t>
      </w:r>
      <w:r w:rsidR="00F2187C">
        <w:t>so it is important for DQC to address</w:t>
      </w:r>
      <w:r w:rsidR="005C693B">
        <w:t xml:space="preserve"> this area</w:t>
      </w:r>
      <w:r w:rsidR="00F2187C">
        <w:t>.</w:t>
      </w:r>
      <w:r>
        <w:t xml:space="preserve"> </w:t>
      </w:r>
      <w:r w:rsidR="003B3597">
        <w:t xml:space="preserve"> </w:t>
      </w:r>
    </w:p>
    <w:p w14:paraId="157FE5B7" w14:textId="6D227ED9" w:rsidR="000065BF" w:rsidRPr="000065BF" w:rsidRDefault="00AB1688" w:rsidP="00D73A2F">
      <w:pPr>
        <w:pStyle w:val="ListParagraph"/>
        <w:numPr>
          <w:ilvl w:val="1"/>
          <w:numId w:val="5"/>
        </w:numPr>
        <w:spacing w:line="312" w:lineRule="auto"/>
        <w:rPr>
          <w:b/>
          <w:szCs w:val="22"/>
        </w:rPr>
      </w:pPr>
      <w:r>
        <w:t xml:space="preserve">In general, the revenue breakdown elements have been eliminated and revenue should be </w:t>
      </w:r>
      <w:proofErr w:type="spellStart"/>
      <w:r>
        <w:t>dimensionalized</w:t>
      </w:r>
      <w:proofErr w:type="spellEnd"/>
      <w:r>
        <w:t xml:space="preserve">. </w:t>
      </w:r>
      <w:r w:rsidR="000065BF">
        <w:t>Campbell provided an example.</w:t>
      </w:r>
    </w:p>
    <w:p w14:paraId="126E1555" w14:textId="77777777" w:rsidR="00FB420B" w:rsidRDefault="000065BF" w:rsidP="00D73A2F">
      <w:pPr>
        <w:pStyle w:val="ListParagraph"/>
        <w:numPr>
          <w:ilvl w:val="1"/>
          <w:numId w:val="5"/>
        </w:numPr>
        <w:spacing w:line="312" w:lineRule="auto"/>
        <w:rPr>
          <w:szCs w:val="22"/>
        </w:rPr>
      </w:pPr>
      <w:r w:rsidRPr="000065BF">
        <w:rPr>
          <w:szCs w:val="22"/>
        </w:rPr>
        <w:t>Remaining performance obligations</w:t>
      </w:r>
      <w:r w:rsidR="000075A0">
        <w:rPr>
          <w:szCs w:val="22"/>
        </w:rPr>
        <w:t xml:space="preserve"> is an area where there have been a lot of questions. </w:t>
      </w:r>
      <w:r w:rsidRPr="000065BF">
        <w:rPr>
          <w:szCs w:val="22"/>
        </w:rPr>
        <w:t xml:space="preserve"> </w:t>
      </w:r>
      <w:r w:rsidR="000075A0">
        <w:rPr>
          <w:szCs w:val="22"/>
        </w:rPr>
        <w:t>There is a requirement to use</w:t>
      </w:r>
      <w:r w:rsidR="000075A0" w:rsidRPr="000065BF">
        <w:rPr>
          <w:szCs w:val="22"/>
        </w:rPr>
        <w:t xml:space="preserve"> typed dimension</w:t>
      </w:r>
      <w:r w:rsidR="000075A0">
        <w:rPr>
          <w:szCs w:val="22"/>
        </w:rPr>
        <w:t>s</w:t>
      </w:r>
      <w:r w:rsidR="000075A0" w:rsidRPr="000065BF">
        <w:rPr>
          <w:szCs w:val="22"/>
        </w:rPr>
        <w:t xml:space="preserve"> to break out</w:t>
      </w:r>
      <w:r w:rsidR="000075A0">
        <w:rPr>
          <w:szCs w:val="22"/>
        </w:rPr>
        <w:t xml:space="preserve"> the</w:t>
      </w:r>
      <w:r w:rsidR="000075A0" w:rsidRPr="000065BF">
        <w:rPr>
          <w:szCs w:val="22"/>
        </w:rPr>
        <w:t xml:space="preserve"> expected timing</w:t>
      </w:r>
      <w:r w:rsidR="000075A0">
        <w:rPr>
          <w:szCs w:val="22"/>
        </w:rPr>
        <w:t xml:space="preserve"> of revenue that is expected to be recognized over time</w:t>
      </w:r>
      <w:r w:rsidRPr="000065BF">
        <w:rPr>
          <w:szCs w:val="22"/>
        </w:rPr>
        <w:t>.</w:t>
      </w:r>
      <w:r>
        <w:rPr>
          <w:szCs w:val="22"/>
        </w:rPr>
        <w:t xml:space="preserve">  </w:t>
      </w:r>
    </w:p>
    <w:p w14:paraId="669C65C9" w14:textId="1ED21B16" w:rsidR="000065BF" w:rsidRDefault="00FB420B" w:rsidP="00FB420B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>Cannot</w:t>
      </w:r>
      <w:r w:rsidR="000065BF">
        <w:rPr>
          <w:szCs w:val="22"/>
        </w:rPr>
        <w:t xml:space="preserve"> use a default with typed dimension</w:t>
      </w:r>
      <w:r w:rsidR="000075A0">
        <w:rPr>
          <w:szCs w:val="22"/>
        </w:rPr>
        <w:t xml:space="preserve"> or will get a validation error (XBRL specification error)</w:t>
      </w:r>
      <w:r w:rsidR="000065BF">
        <w:rPr>
          <w:szCs w:val="22"/>
        </w:rPr>
        <w:t xml:space="preserve">.  FASB has developed a template for filers </w:t>
      </w:r>
      <w:r w:rsidR="000075A0">
        <w:rPr>
          <w:szCs w:val="22"/>
        </w:rPr>
        <w:t xml:space="preserve">and has recommended </w:t>
      </w:r>
      <w:r w:rsidR="000065BF">
        <w:rPr>
          <w:szCs w:val="22"/>
        </w:rPr>
        <w:t>to import</w:t>
      </w:r>
      <w:r w:rsidR="000075A0">
        <w:rPr>
          <w:szCs w:val="22"/>
        </w:rPr>
        <w:t xml:space="preserve"> the template</w:t>
      </w:r>
      <w:r w:rsidR="000065BF">
        <w:rPr>
          <w:szCs w:val="22"/>
        </w:rPr>
        <w:t xml:space="preserve"> in order to </w:t>
      </w:r>
      <w:r w:rsidR="000075A0">
        <w:rPr>
          <w:szCs w:val="22"/>
        </w:rPr>
        <w:t xml:space="preserve">avoid </w:t>
      </w:r>
      <w:r w:rsidR="000065BF">
        <w:rPr>
          <w:szCs w:val="22"/>
        </w:rPr>
        <w:t>a validation error.</w:t>
      </w:r>
      <w:r w:rsidR="000075A0">
        <w:rPr>
          <w:szCs w:val="22"/>
        </w:rPr>
        <w:t xml:space="preserve">  This template creates a table </w:t>
      </w:r>
      <w:r>
        <w:rPr>
          <w:szCs w:val="22"/>
        </w:rPr>
        <w:t xml:space="preserve">in the definition </w:t>
      </w:r>
      <w:proofErr w:type="spellStart"/>
      <w:r>
        <w:rPr>
          <w:szCs w:val="22"/>
        </w:rPr>
        <w:t>linkbase</w:t>
      </w:r>
      <w:proofErr w:type="spellEnd"/>
      <w:r>
        <w:rPr>
          <w:szCs w:val="22"/>
        </w:rPr>
        <w:t xml:space="preserve"> with the remaining performance obligation amount in a table without typed dimension.  </w:t>
      </w:r>
    </w:p>
    <w:p w14:paraId="7763589B" w14:textId="0EB6EB94" w:rsidR="000065BF" w:rsidRPr="00FB420B" w:rsidRDefault="00FB420B" w:rsidP="00212E84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 w:rsidRPr="00FB420B">
        <w:rPr>
          <w:szCs w:val="22"/>
        </w:rPr>
        <w:t>When reporting the amount fo</w:t>
      </w:r>
      <w:r w:rsidR="00AE3A04">
        <w:rPr>
          <w:szCs w:val="22"/>
        </w:rPr>
        <w:t>r the time period “</w:t>
      </w:r>
      <w:proofErr w:type="spellStart"/>
      <w:r w:rsidR="00AE3A04">
        <w:rPr>
          <w:szCs w:val="22"/>
        </w:rPr>
        <w:t>therafter</w:t>
      </w:r>
      <w:proofErr w:type="spellEnd"/>
      <w:r w:rsidR="00AE3A04">
        <w:rPr>
          <w:szCs w:val="22"/>
        </w:rPr>
        <w:t xml:space="preserve">”, </w:t>
      </w:r>
      <w:r w:rsidR="000065BF" w:rsidRPr="00FB420B">
        <w:rPr>
          <w:szCs w:val="22"/>
        </w:rPr>
        <w:t>FASB provided guidance to use nil</w:t>
      </w:r>
      <w:r>
        <w:rPr>
          <w:szCs w:val="22"/>
        </w:rPr>
        <w:t xml:space="preserve"> value</w:t>
      </w:r>
      <w:r w:rsidR="000065BF" w:rsidRPr="00FB420B">
        <w:rPr>
          <w:szCs w:val="22"/>
        </w:rPr>
        <w:t xml:space="preserve"> for the period of ‘thereafter”</w:t>
      </w:r>
      <w:r w:rsidR="00242E5A" w:rsidRPr="00FB420B">
        <w:rPr>
          <w:szCs w:val="22"/>
        </w:rPr>
        <w:t xml:space="preserve">.  </w:t>
      </w:r>
    </w:p>
    <w:p w14:paraId="01488104" w14:textId="77777777" w:rsidR="00FB420B" w:rsidRDefault="00FB420B" w:rsidP="00212E84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>
        <w:rPr>
          <w:szCs w:val="22"/>
        </w:rPr>
        <w:t>Don’t tag the default value with a value of nil on the typed dimension</w:t>
      </w:r>
    </w:p>
    <w:p w14:paraId="558A20F0" w14:textId="749BA74C" w:rsidR="00FB420B" w:rsidRDefault="00FB420B" w:rsidP="00212E84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>
        <w:rPr>
          <w:szCs w:val="22"/>
        </w:rPr>
        <w:t>Don’t tag the default value with the typed dimension with the period end of the reporting period.</w:t>
      </w:r>
    </w:p>
    <w:p w14:paraId="5A16C412" w14:textId="14C62AD6" w:rsidR="00242E5A" w:rsidRDefault="00212E84" w:rsidP="00242E5A">
      <w:pPr>
        <w:pStyle w:val="ListParagraph"/>
        <w:numPr>
          <w:ilvl w:val="1"/>
          <w:numId w:val="5"/>
        </w:numPr>
        <w:spacing w:line="312" w:lineRule="auto"/>
        <w:rPr>
          <w:szCs w:val="22"/>
        </w:rPr>
      </w:pPr>
      <w:r>
        <w:rPr>
          <w:szCs w:val="22"/>
        </w:rPr>
        <w:t>There are new elements for</w:t>
      </w:r>
      <w:r w:rsidR="00242E5A">
        <w:rPr>
          <w:szCs w:val="22"/>
        </w:rPr>
        <w:t xml:space="preserve"> revenue recognition.  </w:t>
      </w:r>
      <w:r>
        <w:rPr>
          <w:szCs w:val="22"/>
        </w:rPr>
        <w:t xml:space="preserve">DQC will write a rule to address mixing elements from different sections of the taxonomy (elements from sections 606000 and 440000 are incompatible). </w:t>
      </w:r>
      <w:r w:rsidR="00242E5A">
        <w:rPr>
          <w:szCs w:val="22"/>
        </w:rPr>
        <w:t xml:space="preserve">If </w:t>
      </w:r>
      <w:r>
        <w:rPr>
          <w:szCs w:val="22"/>
        </w:rPr>
        <w:t xml:space="preserve">using </w:t>
      </w:r>
      <w:r w:rsidR="00BD24C2">
        <w:rPr>
          <w:szCs w:val="22"/>
        </w:rPr>
        <w:t>elements</w:t>
      </w:r>
      <w:r w:rsidR="00242E5A">
        <w:rPr>
          <w:szCs w:val="22"/>
        </w:rPr>
        <w:t xml:space="preserve"> from section 606000 (new standard</w:t>
      </w:r>
      <w:r>
        <w:rPr>
          <w:szCs w:val="22"/>
        </w:rPr>
        <w:t xml:space="preserve"> after adoption</w:t>
      </w:r>
      <w:r w:rsidR="00242E5A">
        <w:rPr>
          <w:szCs w:val="22"/>
        </w:rPr>
        <w:t>), do not use element</w:t>
      </w:r>
      <w:r w:rsidR="00BD24C2">
        <w:rPr>
          <w:szCs w:val="22"/>
        </w:rPr>
        <w:t>s</w:t>
      </w:r>
      <w:r w:rsidR="00242E5A">
        <w:rPr>
          <w:szCs w:val="22"/>
        </w:rPr>
        <w:t xml:space="preserve"> from 440000 in taxonomy (old standard</w:t>
      </w:r>
      <w:r>
        <w:rPr>
          <w:szCs w:val="22"/>
        </w:rPr>
        <w:t xml:space="preserve"> prior to adoption</w:t>
      </w:r>
      <w:r w:rsidR="00242E5A">
        <w:rPr>
          <w:szCs w:val="22"/>
        </w:rPr>
        <w:t>)</w:t>
      </w:r>
      <w:r>
        <w:rPr>
          <w:szCs w:val="22"/>
        </w:rPr>
        <w:t xml:space="preserve"> and vice versa</w:t>
      </w:r>
      <w:r w:rsidR="00242E5A">
        <w:rPr>
          <w:szCs w:val="22"/>
        </w:rPr>
        <w:t xml:space="preserve">. </w:t>
      </w:r>
    </w:p>
    <w:p w14:paraId="5F6221D7" w14:textId="2A86B30F" w:rsidR="00242E5A" w:rsidRDefault="00242E5A" w:rsidP="00242E5A">
      <w:pPr>
        <w:pStyle w:val="ListParagraph"/>
        <w:numPr>
          <w:ilvl w:val="1"/>
          <w:numId w:val="5"/>
        </w:numPr>
        <w:spacing w:line="312" w:lineRule="auto"/>
        <w:rPr>
          <w:szCs w:val="22"/>
        </w:rPr>
      </w:pPr>
      <w:r>
        <w:rPr>
          <w:szCs w:val="22"/>
        </w:rPr>
        <w:t>DQC developing guidance for revenue recognition.</w:t>
      </w:r>
      <w:r w:rsidR="00F2187C">
        <w:rPr>
          <w:szCs w:val="22"/>
        </w:rPr>
        <w:t xml:space="preserve"> The following situations are being discussed by working group:</w:t>
      </w:r>
    </w:p>
    <w:p w14:paraId="52B913D0" w14:textId="1FF401C2" w:rsidR="00242E5A" w:rsidRDefault="00242E5A" w:rsidP="00242E5A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 xml:space="preserve">How to deal with prior </w:t>
      </w:r>
      <w:r w:rsidR="00212E84">
        <w:rPr>
          <w:szCs w:val="22"/>
        </w:rPr>
        <w:t>period</w:t>
      </w:r>
      <w:r>
        <w:rPr>
          <w:szCs w:val="22"/>
        </w:rPr>
        <w:t>s</w:t>
      </w:r>
      <w:r w:rsidR="00212E84">
        <w:rPr>
          <w:szCs w:val="22"/>
        </w:rPr>
        <w:t xml:space="preserve"> when adopting new standard</w:t>
      </w:r>
      <w:r w:rsidR="005C693B">
        <w:rPr>
          <w:szCs w:val="22"/>
        </w:rPr>
        <w:t>.</w:t>
      </w:r>
      <w:r>
        <w:rPr>
          <w:szCs w:val="22"/>
        </w:rPr>
        <w:t xml:space="preserve">  Restate prior year or use modified retrospective </w:t>
      </w:r>
      <w:r w:rsidR="00212E84">
        <w:rPr>
          <w:szCs w:val="22"/>
        </w:rPr>
        <w:t>and</w:t>
      </w:r>
      <w:r>
        <w:rPr>
          <w:szCs w:val="22"/>
        </w:rPr>
        <w:t xml:space="preserve"> use new elements (</w:t>
      </w:r>
      <w:r w:rsidR="00212E84">
        <w:rPr>
          <w:szCs w:val="22"/>
        </w:rPr>
        <w:t xml:space="preserve">section </w:t>
      </w:r>
      <w:r>
        <w:rPr>
          <w:szCs w:val="22"/>
        </w:rPr>
        <w:t>606000</w:t>
      </w:r>
      <w:r w:rsidR="00212E84">
        <w:rPr>
          <w:szCs w:val="22"/>
        </w:rPr>
        <w:t>)</w:t>
      </w:r>
      <w:r>
        <w:rPr>
          <w:szCs w:val="22"/>
        </w:rPr>
        <w:t xml:space="preserve"> for all </w:t>
      </w:r>
      <w:r w:rsidR="00212E84">
        <w:rPr>
          <w:szCs w:val="22"/>
        </w:rPr>
        <w:t>periods</w:t>
      </w:r>
      <w:r>
        <w:rPr>
          <w:szCs w:val="22"/>
        </w:rPr>
        <w:t>.</w:t>
      </w:r>
      <w:r w:rsidR="00212E84">
        <w:rPr>
          <w:szCs w:val="22"/>
        </w:rPr>
        <w:t xml:space="preserve"> Do not use deprecated elements for prior periods</w:t>
      </w:r>
    </w:p>
    <w:p w14:paraId="08B5FD43" w14:textId="66CE4B9B" w:rsidR="00242E5A" w:rsidRDefault="00242E5A" w:rsidP="00242E5A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>When revenue is broken down on income statement and</w:t>
      </w:r>
      <w:r w:rsidR="00B87D1B">
        <w:rPr>
          <w:szCs w:val="22"/>
        </w:rPr>
        <w:t xml:space="preserve"> is</w:t>
      </w:r>
      <w:r>
        <w:rPr>
          <w:szCs w:val="22"/>
        </w:rPr>
        <w:t xml:space="preserve"> partially 606</w:t>
      </w:r>
      <w:r w:rsidR="00212E84">
        <w:rPr>
          <w:szCs w:val="22"/>
        </w:rPr>
        <w:t>000</w:t>
      </w:r>
      <w:r w:rsidR="00B87D1B">
        <w:rPr>
          <w:szCs w:val="22"/>
        </w:rPr>
        <w:t xml:space="preserve"> and partially not</w:t>
      </w:r>
      <w:r>
        <w:rPr>
          <w:szCs w:val="22"/>
        </w:rPr>
        <w:t xml:space="preserve">.  </w:t>
      </w:r>
      <w:r w:rsidR="00B87D1B">
        <w:rPr>
          <w:szCs w:val="22"/>
        </w:rPr>
        <w:t>In this case, m</w:t>
      </w:r>
      <w:r>
        <w:rPr>
          <w:szCs w:val="22"/>
        </w:rPr>
        <w:t>ay have to use general revenue eleme</w:t>
      </w:r>
      <w:r w:rsidR="00B87D1B">
        <w:rPr>
          <w:szCs w:val="22"/>
        </w:rPr>
        <w:t>nt. Do not try to disaggregate or calculation will not work on the income statement.</w:t>
      </w:r>
      <w:r>
        <w:rPr>
          <w:szCs w:val="22"/>
        </w:rPr>
        <w:t xml:space="preserve"> </w:t>
      </w:r>
    </w:p>
    <w:p w14:paraId="0BAAE6AB" w14:textId="015496BD" w:rsidR="00242E5A" w:rsidRDefault="00242E5A" w:rsidP="00242E5A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lastRenderedPageBreak/>
        <w:t>Sales tax – new standards include sales tax within revenue</w:t>
      </w:r>
      <w:r w:rsidR="00B87D1B">
        <w:rPr>
          <w:szCs w:val="22"/>
        </w:rPr>
        <w:t>s</w:t>
      </w:r>
      <w:r>
        <w:rPr>
          <w:szCs w:val="22"/>
        </w:rPr>
        <w:t xml:space="preserve">.  If companies </w:t>
      </w:r>
      <w:r w:rsidR="00B87D1B">
        <w:rPr>
          <w:szCs w:val="22"/>
        </w:rPr>
        <w:t>have no</w:t>
      </w:r>
      <w:r>
        <w:rPr>
          <w:szCs w:val="22"/>
        </w:rPr>
        <w:t xml:space="preserve"> sales tax, use the elem</w:t>
      </w:r>
      <w:r w:rsidR="00B87D1B">
        <w:rPr>
          <w:szCs w:val="22"/>
        </w:rPr>
        <w:t>e</w:t>
      </w:r>
      <w:r>
        <w:rPr>
          <w:szCs w:val="22"/>
        </w:rPr>
        <w:t>nt that excludes sales tax.</w:t>
      </w:r>
    </w:p>
    <w:p w14:paraId="5FECBB43" w14:textId="44BAAC86" w:rsidR="00DA4B02" w:rsidRDefault="00DA4B02" w:rsidP="00242E5A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 xml:space="preserve">Revenue for banks </w:t>
      </w:r>
      <w:r w:rsidR="00F2187C">
        <w:rPr>
          <w:szCs w:val="22"/>
        </w:rPr>
        <w:t>–</w:t>
      </w:r>
      <w:r>
        <w:rPr>
          <w:szCs w:val="22"/>
        </w:rPr>
        <w:t xml:space="preserve"> </w:t>
      </w:r>
      <w:r w:rsidR="00F2187C">
        <w:rPr>
          <w:szCs w:val="22"/>
        </w:rPr>
        <w:t>Some line items</w:t>
      </w:r>
      <w:r w:rsidR="007A5966">
        <w:rPr>
          <w:szCs w:val="22"/>
        </w:rPr>
        <w:t xml:space="preserve"> for non interest income</w:t>
      </w:r>
      <w:r w:rsidR="00F2187C">
        <w:rPr>
          <w:szCs w:val="22"/>
        </w:rPr>
        <w:t xml:space="preserve"> have 606</w:t>
      </w:r>
      <w:r w:rsidR="00B87D1B">
        <w:rPr>
          <w:szCs w:val="22"/>
        </w:rPr>
        <w:t>000 some do not</w:t>
      </w:r>
      <w:r w:rsidR="00F2187C">
        <w:rPr>
          <w:szCs w:val="22"/>
        </w:rPr>
        <w:t xml:space="preserve">.  It is </w:t>
      </w:r>
      <w:r w:rsidR="00B87D1B">
        <w:rPr>
          <w:szCs w:val="22"/>
        </w:rPr>
        <w:t xml:space="preserve">preferred </w:t>
      </w:r>
      <w:r w:rsidR="00F2187C">
        <w:rPr>
          <w:szCs w:val="22"/>
        </w:rPr>
        <w:t>to break out using line items</w:t>
      </w:r>
      <w:r w:rsidR="007A5966">
        <w:rPr>
          <w:szCs w:val="22"/>
        </w:rPr>
        <w:t xml:space="preserve"> from taxonomy</w:t>
      </w:r>
      <w:r w:rsidR="00B87D1B">
        <w:rPr>
          <w:szCs w:val="22"/>
        </w:rPr>
        <w:t xml:space="preserve"> on income statement</w:t>
      </w:r>
      <w:r w:rsidR="00F2187C">
        <w:rPr>
          <w:szCs w:val="22"/>
        </w:rPr>
        <w:t xml:space="preserve">.  </w:t>
      </w:r>
    </w:p>
    <w:p w14:paraId="1F15CD1C" w14:textId="3C854A14" w:rsidR="00F2187C" w:rsidRDefault="007A5966" w:rsidP="00242E5A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>DQC p</w:t>
      </w:r>
      <w:r w:rsidR="00BD24C2">
        <w:rPr>
          <w:szCs w:val="22"/>
        </w:rPr>
        <w:t>roposed rules for rev</w:t>
      </w:r>
      <w:r w:rsidR="00F2187C">
        <w:rPr>
          <w:szCs w:val="22"/>
        </w:rPr>
        <w:t xml:space="preserve">enue </w:t>
      </w:r>
      <w:r>
        <w:rPr>
          <w:szCs w:val="22"/>
        </w:rPr>
        <w:t xml:space="preserve">for version 7 </w:t>
      </w:r>
      <w:r w:rsidR="00F2187C">
        <w:rPr>
          <w:szCs w:val="22"/>
        </w:rPr>
        <w:t>include:</w:t>
      </w:r>
    </w:p>
    <w:p w14:paraId="226A6864" w14:textId="6EF42340" w:rsidR="00F2187C" w:rsidRDefault="00F2187C" w:rsidP="00F2187C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>
        <w:rPr>
          <w:szCs w:val="22"/>
        </w:rPr>
        <w:t>If use policy ex</w:t>
      </w:r>
      <w:r w:rsidR="00BD24C2">
        <w:rPr>
          <w:szCs w:val="22"/>
        </w:rPr>
        <w:t>e</w:t>
      </w:r>
      <w:r>
        <w:rPr>
          <w:szCs w:val="22"/>
        </w:rPr>
        <w:t>mption</w:t>
      </w:r>
      <w:r w:rsidR="005C693B">
        <w:rPr>
          <w:szCs w:val="22"/>
        </w:rPr>
        <w:t xml:space="preserve"> (sales tax)</w:t>
      </w:r>
      <w:r>
        <w:rPr>
          <w:szCs w:val="22"/>
        </w:rPr>
        <w:t xml:space="preserve"> then must have used the element Revenue from Contract</w:t>
      </w:r>
      <w:r w:rsidR="00BD24C2">
        <w:rPr>
          <w:szCs w:val="22"/>
        </w:rPr>
        <w:t xml:space="preserve"> </w:t>
      </w:r>
      <w:r>
        <w:rPr>
          <w:szCs w:val="22"/>
        </w:rPr>
        <w:t>with Customer, Excluding Assessed Tax</w:t>
      </w:r>
    </w:p>
    <w:p w14:paraId="1AADBC31" w14:textId="14F344A1" w:rsidR="00F2187C" w:rsidRDefault="00F2187C" w:rsidP="00F2187C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>
        <w:rPr>
          <w:szCs w:val="22"/>
        </w:rPr>
        <w:t>If element is us</w:t>
      </w:r>
      <w:r w:rsidR="007A5966">
        <w:rPr>
          <w:szCs w:val="22"/>
        </w:rPr>
        <w:t>ed in a filing from section 440</w:t>
      </w:r>
      <w:r>
        <w:rPr>
          <w:szCs w:val="22"/>
        </w:rPr>
        <w:t>000</w:t>
      </w:r>
      <w:r w:rsidR="007A5966">
        <w:rPr>
          <w:szCs w:val="22"/>
        </w:rPr>
        <w:t xml:space="preserve"> then flag error if element is used from section 606000.  Cannot use elements from both sections. If companies have forecasted the impact and used scenario axis, rule will ignore.</w:t>
      </w:r>
    </w:p>
    <w:p w14:paraId="689B4482" w14:textId="77777777" w:rsidR="007A5966" w:rsidRDefault="007A5966" w:rsidP="007A5966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>
        <w:rPr>
          <w:szCs w:val="22"/>
        </w:rPr>
        <w:t>Flag an error when nil value is put on Revenue Remaining Performance Obligation Expected Timing of Satisfaction Start Date Axis.</w:t>
      </w:r>
      <w:r w:rsidRPr="007A5966">
        <w:rPr>
          <w:szCs w:val="22"/>
        </w:rPr>
        <w:t xml:space="preserve"> </w:t>
      </w:r>
    </w:p>
    <w:p w14:paraId="3AAC93BC" w14:textId="2B701137" w:rsidR="00F2187C" w:rsidRPr="007A5966" w:rsidRDefault="007A5966" w:rsidP="008D2204">
      <w:pPr>
        <w:pStyle w:val="ListParagraph"/>
        <w:numPr>
          <w:ilvl w:val="3"/>
          <w:numId w:val="5"/>
        </w:numPr>
        <w:spacing w:line="312" w:lineRule="auto"/>
        <w:rPr>
          <w:szCs w:val="22"/>
        </w:rPr>
      </w:pPr>
      <w:r w:rsidRPr="007A5966">
        <w:rPr>
          <w:szCs w:val="22"/>
        </w:rPr>
        <w:t>DQC_0001 will need additional members added for the product axis.</w:t>
      </w:r>
    </w:p>
    <w:p w14:paraId="55A96474" w14:textId="2759804B" w:rsidR="005423CE" w:rsidRDefault="005423CE" w:rsidP="005423CE">
      <w:pPr>
        <w:pStyle w:val="ListParagraph"/>
        <w:numPr>
          <w:ilvl w:val="0"/>
          <w:numId w:val="5"/>
        </w:numPr>
        <w:spacing w:line="312" w:lineRule="auto"/>
        <w:rPr>
          <w:szCs w:val="22"/>
        </w:rPr>
      </w:pPr>
      <w:r>
        <w:rPr>
          <w:szCs w:val="22"/>
        </w:rPr>
        <w:t>Legal Entity, Ownership and Consolidation Axis</w:t>
      </w:r>
    </w:p>
    <w:p w14:paraId="218B8425" w14:textId="0E48A08A" w:rsidR="005423CE" w:rsidRDefault="005423CE" w:rsidP="00E07CAD">
      <w:pPr>
        <w:pStyle w:val="ListParagraph"/>
        <w:numPr>
          <w:ilvl w:val="1"/>
          <w:numId w:val="5"/>
        </w:numPr>
        <w:spacing w:line="312" w:lineRule="auto"/>
        <w:rPr>
          <w:szCs w:val="22"/>
        </w:rPr>
      </w:pPr>
      <w:r>
        <w:rPr>
          <w:szCs w:val="22"/>
        </w:rPr>
        <w:t xml:space="preserve">FASB has published an implementation guide for ownership.  DQC is developing guidance on how to </w:t>
      </w:r>
      <w:r w:rsidR="00E07CAD">
        <w:rPr>
          <w:szCs w:val="22"/>
        </w:rPr>
        <w:t>use</w:t>
      </w:r>
      <w:r>
        <w:rPr>
          <w:szCs w:val="22"/>
        </w:rPr>
        <w:t xml:space="preserve"> dimensions</w:t>
      </w:r>
      <w:r w:rsidR="00E07CAD">
        <w:rPr>
          <w:szCs w:val="22"/>
        </w:rPr>
        <w:t xml:space="preserve"> to report ownership</w:t>
      </w:r>
      <w:r>
        <w:rPr>
          <w:szCs w:val="22"/>
        </w:rPr>
        <w:t xml:space="preserve">. </w:t>
      </w:r>
      <w:r w:rsidR="00DE58C5">
        <w:rPr>
          <w:szCs w:val="22"/>
        </w:rPr>
        <w:t xml:space="preserve"> Guidan</w:t>
      </w:r>
      <w:r w:rsidR="00BD24C2">
        <w:rPr>
          <w:szCs w:val="22"/>
        </w:rPr>
        <w:t>ce will be included in the next release of rules</w:t>
      </w:r>
      <w:r w:rsidR="00E07CAD">
        <w:rPr>
          <w:szCs w:val="22"/>
        </w:rPr>
        <w:t xml:space="preserve"> (version 7) and </w:t>
      </w:r>
      <w:r>
        <w:rPr>
          <w:szCs w:val="22"/>
        </w:rPr>
        <w:t>will include a table of dimension</w:t>
      </w:r>
      <w:r w:rsidR="00E07CAD">
        <w:rPr>
          <w:szCs w:val="22"/>
        </w:rPr>
        <w:t>al</w:t>
      </w:r>
      <w:r>
        <w:rPr>
          <w:szCs w:val="22"/>
        </w:rPr>
        <w:t xml:space="preserve"> combinations</w:t>
      </w:r>
      <w:r w:rsidR="00E07CAD">
        <w:rPr>
          <w:szCs w:val="22"/>
        </w:rPr>
        <w:t xml:space="preserve"> that can be used</w:t>
      </w:r>
      <w:r>
        <w:rPr>
          <w:szCs w:val="22"/>
        </w:rPr>
        <w:t>.</w:t>
      </w:r>
      <w:r w:rsidR="00E07CAD">
        <w:rPr>
          <w:szCs w:val="22"/>
        </w:rPr>
        <w:t xml:space="preserve">  </w:t>
      </w:r>
      <w:r w:rsidRPr="00E07CAD">
        <w:rPr>
          <w:szCs w:val="22"/>
        </w:rPr>
        <w:t>Gu</w:t>
      </w:r>
      <w:r w:rsidR="00BD24C2" w:rsidRPr="00E07CAD">
        <w:rPr>
          <w:szCs w:val="22"/>
        </w:rPr>
        <w:t>i</w:t>
      </w:r>
      <w:r w:rsidRPr="00E07CAD">
        <w:rPr>
          <w:szCs w:val="22"/>
        </w:rPr>
        <w:t>dance will include examples of complicated structures to explain how to handle.</w:t>
      </w:r>
    </w:p>
    <w:p w14:paraId="639CDED9" w14:textId="615ACCFD" w:rsidR="00126640" w:rsidRDefault="00126640" w:rsidP="00E07CAD">
      <w:pPr>
        <w:pStyle w:val="ListParagraph"/>
        <w:numPr>
          <w:ilvl w:val="1"/>
          <w:numId w:val="5"/>
        </w:numPr>
        <w:spacing w:line="312" w:lineRule="auto"/>
        <w:rPr>
          <w:szCs w:val="22"/>
        </w:rPr>
      </w:pPr>
      <w:r>
        <w:rPr>
          <w:szCs w:val="22"/>
        </w:rPr>
        <w:t>Proposed rules:</w:t>
      </w:r>
    </w:p>
    <w:p w14:paraId="141E16BB" w14:textId="330533D4" w:rsidR="00126640" w:rsidRDefault="00126640" w:rsidP="00126640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>Specific elements to be used with the Ownership Axis.</w:t>
      </w:r>
    </w:p>
    <w:p w14:paraId="105FF1B3" w14:textId="2C4E2825" w:rsidR="00126640" w:rsidRPr="00126640" w:rsidRDefault="00126640" w:rsidP="00126640">
      <w:pPr>
        <w:pStyle w:val="ListParagraph"/>
        <w:numPr>
          <w:ilvl w:val="2"/>
          <w:numId w:val="5"/>
        </w:numPr>
        <w:spacing w:line="312" w:lineRule="auto"/>
        <w:rPr>
          <w:szCs w:val="22"/>
        </w:rPr>
      </w:pPr>
      <w:r>
        <w:rPr>
          <w:szCs w:val="22"/>
        </w:rPr>
        <w:t xml:space="preserve">Flag error where parent company is reported without Consolidation Items Axis with the member Reportable Legal Entities. </w:t>
      </w:r>
    </w:p>
    <w:p w14:paraId="46726563" w14:textId="40D145FA" w:rsidR="00DE58C5" w:rsidRDefault="00DE58C5" w:rsidP="00DE58C5">
      <w:pPr>
        <w:pStyle w:val="ListParagraph"/>
        <w:numPr>
          <w:ilvl w:val="0"/>
          <w:numId w:val="5"/>
        </w:numPr>
        <w:spacing w:line="312" w:lineRule="auto"/>
        <w:rPr>
          <w:szCs w:val="22"/>
        </w:rPr>
      </w:pPr>
      <w:proofErr w:type="spellStart"/>
      <w:r>
        <w:rPr>
          <w:szCs w:val="22"/>
        </w:rPr>
        <w:t>Stockbased</w:t>
      </w:r>
      <w:proofErr w:type="spellEnd"/>
      <w:r>
        <w:rPr>
          <w:szCs w:val="22"/>
        </w:rPr>
        <w:t xml:space="preserve"> compensation </w:t>
      </w:r>
      <w:r w:rsidR="00BD24C2">
        <w:rPr>
          <w:szCs w:val="22"/>
        </w:rPr>
        <w:t>continues to be</w:t>
      </w:r>
      <w:r>
        <w:rPr>
          <w:szCs w:val="22"/>
        </w:rPr>
        <w:t xml:space="preserve"> worked on, but has been delayed.</w:t>
      </w:r>
    </w:p>
    <w:p w14:paraId="37765752" w14:textId="77777777" w:rsidR="00BD24C2" w:rsidRDefault="00BD24C2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2877DB3E" w14:textId="0F6A454B" w:rsidR="0021499F" w:rsidRDefault="005D6513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 xml:space="preserve">DQC </w:t>
      </w:r>
      <w:r w:rsidR="0021499F">
        <w:rPr>
          <w:b/>
          <w:szCs w:val="22"/>
        </w:rPr>
        <w:t>Error Results</w:t>
      </w:r>
    </w:p>
    <w:p w14:paraId="3AC38B37" w14:textId="4D66E7E3" w:rsidR="00C12268" w:rsidRPr="00DE58C5" w:rsidRDefault="00C12268" w:rsidP="00C346F1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Campbell presented results of runni</w:t>
      </w:r>
      <w:r w:rsidR="00DE58C5">
        <w:rPr>
          <w:szCs w:val="22"/>
        </w:rPr>
        <w:t>ng published rule sets 1-5 through April</w:t>
      </w:r>
      <w:r w:rsidR="00BD24C2">
        <w:rPr>
          <w:szCs w:val="22"/>
        </w:rPr>
        <w:t xml:space="preserve"> 2018</w:t>
      </w:r>
      <w:r w:rsidR="00126640">
        <w:rPr>
          <w:szCs w:val="22"/>
        </w:rPr>
        <w:t xml:space="preserve"> (real time results)</w:t>
      </w:r>
      <w:r w:rsidR="006E7395">
        <w:rPr>
          <w:szCs w:val="22"/>
        </w:rPr>
        <w:t>.</w:t>
      </w:r>
      <w:r w:rsidR="00692982">
        <w:rPr>
          <w:szCs w:val="22"/>
        </w:rPr>
        <w:t xml:space="preserve">  A website has been developed and links can be provided to Committee members</w:t>
      </w:r>
      <w:r w:rsidR="006E7395">
        <w:rPr>
          <w:szCs w:val="22"/>
        </w:rPr>
        <w:t xml:space="preserve"> to view results</w:t>
      </w:r>
      <w:r w:rsidR="00692982">
        <w:rPr>
          <w:szCs w:val="22"/>
        </w:rPr>
        <w:t>.</w:t>
      </w:r>
    </w:p>
    <w:p w14:paraId="0608D4E0" w14:textId="4595825E" w:rsidR="00DE58C5" w:rsidRPr="00C238C0" w:rsidRDefault="00DE58C5" w:rsidP="00C346F1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For the fir</w:t>
      </w:r>
      <w:r w:rsidR="006E7395">
        <w:rPr>
          <w:szCs w:val="22"/>
        </w:rPr>
        <w:t>st set of rules, results show hi</w:t>
      </w:r>
      <w:r>
        <w:rPr>
          <w:szCs w:val="22"/>
        </w:rPr>
        <w:t>storical information (prior to rule implementation).</w:t>
      </w:r>
      <w:r w:rsidR="00C238C0">
        <w:rPr>
          <w:szCs w:val="22"/>
        </w:rPr>
        <w:t xml:space="preserve"> Later rules do not show historical results prior to rule implementation.</w:t>
      </w:r>
      <w:r>
        <w:rPr>
          <w:szCs w:val="22"/>
        </w:rPr>
        <w:t xml:space="preserve">  </w:t>
      </w:r>
    </w:p>
    <w:p w14:paraId="3D152CED" w14:textId="77777777" w:rsidR="005C693B" w:rsidRPr="005C693B" w:rsidRDefault="00C238C0" w:rsidP="00C238C0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All rules show a reduction in errors since implementation.  First quarters of each of the years</w:t>
      </w:r>
      <w:r w:rsidR="005C693B">
        <w:rPr>
          <w:szCs w:val="22"/>
        </w:rPr>
        <w:t xml:space="preserve"> have</w:t>
      </w:r>
      <w:r>
        <w:rPr>
          <w:szCs w:val="22"/>
        </w:rPr>
        <w:t xml:space="preserve"> higher</w:t>
      </w:r>
      <w:r w:rsidR="005C693B">
        <w:rPr>
          <w:szCs w:val="22"/>
        </w:rPr>
        <w:t xml:space="preserve"> error rates</w:t>
      </w:r>
      <w:r>
        <w:rPr>
          <w:szCs w:val="22"/>
        </w:rPr>
        <w:t xml:space="preserve"> due to 10-K filings</w:t>
      </w:r>
      <w:r w:rsidR="005C693B">
        <w:rPr>
          <w:szCs w:val="22"/>
        </w:rPr>
        <w:t xml:space="preserve"> which have more elements</w:t>
      </w:r>
      <w:r>
        <w:rPr>
          <w:szCs w:val="22"/>
        </w:rPr>
        <w:t xml:space="preserve">.  </w:t>
      </w:r>
    </w:p>
    <w:p w14:paraId="7B407ABF" w14:textId="7069616D" w:rsidR="00DE58C5" w:rsidRPr="00DE58C5" w:rsidRDefault="00DE58C5" w:rsidP="00C238C0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lastRenderedPageBreak/>
        <w:t xml:space="preserve">A request </w:t>
      </w:r>
      <w:r w:rsidR="00C238C0">
        <w:rPr>
          <w:szCs w:val="22"/>
        </w:rPr>
        <w:t xml:space="preserve">was made </w:t>
      </w:r>
      <w:r>
        <w:rPr>
          <w:szCs w:val="22"/>
        </w:rPr>
        <w:t>to break out by filer size</w:t>
      </w:r>
      <w:r w:rsidR="00C238C0">
        <w:rPr>
          <w:szCs w:val="22"/>
        </w:rPr>
        <w:t xml:space="preserve"> (smaller reporting company – large accelerated filers)</w:t>
      </w:r>
      <w:r>
        <w:rPr>
          <w:szCs w:val="22"/>
        </w:rPr>
        <w:t>.</w:t>
      </w:r>
    </w:p>
    <w:p w14:paraId="074F1612" w14:textId="15CB90EE" w:rsidR="00C238C0" w:rsidRPr="00C238C0" w:rsidRDefault="00C238C0" w:rsidP="00C238C0">
      <w:pPr>
        <w:pStyle w:val="ListParagraph"/>
        <w:numPr>
          <w:ilvl w:val="0"/>
          <w:numId w:val="6"/>
        </w:numPr>
        <w:spacing w:after="160" w:line="288" w:lineRule="auto"/>
        <w:rPr>
          <w:b/>
          <w:szCs w:val="22"/>
        </w:rPr>
      </w:pPr>
      <w:r>
        <w:rPr>
          <w:szCs w:val="22"/>
        </w:rPr>
        <w:t>The</w:t>
      </w:r>
      <w:r w:rsidRPr="00C238C0">
        <w:rPr>
          <w:szCs w:val="22"/>
        </w:rPr>
        <w:t xml:space="preserve"> </w:t>
      </w:r>
      <w:r>
        <w:rPr>
          <w:szCs w:val="22"/>
        </w:rPr>
        <w:t>SEC issued an announcement last week on context dates</w:t>
      </w:r>
      <w:r w:rsidR="005C693B">
        <w:rPr>
          <w:szCs w:val="22"/>
        </w:rPr>
        <w:t xml:space="preserve"> which reminded filers of guidance but did not reference DQC rules</w:t>
      </w:r>
      <w:r>
        <w:rPr>
          <w:szCs w:val="22"/>
        </w:rPr>
        <w:t xml:space="preserve">.  </w:t>
      </w:r>
    </w:p>
    <w:p w14:paraId="2052E34C" w14:textId="3D83B787" w:rsidR="00B958EB" w:rsidRDefault="00C238C0" w:rsidP="00B958EB">
      <w:pPr>
        <w:pStyle w:val="ListParagraph"/>
        <w:numPr>
          <w:ilvl w:val="0"/>
          <w:numId w:val="6"/>
        </w:numPr>
        <w:spacing w:after="160" w:line="288" w:lineRule="auto"/>
        <w:rPr>
          <w:szCs w:val="22"/>
        </w:rPr>
      </w:pPr>
      <w:r>
        <w:rPr>
          <w:szCs w:val="22"/>
        </w:rPr>
        <w:t>Campbell showed results of new rules that were</w:t>
      </w:r>
      <w:r w:rsidR="00B958EB">
        <w:rPr>
          <w:szCs w:val="22"/>
        </w:rPr>
        <w:t xml:space="preserve"> released in January</w:t>
      </w:r>
      <w:r w:rsidR="005C693B">
        <w:rPr>
          <w:szCs w:val="22"/>
        </w:rPr>
        <w:t xml:space="preserve"> 2018</w:t>
      </w:r>
      <w:r w:rsidR="00B958EB">
        <w:rPr>
          <w:szCs w:val="22"/>
        </w:rPr>
        <w:t xml:space="preserve"> for the first quarter 2018.  </w:t>
      </w:r>
      <w:r w:rsidR="009361C7" w:rsidRPr="006E7395">
        <w:rPr>
          <w:szCs w:val="22"/>
        </w:rPr>
        <w:t>Highest amoun</w:t>
      </w:r>
      <w:r>
        <w:rPr>
          <w:szCs w:val="22"/>
        </w:rPr>
        <w:t>t of errors were for DQC_0052, Member V</w:t>
      </w:r>
      <w:r w:rsidR="009361C7" w:rsidRPr="006E7395">
        <w:rPr>
          <w:szCs w:val="22"/>
        </w:rPr>
        <w:t xml:space="preserve">alues. </w:t>
      </w:r>
      <w:r w:rsidR="00B958EB">
        <w:rPr>
          <w:szCs w:val="22"/>
        </w:rPr>
        <w:t>We noted that filers are using Domestic Plan Member where FASB guidance states this member should not be used.</w:t>
      </w:r>
      <w:r w:rsidR="009361C7" w:rsidRPr="006E7395">
        <w:rPr>
          <w:szCs w:val="22"/>
        </w:rPr>
        <w:t xml:space="preserve"> </w:t>
      </w:r>
    </w:p>
    <w:p w14:paraId="5B156B96" w14:textId="0124914F" w:rsidR="009361C7" w:rsidRPr="00B958EB" w:rsidRDefault="00B958EB" w:rsidP="00B958EB">
      <w:pPr>
        <w:pStyle w:val="ListParagraph"/>
        <w:numPr>
          <w:ilvl w:val="0"/>
          <w:numId w:val="6"/>
        </w:numPr>
        <w:spacing w:after="160" w:line="288" w:lineRule="auto"/>
        <w:rPr>
          <w:szCs w:val="22"/>
        </w:rPr>
      </w:pPr>
      <w:r>
        <w:rPr>
          <w:szCs w:val="22"/>
        </w:rPr>
        <w:t>There was a request to see how many filings are included in results.</w:t>
      </w:r>
      <w:r w:rsidR="009361C7" w:rsidRPr="00B958EB">
        <w:rPr>
          <w:szCs w:val="22"/>
        </w:rPr>
        <w:t xml:space="preserve">  </w:t>
      </w:r>
      <w:r>
        <w:rPr>
          <w:szCs w:val="22"/>
        </w:rPr>
        <w:t>Provide context</w:t>
      </w:r>
      <w:r w:rsidR="005C693B">
        <w:rPr>
          <w:szCs w:val="22"/>
        </w:rPr>
        <w:t xml:space="preserve"> on</w:t>
      </w:r>
      <w:r>
        <w:rPr>
          <w:szCs w:val="22"/>
        </w:rPr>
        <w:t xml:space="preserve"> how many occurrences of errors versus how many filings have errors.</w:t>
      </w:r>
    </w:p>
    <w:p w14:paraId="533A89C1" w14:textId="4B6797C5" w:rsidR="00692982" w:rsidRPr="006E7395" w:rsidRDefault="00B958EB" w:rsidP="00692982">
      <w:pPr>
        <w:pStyle w:val="ListParagraph"/>
        <w:numPr>
          <w:ilvl w:val="0"/>
          <w:numId w:val="6"/>
        </w:numPr>
        <w:spacing w:after="160" w:line="288" w:lineRule="auto"/>
        <w:rPr>
          <w:szCs w:val="22"/>
        </w:rPr>
      </w:pPr>
      <w:r>
        <w:rPr>
          <w:szCs w:val="22"/>
        </w:rPr>
        <w:t>The DQC discussed whether to publish</w:t>
      </w:r>
      <w:r w:rsidR="00692982" w:rsidRPr="006E7395">
        <w:rPr>
          <w:szCs w:val="22"/>
        </w:rPr>
        <w:t xml:space="preserve"> results on XBRL US website</w:t>
      </w:r>
      <w:r>
        <w:rPr>
          <w:szCs w:val="22"/>
        </w:rPr>
        <w:t>.</w:t>
      </w:r>
      <w:r w:rsidR="00692982" w:rsidRPr="006E7395">
        <w:rPr>
          <w:szCs w:val="22"/>
        </w:rPr>
        <w:t xml:space="preserve">  There is an ability to allow drill down to company level.</w:t>
      </w:r>
    </w:p>
    <w:p w14:paraId="32C5768F" w14:textId="3239E113" w:rsidR="00692982" w:rsidRPr="006E7395" w:rsidRDefault="00692982" w:rsidP="00692982">
      <w:pPr>
        <w:pStyle w:val="ListParagraph"/>
        <w:numPr>
          <w:ilvl w:val="1"/>
          <w:numId w:val="6"/>
        </w:numPr>
        <w:spacing w:after="160" w:line="288" w:lineRule="auto"/>
        <w:rPr>
          <w:szCs w:val="22"/>
        </w:rPr>
      </w:pPr>
      <w:r w:rsidRPr="006E7395">
        <w:rPr>
          <w:szCs w:val="22"/>
        </w:rPr>
        <w:t>DQC agreed to publish rule results with instructions on</w:t>
      </w:r>
      <w:r w:rsidR="00C20C85">
        <w:rPr>
          <w:szCs w:val="22"/>
        </w:rPr>
        <w:t xml:space="preserve"> how to use API to get detail at company level.</w:t>
      </w:r>
    </w:p>
    <w:p w14:paraId="38DB2FE3" w14:textId="03408ED2" w:rsidR="00692982" w:rsidRPr="006E7395" w:rsidRDefault="00692982" w:rsidP="00692982">
      <w:pPr>
        <w:pStyle w:val="ListParagraph"/>
        <w:numPr>
          <w:ilvl w:val="1"/>
          <w:numId w:val="6"/>
        </w:numPr>
        <w:spacing w:after="160" w:line="288" w:lineRule="auto"/>
        <w:rPr>
          <w:szCs w:val="22"/>
        </w:rPr>
      </w:pPr>
      <w:r w:rsidRPr="006E7395">
        <w:rPr>
          <w:szCs w:val="22"/>
        </w:rPr>
        <w:t xml:space="preserve">At next meeting, DQC will decide whether to make drill down available on </w:t>
      </w:r>
      <w:r w:rsidR="00C20C85">
        <w:rPr>
          <w:szCs w:val="22"/>
        </w:rPr>
        <w:t xml:space="preserve">the </w:t>
      </w:r>
      <w:r w:rsidRPr="006E7395">
        <w:rPr>
          <w:szCs w:val="22"/>
        </w:rPr>
        <w:t>website (without having to run separate API).</w:t>
      </w:r>
    </w:p>
    <w:p w14:paraId="751A8944" w14:textId="18FC8B79" w:rsidR="00692982" w:rsidRPr="006E7395" w:rsidRDefault="00692982" w:rsidP="00692982">
      <w:pPr>
        <w:pStyle w:val="ListParagraph"/>
        <w:numPr>
          <w:ilvl w:val="0"/>
          <w:numId w:val="6"/>
        </w:numPr>
        <w:spacing w:after="160" w:line="288" w:lineRule="auto"/>
        <w:rPr>
          <w:szCs w:val="22"/>
        </w:rPr>
      </w:pPr>
      <w:r w:rsidRPr="006E7395">
        <w:rPr>
          <w:szCs w:val="22"/>
        </w:rPr>
        <w:t xml:space="preserve">DQC members discussed that while all rules show </w:t>
      </w:r>
      <w:r w:rsidR="00B958EB">
        <w:rPr>
          <w:szCs w:val="22"/>
        </w:rPr>
        <w:t>reductions in errors,</w:t>
      </w:r>
      <w:r w:rsidRPr="006E7395">
        <w:rPr>
          <w:szCs w:val="22"/>
        </w:rPr>
        <w:t xml:space="preserve"> there has been a leveling off and so there needs to be SEC enforcement</w:t>
      </w:r>
      <w:r w:rsidR="00B958EB">
        <w:rPr>
          <w:szCs w:val="22"/>
        </w:rPr>
        <w:t xml:space="preserve"> to reduce further</w:t>
      </w:r>
      <w:r w:rsidRPr="006E7395">
        <w:rPr>
          <w:szCs w:val="22"/>
        </w:rPr>
        <w:t>.</w:t>
      </w:r>
    </w:p>
    <w:p w14:paraId="637B8621" w14:textId="77777777" w:rsidR="0021499F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4F03B099" w14:textId="77777777" w:rsidR="00903A18" w:rsidRDefault="0021499F" w:rsidP="00312759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XII Entity Specific Disclosure Task Force</w:t>
      </w:r>
    </w:p>
    <w:p w14:paraId="7B550143" w14:textId="77777777" w:rsidR="00705B84" w:rsidRDefault="00705B84" w:rsidP="00692982">
      <w:pPr>
        <w:pStyle w:val="ListParagraph"/>
        <w:numPr>
          <w:ilvl w:val="0"/>
          <w:numId w:val="13"/>
        </w:numPr>
        <w:spacing w:after="160" w:line="288" w:lineRule="auto"/>
        <w:rPr>
          <w:szCs w:val="22"/>
        </w:rPr>
      </w:pPr>
      <w:r>
        <w:rPr>
          <w:szCs w:val="22"/>
        </w:rPr>
        <w:t xml:space="preserve">Louis </w:t>
      </w:r>
      <w:proofErr w:type="spellStart"/>
      <w:r>
        <w:rPr>
          <w:szCs w:val="22"/>
        </w:rPr>
        <w:t>Matherne</w:t>
      </w:r>
      <w:proofErr w:type="spellEnd"/>
      <w:r>
        <w:rPr>
          <w:szCs w:val="22"/>
        </w:rPr>
        <w:t xml:space="preserve"> and Andie Wood presented to the DQC.</w:t>
      </w:r>
    </w:p>
    <w:p w14:paraId="523BB38A" w14:textId="071E6A78" w:rsidR="00C20C85" w:rsidRPr="00C20C85" w:rsidRDefault="00C20C85" w:rsidP="00692982">
      <w:pPr>
        <w:pStyle w:val="ListParagraph"/>
        <w:numPr>
          <w:ilvl w:val="0"/>
          <w:numId w:val="13"/>
        </w:numPr>
        <w:spacing w:after="160" w:line="288" w:lineRule="auto"/>
        <w:rPr>
          <w:szCs w:val="22"/>
        </w:rPr>
      </w:pPr>
      <w:r w:rsidRPr="00C20C85">
        <w:rPr>
          <w:szCs w:val="22"/>
        </w:rPr>
        <w:t xml:space="preserve">The purpose of group was to </w:t>
      </w:r>
      <w:r>
        <w:rPr>
          <w:szCs w:val="22"/>
        </w:rPr>
        <w:t>develop approaches to make entity specific disclosures machine readable and more usable</w:t>
      </w:r>
    </w:p>
    <w:p w14:paraId="63DA6D1F" w14:textId="134DA4C4" w:rsidR="00692982" w:rsidRPr="00692982" w:rsidRDefault="00692982" w:rsidP="00692982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>Louis explained that task force is looking for comments</w:t>
      </w:r>
      <w:r w:rsidR="00C20C85">
        <w:rPr>
          <w:szCs w:val="22"/>
        </w:rPr>
        <w:t xml:space="preserve"> on </w:t>
      </w:r>
      <w:r w:rsidR="00765D5B">
        <w:rPr>
          <w:szCs w:val="22"/>
        </w:rPr>
        <w:t xml:space="preserve">the </w:t>
      </w:r>
      <w:r w:rsidR="00C20C85">
        <w:rPr>
          <w:szCs w:val="22"/>
        </w:rPr>
        <w:t>document that has been issued</w:t>
      </w:r>
      <w:r>
        <w:rPr>
          <w:szCs w:val="22"/>
        </w:rPr>
        <w:t>. Users have not been involved in development of work and looking for user feedback.</w:t>
      </w:r>
    </w:p>
    <w:p w14:paraId="72FCA08E" w14:textId="4E2D0AE3" w:rsidR="00692982" w:rsidRPr="00CD32C0" w:rsidRDefault="00C20C85" w:rsidP="00692982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>The f</w:t>
      </w:r>
      <w:r w:rsidR="00CD32C0">
        <w:rPr>
          <w:szCs w:val="22"/>
        </w:rPr>
        <w:t>ocus</w:t>
      </w:r>
      <w:r>
        <w:rPr>
          <w:szCs w:val="22"/>
        </w:rPr>
        <w:t xml:space="preserve"> is on numerical discl</w:t>
      </w:r>
      <w:r w:rsidR="00CD32C0">
        <w:rPr>
          <w:szCs w:val="22"/>
        </w:rPr>
        <w:t>o</w:t>
      </w:r>
      <w:r>
        <w:rPr>
          <w:szCs w:val="22"/>
        </w:rPr>
        <w:t>s</w:t>
      </w:r>
      <w:r w:rsidR="00CD32C0">
        <w:rPr>
          <w:szCs w:val="22"/>
        </w:rPr>
        <w:t xml:space="preserve">ures, rather than text based. </w:t>
      </w:r>
      <w:r w:rsidR="00705B84">
        <w:rPr>
          <w:szCs w:val="22"/>
        </w:rPr>
        <w:t>Initially, t</w:t>
      </w:r>
      <w:r>
        <w:rPr>
          <w:szCs w:val="22"/>
        </w:rPr>
        <w:t>hese disclosure are</w:t>
      </w:r>
      <w:r w:rsidR="00CD32C0">
        <w:rPr>
          <w:szCs w:val="22"/>
        </w:rPr>
        <w:t xml:space="preserve"> more critical.</w:t>
      </w:r>
    </w:p>
    <w:p w14:paraId="21EB95B9" w14:textId="0358EE0B" w:rsidR="00CD32C0" w:rsidRPr="00CD32C0" w:rsidRDefault="00CD32C0" w:rsidP="00692982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Primary target </w:t>
      </w:r>
      <w:r w:rsidR="00705B84">
        <w:rPr>
          <w:szCs w:val="22"/>
        </w:rPr>
        <w:t>for this document is regulators because the r</w:t>
      </w:r>
      <w:r>
        <w:rPr>
          <w:szCs w:val="22"/>
        </w:rPr>
        <w:t xml:space="preserve">egulators need to put mechanisms </w:t>
      </w:r>
      <w:r w:rsidR="00705B84">
        <w:rPr>
          <w:szCs w:val="22"/>
        </w:rPr>
        <w:t xml:space="preserve">(rules) </w:t>
      </w:r>
      <w:r>
        <w:rPr>
          <w:szCs w:val="22"/>
        </w:rPr>
        <w:t>into place.  For SEC, this was not initially recognized as a problem.</w:t>
      </w:r>
    </w:p>
    <w:p w14:paraId="53863EB6" w14:textId="7E79DCB5" w:rsidR="00CD32C0" w:rsidRPr="00CD32C0" w:rsidRDefault="00705B84" w:rsidP="00692982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There are three </w:t>
      </w:r>
      <w:r w:rsidR="00CD32C0">
        <w:rPr>
          <w:szCs w:val="22"/>
        </w:rPr>
        <w:t>c</w:t>
      </w:r>
      <w:r>
        <w:rPr>
          <w:szCs w:val="22"/>
        </w:rPr>
        <w:t>ore patterns for extension elements (</w:t>
      </w:r>
      <w:proofErr w:type="spellStart"/>
      <w:r>
        <w:rPr>
          <w:szCs w:val="22"/>
        </w:rPr>
        <w:t>dis</w:t>
      </w:r>
      <w:r w:rsidR="00CD32C0">
        <w:rPr>
          <w:szCs w:val="22"/>
        </w:rPr>
        <w:t>sagregations</w:t>
      </w:r>
      <w:proofErr w:type="spellEnd"/>
      <w:r w:rsidR="00CD32C0">
        <w:rPr>
          <w:szCs w:val="22"/>
        </w:rPr>
        <w:t>,</w:t>
      </w:r>
      <w:r>
        <w:rPr>
          <w:szCs w:val="22"/>
        </w:rPr>
        <w:t xml:space="preserve"> </w:t>
      </w:r>
      <w:r w:rsidR="00CD32C0">
        <w:rPr>
          <w:szCs w:val="22"/>
        </w:rPr>
        <w:t>aggregations,</w:t>
      </w:r>
      <w:r>
        <w:rPr>
          <w:szCs w:val="22"/>
        </w:rPr>
        <w:t xml:space="preserve"> </w:t>
      </w:r>
      <w:r w:rsidR="00CD32C0">
        <w:rPr>
          <w:szCs w:val="22"/>
        </w:rPr>
        <w:t xml:space="preserve">orphan elements).  </w:t>
      </w:r>
      <w:r>
        <w:rPr>
          <w:szCs w:val="22"/>
        </w:rPr>
        <w:t>The task force</w:t>
      </w:r>
      <w:r w:rsidR="00CD32C0">
        <w:rPr>
          <w:szCs w:val="22"/>
        </w:rPr>
        <w:t xml:space="preserve"> found that orphan elements were </w:t>
      </w:r>
      <w:r>
        <w:rPr>
          <w:szCs w:val="22"/>
        </w:rPr>
        <w:t>rare</w:t>
      </w:r>
      <w:r w:rsidR="00CD32C0">
        <w:rPr>
          <w:szCs w:val="22"/>
        </w:rPr>
        <w:t xml:space="preserve">.  </w:t>
      </w:r>
    </w:p>
    <w:p w14:paraId="18FD721F" w14:textId="241519F8" w:rsidR="00CD44A5" w:rsidRPr="005741AD" w:rsidRDefault="00705B84" w:rsidP="005741AD">
      <w:pPr>
        <w:pStyle w:val="ListParagraph"/>
        <w:numPr>
          <w:ilvl w:val="0"/>
          <w:numId w:val="13"/>
        </w:numPr>
        <w:spacing w:after="160" w:line="288" w:lineRule="auto"/>
        <w:rPr>
          <w:szCs w:val="22"/>
        </w:rPr>
      </w:pPr>
      <w:r>
        <w:rPr>
          <w:szCs w:val="22"/>
        </w:rPr>
        <w:t>The task force concluded that p</w:t>
      </w:r>
      <w:r w:rsidR="007855EC" w:rsidRPr="00CD32C0">
        <w:rPr>
          <w:szCs w:val="22"/>
        </w:rPr>
        <w:t xml:space="preserve">reparer extension taxonomies that have a calculation </w:t>
      </w:r>
      <w:proofErr w:type="spellStart"/>
      <w:r w:rsidR="007855EC" w:rsidRPr="00CD32C0">
        <w:rPr>
          <w:szCs w:val="22"/>
        </w:rPr>
        <w:t>linkbase</w:t>
      </w:r>
      <w:proofErr w:type="spellEnd"/>
      <w:r w:rsidR="007855EC" w:rsidRPr="00CD32C0">
        <w:rPr>
          <w:szCs w:val="22"/>
        </w:rPr>
        <w:t xml:space="preserve"> provide useful links from </w:t>
      </w:r>
      <w:r>
        <w:rPr>
          <w:szCs w:val="22"/>
        </w:rPr>
        <w:t xml:space="preserve">entity specific disclosures </w:t>
      </w:r>
      <w:r w:rsidR="007855EC" w:rsidRPr="00CD32C0">
        <w:rPr>
          <w:szCs w:val="22"/>
        </w:rPr>
        <w:t xml:space="preserve">to the base taxonomy. </w:t>
      </w:r>
    </w:p>
    <w:p w14:paraId="4E0FC895" w14:textId="24B6A4F5" w:rsidR="00CD44A5" w:rsidRPr="00CD32C0" w:rsidRDefault="007855EC" w:rsidP="005741AD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CD32C0">
        <w:rPr>
          <w:szCs w:val="22"/>
        </w:rPr>
        <w:t xml:space="preserve">However calculation links for </w:t>
      </w:r>
      <w:r w:rsidR="00705B84">
        <w:rPr>
          <w:szCs w:val="22"/>
        </w:rPr>
        <w:t>entity specific disclosures</w:t>
      </w:r>
      <w:r w:rsidRPr="00CD32C0">
        <w:rPr>
          <w:szCs w:val="22"/>
        </w:rPr>
        <w:t xml:space="preserve"> are sometimes incomplete or missing</w:t>
      </w:r>
      <w:r w:rsidR="005741AD">
        <w:rPr>
          <w:szCs w:val="22"/>
        </w:rPr>
        <w:t xml:space="preserve"> (filing rules may not require)</w:t>
      </w:r>
      <w:r w:rsidR="00765D5B">
        <w:rPr>
          <w:szCs w:val="22"/>
        </w:rPr>
        <w:t>.</w:t>
      </w:r>
    </w:p>
    <w:p w14:paraId="4E8ED43E" w14:textId="29E80448" w:rsidR="00CD44A5" w:rsidRPr="00CD32C0" w:rsidRDefault="007855EC" w:rsidP="00D32CF2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CD32C0">
        <w:rPr>
          <w:szCs w:val="22"/>
        </w:rPr>
        <w:t xml:space="preserve">If calculation total is not reported then the </w:t>
      </w:r>
      <w:r w:rsidR="00705B84">
        <w:rPr>
          <w:szCs w:val="22"/>
        </w:rPr>
        <w:t>entity specific disclosures</w:t>
      </w:r>
      <w:r w:rsidRPr="00CD32C0">
        <w:rPr>
          <w:szCs w:val="22"/>
        </w:rPr>
        <w:t xml:space="preserve"> will not have a link to it</w:t>
      </w:r>
      <w:r w:rsidR="00151CA6">
        <w:rPr>
          <w:szCs w:val="22"/>
        </w:rPr>
        <w:t>.</w:t>
      </w:r>
    </w:p>
    <w:p w14:paraId="58713FBD" w14:textId="44F90D48" w:rsidR="00CD44A5" w:rsidRPr="00CD32C0" w:rsidRDefault="007855EC" w:rsidP="00D32CF2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CD32C0">
        <w:rPr>
          <w:szCs w:val="22"/>
        </w:rPr>
        <w:t xml:space="preserve">The calculation </w:t>
      </w:r>
      <w:proofErr w:type="spellStart"/>
      <w:r w:rsidRPr="00CD32C0">
        <w:rPr>
          <w:szCs w:val="22"/>
        </w:rPr>
        <w:t>linkbase</w:t>
      </w:r>
      <w:proofErr w:type="spellEnd"/>
      <w:r w:rsidRPr="00CD32C0">
        <w:rPr>
          <w:szCs w:val="22"/>
        </w:rPr>
        <w:t xml:space="preserve"> does not cover XBRL dimensions</w:t>
      </w:r>
      <w:r w:rsidR="00151CA6">
        <w:rPr>
          <w:szCs w:val="22"/>
        </w:rPr>
        <w:t>.</w:t>
      </w:r>
    </w:p>
    <w:p w14:paraId="0BA7211C" w14:textId="217F55CE" w:rsidR="00CD44A5" w:rsidRDefault="007855EC" w:rsidP="00D32CF2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CD32C0">
        <w:rPr>
          <w:szCs w:val="22"/>
        </w:rPr>
        <w:t xml:space="preserve">The calculation </w:t>
      </w:r>
      <w:proofErr w:type="spellStart"/>
      <w:r w:rsidRPr="00CD32C0">
        <w:rPr>
          <w:szCs w:val="22"/>
        </w:rPr>
        <w:t>linkbase</w:t>
      </w:r>
      <w:proofErr w:type="spellEnd"/>
      <w:r w:rsidRPr="00CD32C0">
        <w:rPr>
          <w:szCs w:val="22"/>
        </w:rPr>
        <w:t xml:space="preserve"> does not cover cross-period calculations</w:t>
      </w:r>
      <w:r w:rsidR="00151CA6">
        <w:rPr>
          <w:szCs w:val="22"/>
        </w:rPr>
        <w:t>.</w:t>
      </w:r>
    </w:p>
    <w:p w14:paraId="3E7E30D4" w14:textId="40EE2176" w:rsidR="005741AD" w:rsidRPr="00D32CF2" w:rsidRDefault="00D32CF2" w:rsidP="00765D5B">
      <w:pPr>
        <w:pStyle w:val="ListParagraph"/>
        <w:numPr>
          <w:ilvl w:val="0"/>
          <w:numId w:val="13"/>
        </w:numPr>
        <w:spacing w:after="160" w:line="288" w:lineRule="auto"/>
        <w:rPr>
          <w:szCs w:val="22"/>
        </w:rPr>
      </w:pPr>
      <w:r w:rsidRPr="00D32CF2">
        <w:rPr>
          <w:iCs/>
          <w:szCs w:val="22"/>
        </w:rPr>
        <w:lastRenderedPageBreak/>
        <w:t>Primary r</w:t>
      </w:r>
      <w:r w:rsidR="005741AD" w:rsidRPr="00D32CF2">
        <w:rPr>
          <w:iCs/>
          <w:szCs w:val="22"/>
        </w:rPr>
        <w:t>ecommendations</w:t>
      </w:r>
      <w:r w:rsidRPr="00D32CF2">
        <w:rPr>
          <w:iCs/>
          <w:szCs w:val="22"/>
        </w:rPr>
        <w:t xml:space="preserve"> by the task force include </w:t>
      </w:r>
      <w:r>
        <w:rPr>
          <w:iCs/>
          <w:szCs w:val="22"/>
        </w:rPr>
        <w:t>a</w:t>
      </w:r>
      <w:r w:rsidR="005741AD" w:rsidRPr="00D32CF2">
        <w:rPr>
          <w:iCs/>
          <w:szCs w:val="22"/>
        </w:rPr>
        <w:t>nchor</w:t>
      </w:r>
      <w:r w:rsidR="005741AD" w:rsidRPr="00D32CF2">
        <w:rPr>
          <w:szCs w:val="22"/>
        </w:rPr>
        <w:t xml:space="preserve"> entity-specific disclosures to the base taxonomy</w:t>
      </w:r>
      <w:r>
        <w:rPr>
          <w:szCs w:val="22"/>
        </w:rPr>
        <w:t>.</w:t>
      </w:r>
    </w:p>
    <w:p w14:paraId="0A2418AD" w14:textId="2D0B80BA" w:rsidR="00CD44A5" w:rsidRPr="005741AD" w:rsidRDefault="00D32CF2" w:rsidP="00765D5B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>
        <w:rPr>
          <w:szCs w:val="22"/>
        </w:rPr>
        <w:t>P</w:t>
      </w:r>
      <w:r w:rsidR="007855EC" w:rsidRPr="005741AD">
        <w:rPr>
          <w:szCs w:val="22"/>
        </w:rPr>
        <w:t>rovide calculation relationships wherever possible</w:t>
      </w:r>
      <w:r w:rsidR="00151CA6">
        <w:rPr>
          <w:szCs w:val="22"/>
        </w:rPr>
        <w:t>.</w:t>
      </w:r>
      <w:r w:rsidR="007855EC" w:rsidRPr="005741AD">
        <w:rPr>
          <w:szCs w:val="22"/>
        </w:rPr>
        <w:t xml:space="preserve"> </w:t>
      </w:r>
    </w:p>
    <w:p w14:paraId="25D3484A" w14:textId="2D561E96" w:rsidR="00CD44A5" w:rsidRDefault="00D32CF2" w:rsidP="00765D5B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>
        <w:rPr>
          <w:szCs w:val="22"/>
        </w:rPr>
        <w:t>P</w:t>
      </w:r>
      <w:r w:rsidR="007855EC" w:rsidRPr="005741AD">
        <w:rPr>
          <w:szCs w:val="22"/>
        </w:rPr>
        <w:t>rovide some relationship to the base taxonomy for all extension components</w:t>
      </w:r>
      <w:r w:rsidR="00151CA6">
        <w:rPr>
          <w:szCs w:val="22"/>
        </w:rPr>
        <w:t>.</w:t>
      </w:r>
    </w:p>
    <w:p w14:paraId="5BE0311D" w14:textId="17B4A6B5" w:rsidR="00151CA6" w:rsidRPr="005741AD" w:rsidRDefault="00151CA6" w:rsidP="00765D5B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>
        <w:rPr>
          <w:szCs w:val="22"/>
        </w:rPr>
        <w:t xml:space="preserve">Allow calculation </w:t>
      </w:r>
      <w:proofErr w:type="spellStart"/>
      <w:r>
        <w:rPr>
          <w:szCs w:val="22"/>
        </w:rPr>
        <w:t>linkbase</w:t>
      </w:r>
      <w:proofErr w:type="spellEnd"/>
      <w:r>
        <w:rPr>
          <w:szCs w:val="22"/>
        </w:rPr>
        <w:t xml:space="preserve"> to be used for documentation as well as validation. </w:t>
      </w:r>
    </w:p>
    <w:p w14:paraId="670AA870" w14:textId="5C1ED3EE" w:rsidR="005741AD" w:rsidRPr="00D32CF2" w:rsidRDefault="00D32CF2" w:rsidP="00765D5B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D32CF2">
        <w:rPr>
          <w:iCs/>
          <w:szCs w:val="22"/>
        </w:rPr>
        <w:t>Revisit</w:t>
      </w:r>
      <w:r w:rsidR="005741AD" w:rsidRPr="00D32CF2">
        <w:rPr>
          <w:iCs/>
          <w:szCs w:val="22"/>
        </w:rPr>
        <w:t xml:space="preserve"> the specification for the calculation </w:t>
      </w:r>
      <w:proofErr w:type="spellStart"/>
      <w:r w:rsidR="005741AD" w:rsidRPr="00D32CF2">
        <w:rPr>
          <w:iCs/>
          <w:szCs w:val="22"/>
        </w:rPr>
        <w:t>linkbase</w:t>
      </w:r>
      <w:proofErr w:type="spellEnd"/>
      <w:r w:rsidR="005741AD" w:rsidRPr="00D32CF2">
        <w:rPr>
          <w:iCs/>
          <w:szCs w:val="22"/>
        </w:rPr>
        <w:t xml:space="preserve"> could significantly improve the automated consumption of </w:t>
      </w:r>
      <w:r w:rsidRPr="00D32CF2">
        <w:rPr>
          <w:iCs/>
          <w:szCs w:val="22"/>
        </w:rPr>
        <w:t>entity specific disclosures</w:t>
      </w:r>
      <w:r w:rsidR="005741AD" w:rsidRPr="00D32CF2">
        <w:rPr>
          <w:i/>
          <w:iCs/>
          <w:szCs w:val="22"/>
        </w:rPr>
        <w:t>.</w:t>
      </w:r>
      <w:r>
        <w:rPr>
          <w:i/>
          <w:iCs/>
          <w:szCs w:val="22"/>
        </w:rPr>
        <w:t xml:space="preserve"> </w:t>
      </w:r>
      <w:r w:rsidR="005741AD" w:rsidRPr="00D32CF2">
        <w:rPr>
          <w:szCs w:val="22"/>
        </w:rPr>
        <w:t>This work has been passed on to the XBRL Standards Board</w:t>
      </w:r>
      <w:r w:rsidRPr="00D32CF2">
        <w:rPr>
          <w:szCs w:val="22"/>
        </w:rPr>
        <w:t xml:space="preserve"> to address and revise specification</w:t>
      </w:r>
      <w:r>
        <w:rPr>
          <w:szCs w:val="22"/>
        </w:rPr>
        <w:t>.</w:t>
      </w:r>
    </w:p>
    <w:p w14:paraId="4EF72ED5" w14:textId="5BCA5E01" w:rsidR="005741AD" w:rsidRPr="00151CA6" w:rsidRDefault="005741AD" w:rsidP="00151CA6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 w:rsidRPr="00151CA6">
        <w:rPr>
          <w:szCs w:val="22"/>
        </w:rPr>
        <w:t xml:space="preserve">Andie presented </w:t>
      </w:r>
      <w:r w:rsidR="00765D5B">
        <w:rPr>
          <w:szCs w:val="22"/>
        </w:rPr>
        <w:t xml:space="preserve">a </w:t>
      </w:r>
      <w:r w:rsidRPr="00151CA6">
        <w:rPr>
          <w:szCs w:val="22"/>
        </w:rPr>
        <w:t>scenario of using a separate anchoring mechan</w:t>
      </w:r>
      <w:r w:rsidR="00D32CF2" w:rsidRPr="00151CA6">
        <w:rPr>
          <w:szCs w:val="22"/>
        </w:rPr>
        <w:t xml:space="preserve">ism beyond calculation </w:t>
      </w:r>
      <w:proofErr w:type="spellStart"/>
      <w:r w:rsidR="00D32CF2" w:rsidRPr="00151CA6">
        <w:rPr>
          <w:szCs w:val="22"/>
        </w:rPr>
        <w:t>linkbase</w:t>
      </w:r>
      <w:proofErr w:type="spellEnd"/>
      <w:r w:rsidR="00D32CF2" w:rsidRPr="00151CA6">
        <w:rPr>
          <w:szCs w:val="22"/>
        </w:rPr>
        <w:t xml:space="preserve"> </w:t>
      </w:r>
      <w:r w:rsidRPr="00151CA6">
        <w:rPr>
          <w:szCs w:val="22"/>
        </w:rPr>
        <w:t>(calculation provides implied relationship, additional anchoring would provide explicit relationship).</w:t>
      </w:r>
      <w:r w:rsidR="00151CA6">
        <w:rPr>
          <w:szCs w:val="22"/>
        </w:rPr>
        <w:t xml:space="preserve">  </w:t>
      </w:r>
      <w:r w:rsidR="002E2269">
        <w:rPr>
          <w:szCs w:val="22"/>
        </w:rPr>
        <w:t xml:space="preserve">ESMA recommendation includes use of both calculation </w:t>
      </w:r>
      <w:proofErr w:type="spellStart"/>
      <w:r w:rsidR="00765D5B">
        <w:rPr>
          <w:szCs w:val="22"/>
        </w:rPr>
        <w:t>linkbase</w:t>
      </w:r>
      <w:proofErr w:type="spellEnd"/>
      <w:r w:rsidR="00765D5B">
        <w:rPr>
          <w:szCs w:val="22"/>
        </w:rPr>
        <w:t xml:space="preserve"> </w:t>
      </w:r>
      <w:r w:rsidR="002E2269">
        <w:rPr>
          <w:szCs w:val="22"/>
        </w:rPr>
        <w:t>and separate anchors through proposing a new role.</w:t>
      </w:r>
      <w:r w:rsidR="00A379AF" w:rsidRPr="00151CA6">
        <w:rPr>
          <w:szCs w:val="22"/>
        </w:rPr>
        <w:tab/>
      </w:r>
    </w:p>
    <w:p w14:paraId="7EE2E734" w14:textId="3DB9F477" w:rsidR="00A379AF" w:rsidRPr="000F2604" w:rsidRDefault="000F2604" w:rsidP="005741AD">
      <w:pPr>
        <w:pStyle w:val="ListParagraph"/>
        <w:numPr>
          <w:ilvl w:val="1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Users on </w:t>
      </w:r>
      <w:r w:rsidR="00151CA6">
        <w:rPr>
          <w:szCs w:val="22"/>
        </w:rPr>
        <w:t>DQC</w:t>
      </w:r>
      <w:r>
        <w:rPr>
          <w:szCs w:val="22"/>
        </w:rPr>
        <w:t xml:space="preserve"> agreed that both mechanisms are important and agreed that both a separate anchor along with calculation links shoul</w:t>
      </w:r>
      <w:r w:rsidR="00D32CF2">
        <w:rPr>
          <w:szCs w:val="22"/>
        </w:rPr>
        <w:t xml:space="preserve">d be required for extensions.  </w:t>
      </w:r>
    </w:p>
    <w:p w14:paraId="6B9C0248" w14:textId="7BCBB0A6" w:rsidR="000F2604" w:rsidRPr="000F2604" w:rsidRDefault="002E2269" w:rsidP="005741AD">
      <w:pPr>
        <w:pStyle w:val="ListParagraph"/>
        <w:numPr>
          <w:ilvl w:val="1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A new </w:t>
      </w:r>
      <w:proofErr w:type="spellStart"/>
      <w:r>
        <w:rPr>
          <w:szCs w:val="22"/>
        </w:rPr>
        <w:t>linkbase</w:t>
      </w:r>
      <w:proofErr w:type="spellEnd"/>
      <w:r>
        <w:rPr>
          <w:szCs w:val="22"/>
        </w:rPr>
        <w:t xml:space="preserve"> is necessary in the taxonomy to define meaning. </w:t>
      </w:r>
      <w:r w:rsidR="00D32CF2">
        <w:rPr>
          <w:szCs w:val="22"/>
        </w:rPr>
        <w:t>The t</w:t>
      </w:r>
      <w:r w:rsidR="000F2604">
        <w:rPr>
          <w:szCs w:val="22"/>
        </w:rPr>
        <w:t xml:space="preserve">axonomy and guidance can be developed on a voluntary basis.  </w:t>
      </w:r>
    </w:p>
    <w:p w14:paraId="5B106CAE" w14:textId="47CB2EFB" w:rsidR="000F2604" w:rsidRPr="000F2604" w:rsidRDefault="000F2604" w:rsidP="005741AD">
      <w:pPr>
        <w:pStyle w:val="ListParagraph"/>
        <w:numPr>
          <w:ilvl w:val="1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 xml:space="preserve">XII would need to make changes to architecture.  </w:t>
      </w:r>
    </w:p>
    <w:p w14:paraId="4C53D97B" w14:textId="315EB913" w:rsidR="000F2604" w:rsidRPr="000F2604" w:rsidRDefault="00D32CF2" w:rsidP="000F2604">
      <w:pPr>
        <w:pStyle w:val="ListParagraph"/>
        <w:numPr>
          <w:ilvl w:val="0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>The DQC discussed whether</w:t>
      </w:r>
      <w:r w:rsidR="000F2604">
        <w:rPr>
          <w:szCs w:val="22"/>
        </w:rPr>
        <w:t xml:space="preserve"> recommendations </w:t>
      </w:r>
      <w:r>
        <w:rPr>
          <w:szCs w:val="22"/>
        </w:rPr>
        <w:t xml:space="preserve">should </w:t>
      </w:r>
      <w:r w:rsidR="000F2604">
        <w:rPr>
          <w:szCs w:val="22"/>
        </w:rPr>
        <w:t>be made to</w:t>
      </w:r>
      <w:r>
        <w:rPr>
          <w:szCs w:val="22"/>
        </w:rPr>
        <w:t xml:space="preserve"> the</w:t>
      </w:r>
      <w:r w:rsidR="000F2604">
        <w:rPr>
          <w:szCs w:val="22"/>
        </w:rPr>
        <w:t xml:space="preserve"> SEC or should we wait until calculation spec</w:t>
      </w:r>
      <w:r>
        <w:rPr>
          <w:szCs w:val="22"/>
        </w:rPr>
        <w:t xml:space="preserve">ification </w:t>
      </w:r>
      <w:r w:rsidR="000F2604">
        <w:rPr>
          <w:szCs w:val="22"/>
        </w:rPr>
        <w:t>is updated</w:t>
      </w:r>
      <w:r>
        <w:rPr>
          <w:szCs w:val="22"/>
        </w:rPr>
        <w:t>.</w:t>
      </w:r>
    </w:p>
    <w:p w14:paraId="5513BC49" w14:textId="7ACF0B43" w:rsidR="000F2604" w:rsidRPr="006E7395" w:rsidRDefault="000F2604" w:rsidP="005741AD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6E7395">
        <w:rPr>
          <w:szCs w:val="22"/>
        </w:rPr>
        <w:t xml:space="preserve">XII </w:t>
      </w:r>
      <w:r w:rsidR="00A37881" w:rsidRPr="006E7395">
        <w:rPr>
          <w:szCs w:val="22"/>
        </w:rPr>
        <w:t xml:space="preserve">is working aggressively on this, </w:t>
      </w:r>
      <w:r w:rsidR="002E2269">
        <w:rPr>
          <w:szCs w:val="22"/>
        </w:rPr>
        <w:t>DQC</w:t>
      </w:r>
      <w:r w:rsidR="00A37881" w:rsidRPr="006E7395">
        <w:rPr>
          <w:szCs w:val="22"/>
        </w:rPr>
        <w:t xml:space="preserve"> will </w:t>
      </w:r>
      <w:r w:rsidR="00765D5B">
        <w:rPr>
          <w:szCs w:val="22"/>
        </w:rPr>
        <w:t xml:space="preserve">monitor </w:t>
      </w:r>
      <w:r w:rsidR="00A37881" w:rsidRPr="006E7395">
        <w:rPr>
          <w:szCs w:val="22"/>
        </w:rPr>
        <w:t>this activity.</w:t>
      </w:r>
    </w:p>
    <w:p w14:paraId="2C2B099C" w14:textId="6B3E799E" w:rsidR="000F2604" w:rsidRPr="006E7395" w:rsidRDefault="00A37881" w:rsidP="005741AD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6E7395">
        <w:rPr>
          <w:szCs w:val="22"/>
        </w:rPr>
        <w:t xml:space="preserve">This </w:t>
      </w:r>
      <w:r w:rsidR="00151CA6">
        <w:rPr>
          <w:szCs w:val="22"/>
        </w:rPr>
        <w:t xml:space="preserve">topic </w:t>
      </w:r>
      <w:r w:rsidRPr="006E7395">
        <w:rPr>
          <w:szCs w:val="22"/>
        </w:rPr>
        <w:t xml:space="preserve">should be </w:t>
      </w:r>
      <w:r w:rsidR="00151CA6">
        <w:rPr>
          <w:szCs w:val="22"/>
        </w:rPr>
        <w:t>in</w:t>
      </w:r>
      <w:r w:rsidRPr="006E7395">
        <w:rPr>
          <w:szCs w:val="22"/>
        </w:rPr>
        <w:t xml:space="preserve"> next DQC meeting to continue discussion.</w:t>
      </w:r>
    </w:p>
    <w:p w14:paraId="63DEFFC9" w14:textId="56CC8B86" w:rsidR="00A37881" w:rsidRPr="006E7395" w:rsidRDefault="00A37881" w:rsidP="005741AD">
      <w:pPr>
        <w:pStyle w:val="ListParagraph"/>
        <w:numPr>
          <w:ilvl w:val="1"/>
          <w:numId w:val="13"/>
        </w:numPr>
        <w:spacing w:after="160" w:line="288" w:lineRule="auto"/>
        <w:rPr>
          <w:szCs w:val="22"/>
        </w:rPr>
      </w:pPr>
      <w:r w:rsidRPr="006E7395">
        <w:rPr>
          <w:szCs w:val="22"/>
        </w:rPr>
        <w:t>Need to assess</w:t>
      </w:r>
      <w:r w:rsidR="00151CA6">
        <w:rPr>
          <w:szCs w:val="22"/>
        </w:rPr>
        <w:t xml:space="preserve"> different</w:t>
      </w:r>
      <w:r w:rsidRPr="006E7395">
        <w:rPr>
          <w:szCs w:val="22"/>
        </w:rPr>
        <w:t xml:space="preserve"> approaches.</w:t>
      </w:r>
    </w:p>
    <w:p w14:paraId="6C550F03" w14:textId="72C622F1" w:rsidR="00A379AF" w:rsidRPr="00A379AF" w:rsidRDefault="00A379AF" w:rsidP="00151CA6">
      <w:pPr>
        <w:pStyle w:val="ListParagraph"/>
        <w:numPr>
          <w:ilvl w:val="1"/>
          <w:numId w:val="13"/>
        </w:numPr>
        <w:spacing w:after="160" w:line="288" w:lineRule="auto"/>
        <w:rPr>
          <w:b/>
          <w:szCs w:val="22"/>
        </w:rPr>
      </w:pPr>
      <w:r>
        <w:rPr>
          <w:szCs w:val="22"/>
        </w:rPr>
        <w:t>Require</w:t>
      </w:r>
      <w:r w:rsidR="00151CA6">
        <w:rPr>
          <w:szCs w:val="22"/>
        </w:rPr>
        <w:t>s</w:t>
      </w:r>
      <w:r>
        <w:rPr>
          <w:szCs w:val="22"/>
        </w:rPr>
        <w:t xml:space="preserve"> a change to current </w:t>
      </w:r>
      <w:r w:rsidR="00151CA6">
        <w:rPr>
          <w:szCs w:val="22"/>
        </w:rPr>
        <w:t xml:space="preserve">EDGAR Filer Manual </w:t>
      </w:r>
      <w:r>
        <w:rPr>
          <w:szCs w:val="22"/>
        </w:rPr>
        <w:t>rules.</w:t>
      </w:r>
    </w:p>
    <w:p w14:paraId="1C248EA6" w14:textId="77777777" w:rsidR="00CE3535" w:rsidRDefault="00CE3535" w:rsidP="00312759">
      <w:pPr>
        <w:pStyle w:val="ListParagraph"/>
        <w:spacing w:after="160" w:line="288" w:lineRule="auto"/>
        <w:ind w:left="0"/>
        <w:rPr>
          <w:b/>
          <w:szCs w:val="22"/>
        </w:rPr>
      </w:pPr>
    </w:p>
    <w:p w14:paraId="604D20B2" w14:textId="1E196A5E" w:rsidR="00A65ABD" w:rsidRDefault="00A65ABD" w:rsidP="00A65ABD">
      <w:pPr>
        <w:pStyle w:val="ListParagraph"/>
        <w:spacing w:after="160" w:line="288" w:lineRule="auto"/>
        <w:ind w:left="0"/>
        <w:rPr>
          <w:b/>
          <w:szCs w:val="22"/>
        </w:rPr>
      </w:pPr>
      <w:r>
        <w:rPr>
          <w:b/>
          <w:szCs w:val="22"/>
        </w:rPr>
        <w:t>Preparation for meeting with SEC Staff</w:t>
      </w:r>
    </w:p>
    <w:p w14:paraId="64BCE1A6" w14:textId="09EC2F46" w:rsidR="00476B5C" w:rsidRPr="006E7395" w:rsidRDefault="00A65ABD" w:rsidP="006E7395">
      <w:pPr>
        <w:pStyle w:val="ListParagraph"/>
        <w:numPr>
          <w:ilvl w:val="0"/>
          <w:numId w:val="16"/>
        </w:numPr>
        <w:spacing w:after="160" w:line="288" w:lineRule="auto"/>
        <w:rPr>
          <w:szCs w:val="22"/>
        </w:rPr>
      </w:pPr>
      <w:r w:rsidRPr="006E7395">
        <w:rPr>
          <w:szCs w:val="22"/>
        </w:rPr>
        <w:t>The DQC members conducted a closed session.</w:t>
      </w:r>
    </w:p>
    <w:p w14:paraId="6A796DE8" w14:textId="2051D74F" w:rsidR="002C7013" w:rsidRDefault="00020EA9">
      <w:pPr>
        <w:spacing w:line="332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</w:t>
      </w:r>
      <w:r w:rsidR="00CF688D">
        <w:rPr>
          <w:rFonts w:ascii="Arial" w:eastAsia="Arial" w:hAnsi="Arial" w:cs="Arial"/>
          <w:sz w:val="22"/>
        </w:rPr>
        <w:t xml:space="preserve">eeting adjourned </w:t>
      </w:r>
      <w:r w:rsidR="0093673C">
        <w:rPr>
          <w:rFonts w:ascii="Arial" w:eastAsia="Arial" w:hAnsi="Arial" w:cs="Arial"/>
          <w:sz w:val="22"/>
        </w:rPr>
        <w:t>1</w:t>
      </w:r>
      <w:r w:rsidR="00476B5C">
        <w:rPr>
          <w:rFonts w:ascii="Arial" w:eastAsia="Arial" w:hAnsi="Arial" w:cs="Arial"/>
          <w:sz w:val="22"/>
        </w:rPr>
        <w:t>2:</w:t>
      </w:r>
      <w:r w:rsidR="005D6513">
        <w:rPr>
          <w:rFonts w:ascii="Arial" w:eastAsia="Arial" w:hAnsi="Arial" w:cs="Arial"/>
          <w:sz w:val="22"/>
        </w:rPr>
        <w:t>0</w:t>
      </w:r>
      <w:r w:rsidR="00476B5C">
        <w:rPr>
          <w:rFonts w:ascii="Arial" w:eastAsia="Arial" w:hAnsi="Arial" w:cs="Arial"/>
          <w:sz w:val="22"/>
        </w:rPr>
        <w:t>0P</w:t>
      </w:r>
      <w:r w:rsidR="00A96BB0">
        <w:rPr>
          <w:rFonts w:ascii="Arial" w:eastAsia="Arial" w:hAnsi="Arial" w:cs="Arial"/>
          <w:sz w:val="22"/>
        </w:rPr>
        <w:t>M</w:t>
      </w:r>
      <w:r w:rsidR="002C763D">
        <w:rPr>
          <w:rFonts w:ascii="Arial" w:eastAsia="Arial" w:hAnsi="Arial" w:cs="Arial"/>
          <w:sz w:val="22"/>
        </w:rPr>
        <w:t>.</w:t>
      </w:r>
    </w:p>
    <w:sectPr w:rsidR="002C7013">
      <w:headerReference w:type="default" r:id="rId9"/>
      <w:footerReference w:type="default" r:id="rId10"/>
      <w:pgSz w:w="12240" w:h="15840"/>
      <w:pgMar w:top="1440" w:right="1440" w:bottom="1440" w:left="1440" w:header="160" w:footer="12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55CE2" w14:textId="77777777" w:rsidR="0098685A" w:rsidRDefault="0098685A">
      <w:r>
        <w:separator/>
      </w:r>
    </w:p>
  </w:endnote>
  <w:endnote w:type="continuationSeparator" w:id="0">
    <w:p w14:paraId="5FBA7AD8" w14:textId="77777777" w:rsidR="0098685A" w:rsidRDefault="0098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FF7B5" w14:textId="77777777" w:rsidR="0052105C" w:rsidRDefault="005210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5761E" w14:textId="77777777" w:rsidR="0098685A" w:rsidRDefault="0098685A">
      <w:r>
        <w:separator/>
      </w:r>
    </w:p>
  </w:footnote>
  <w:footnote w:type="continuationSeparator" w:id="0">
    <w:p w14:paraId="12787AB9" w14:textId="77777777" w:rsidR="0098685A" w:rsidRDefault="00986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29EC" w14:textId="77777777" w:rsidR="0052105C" w:rsidRDefault="005210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37AB"/>
    <w:multiLevelType w:val="hybridMultilevel"/>
    <w:tmpl w:val="C910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22791"/>
    <w:multiLevelType w:val="hybridMultilevel"/>
    <w:tmpl w:val="C308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1D4008"/>
    <w:multiLevelType w:val="hybridMultilevel"/>
    <w:tmpl w:val="62F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5DFE"/>
    <w:multiLevelType w:val="hybridMultilevel"/>
    <w:tmpl w:val="4E0A4E24"/>
    <w:lvl w:ilvl="0" w:tplc="365CC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6E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C7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A1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8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4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AE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E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C4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E93073"/>
    <w:multiLevelType w:val="hybridMultilevel"/>
    <w:tmpl w:val="ADF03EFC"/>
    <w:lvl w:ilvl="0" w:tplc="D7D8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E1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C2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89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CE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6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AB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CD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1F5E6C"/>
    <w:multiLevelType w:val="hybridMultilevel"/>
    <w:tmpl w:val="4D8C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62BD1"/>
    <w:multiLevelType w:val="hybridMultilevel"/>
    <w:tmpl w:val="7F1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8065D"/>
    <w:multiLevelType w:val="hybridMultilevel"/>
    <w:tmpl w:val="B57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827D9"/>
    <w:multiLevelType w:val="hybridMultilevel"/>
    <w:tmpl w:val="E39A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97577"/>
    <w:multiLevelType w:val="hybridMultilevel"/>
    <w:tmpl w:val="4FB07B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8A16288"/>
    <w:multiLevelType w:val="hybridMultilevel"/>
    <w:tmpl w:val="7826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D08F4"/>
    <w:multiLevelType w:val="hybridMultilevel"/>
    <w:tmpl w:val="684A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0112C3"/>
    <w:multiLevelType w:val="hybridMultilevel"/>
    <w:tmpl w:val="9414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F48DC"/>
    <w:multiLevelType w:val="hybridMultilevel"/>
    <w:tmpl w:val="B3BA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F3A46"/>
    <w:multiLevelType w:val="hybridMultilevel"/>
    <w:tmpl w:val="9C8C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  <w:num w:numId="1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81"/>
    <w:rsid w:val="000016D8"/>
    <w:rsid w:val="000065BF"/>
    <w:rsid w:val="000075A0"/>
    <w:rsid w:val="000204AB"/>
    <w:rsid w:val="00020EA9"/>
    <w:rsid w:val="00021BB0"/>
    <w:rsid w:val="00026C18"/>
    <w:rsid w:val="00043834"/>
    <w:rsid w:val="00052B41"/>
    <w:rsid w:val="000558DD"/>
    <w:rsid w:val="00056425"/>
    <w:rsid w:val="0005737B"/>
    <w:rsid w:val="000B7303"/>
    <w:rsid w:val="000C5EDD"/>
    <w:rsid w:val="000D521E"/>
    <w:rsid w:val="000E1397"/>
    <w:rsid w:val="000E1FFC"/>
    <w:rsid w:val="000E2734"/>
    <w:rsid w:val="000E2D28"/>
    <w:rsid w:val="000E66B1"/>
    <w:rsid w:val="000E7DCC"/>
    <w:rsid w:val="000F2604"/>
    <w:rsid w:val="000F4123"/>
    <w:rsid w:val="001046DD"/>
    <w:rsid w:val="00116D46"/>
    <w:rsid w:val="00122964"/>
    <w:rsid w:val="00126640"/>
    <w:rsid w:val="00135A3A"/>
    <w:rsid w:val="001369D9"/>
    <w:rsid w:val="001410BB"/>
    <w:rsid w:val="00143014"/>
    <w:rsid w:val="001469D0"/>
    <w:rsid w:val="00151CA6"/>
    <w:rsid w:val="00154EEA"/>
    <w:rsid w:val="00164F24"/>
    <w:rsid w:val="00173232"/>
    <w:rsid w:val="00193771"/>
    <w:rsid w:val="00197558"/>
    <w:rsid w:val="001A0D9A"/>
    <w:rsid w:val="001A36D1"/>
    <w:rsid w:val="001A3C89"/>
    <w:rsid w:val="00212E84"/>
    <w:rsid w:val="0021499F"/>
    <w:rsid w:val="00230A9B"/>
    <w:rsid w:val="00235DD8"/>
    <w:rsid w:val="0024118F"/>
    <w:rsid w:val="00242E5A"/>
    <w:rsid w:val="0025152A"/>
    <w:rsid w:val="00254C84"/>
    <w:rsid w:val="00261302"/>
    <w:rsid w:val="002671C3"/>
    <w:rsid w:val="00280B44"/>
    <w:rsid w:val="00286985"/>
    <w:rsid w:val="002878C8"/>
    <w:rsid w:val="002A14AA"/>
    <w:rsid w:val="002B49CC"/>
    <w:rsid w:val="002C7013"/>
    <w:rsid w:val="002C763D"/>
    <w:rsid w:val="002C77AA"/>
    <w:rsid w:val="002D0471"/>
    <w:rsid w:val="002D5CA0"/>
    <w:rsid w:val="002E2269"/>
    <w:rsid w:val="00300401"/>
    <w:rsid w:val="00312759"/>
    <w:rsid w:val="00346E12"/>
    <w:rsid w:val="0035018E"/>
    <w:rsid w:val="00354581"/>
    <w:rsid w:val="003643AF"/>
    <w:rsid w:val="0036531D"/>
    <w:rsid w:val="00366E6F"/>
    <w:rsid w:val="003830A0"/>
    <w:rsid w:val="003A2B6F"/>
    <w:rsid w:val="003B3597"/>
    <w:rsid w:val="003C312A"/>
    <w:rsid w:val="003F1A04"/>
    <w:rsid w:val="00403FF5"/>
    <w:rsid w:val="004304EB"/>
    <w:rsid w:val="0043160A"/>
    <w:rsid w:val="00431A03"/>
    <w:rsid w:val="00452126"/>
    <w:rsid w:val="00466105"/>
    <w:rsid w:val="00467BC4"/>
    <w:rsid w:val="0047313A"/>
    <w:rsid w:val="00475CE3"/>
    <w:rsid w:val="00476B5C"/>
    <w:rsid w:val="004A1956"/>
    <w:rsid w:val="004B09A2"/>
    <w:rsid w:val="004B4BD3"/>
    <w:rsid w:val="004C40B0"/>
    <w:rsid w:val="004C4DF0"/>
    <w:rsid w:val="00502AE5"/>
    <w:rsid w:val="00515552"/>
    <w:rsid w:val="0052105C"/>
    <w:rsid w:val="0052752D"/>
    <w:rsid w:val="00530B0C"/>
    <w:rsid w:val="005423CE"/>
    <w:rsid w:val="00542A4E"/>
    <w:rsid w:val="005454BB"/>
    <w:rsid w:val="00556956"/>
    <w:rsid w:val="005741AD"/>
    <w:rsid w:val="00591B7D"/>
    <w:rsid w:val="005A1F09"/>
    <w:rsid w:val="005A6E7E"/>
    <w:rsid w:val="005C5A47"/>
    <w:rsid w:val="005C693B"/>
    <w:rsid w:val="005D223A"/>
    <w:rsid w:val="005D6513"/>
    <w:rsid w:val="006005D5"/>
    <w:rsid w:val="00611DA0"/>
    <w:rsid w:val="00641B08"/>
    <w:rsid w:val="0066246C"/>
    <w:rsid w:val="00663B29"/>
    <w:rsid w:val="0068060D"/>
    <w:rsid w:val="00692982"/>
    <w:rsid w:val="006A1F47"/>
    <w:rsid w:val="006B7294"/>
    <w:rsid w:val="006C47F9"/>
    <w:rsid w:val="006C4F0F"/>
    <w:rsid w:val="006E5E2F"/>
    <w:rsid w:val="006E6393"/>
    <w:rsid w:val="006E7395"/>
    <w:rsid w:val="007011F3"/>
    <w:rsid w:val="00702AAF"/>
    <w:rsid w:val="00705B84"/>
    <w:rsid w:val="007249A3"/>
    <w:rsid w:val="00750B0E"/>
    <w:rsid w:val="007544F4"/>
    <w:rsid w:val="00762E07"/>
    <w:rsid w:val="00765D5B"/>
    <w:rsid w:val="007667EF"/>
    <w:rsid w:val="00770FDE"/>
    <w:rsid w:val="007855EC"/>
    <w:rsid w:val="007863AC"/>
    <w:rsid w:val="00794D7E"/>
    <w:rsid w:val="007A5966"/>
    <w:rsid w:val="007B31DC"/>
    <w:rsid w:val="007C7A0B"/>
    <w:rsid w:val="007F3FC6"/>
    <w:rsid w:val="007F46DE"/>
    <w:rsid w:val="00811793"/>
    <w:rsid w:val="00821F2A"/>
    <w:rsid w:val="008348B6"/>
    <w:rsid w:val="008646D3"/>
    <w:rsid w:val="008676DC"/>
    <w:rsid w:val="008724A6"/>
    <w:rsid w:val="00877CAB"/>
    <w:rsid w:val="008832AA"/>
    <w:rsid w:val="00885777"/>
    <w:rsid w:val="008A00BB"/>
    <w:rsid w:val="008E7CE9"/>
    <w:rsid w:val="0090041A"/>
    <w:rsid w:val="00903A18"/>
    <w:rsid w:val="009119BA"/>
    <w:rsid w:val="009361C7"/>
    <w:rsid w:val="0093673C"/>
    <w:rsid w:val="00936A8B"/>
    <w:rsid w:val="00942C6A"/>
    <w:rsid w:val="009435E6"/>
    <w:rsid w:val="0098685A"/>
    <w:rsid w:val="009A0E5C"/>
    <w:rsid w:val="009B23D6"/>
    <w:rsid w:val="009B3D47"/>
    <w:rsid w:val="009C4BCA"/>
    <w:rsid w:val="009F2418"/>
    <w:rsid w:val="00A019FB"/>
    <w:rsid w:val="00A02FFE"/>
    <w:rsid w:val="00A205AE"/>
    <w:rsid w:val="00A259F1"/>
    <w:rsid w:val="00A33373"/>
    <w:rsid w:val="00A36CDE"/>
    <w:rsid w:val="00A37881"/>
    <w:rsid w:val="00A379AF"/>
    <w:rsid w:val="00A467F0"/>
    <w:rsid w:val="00A5025E"/>
    <w:rsid w:val="00A5660C"/>
    <w:rsid w:val="00A65ABD"/>
    <w:rsid w:val="00A67D7D"/>
    <w:rsid w:val="00A96BB0"/>
    <w:rsid w:val="00A97E3C"/>
    <w:rsid w:val="00AB1688"/>
    <w:rsid w:val="00AB4B2A"/>
    <w:rsid w:val="00AB5F8C"/>
    <w:rsid w:val="00AD0202"/>
    <w:rsid w:val="00AE3A04"/>
    <w:rsid w:val="00AF511A"/>
    <w:rsid w:val="00B11D9E"/>
    <w:rsid w:val="00B1378C"/>
    <w:rsid w:val="00B20B3A"/>
    <w:rsid w:val="00B22CB2"/>
    <w:rsid w:val="00B452FC"/>
    <w:rsid w:val="00B540E5"/>
    <w:rsid w:val="00B54FE9"/>
    <w:rsid w:val="00B70243"/>
    <w:rsid w:val="00B87D1B"/>
    <w:rsid w:val="00B958EB"/>
    <w:rsid w:val="00B96227"/>
    <w:rsid w:val="00BC3BA3"/>
    <w:rsid w:val="00BD24C2"/>
    <w:rsid w:val="00BE7BCC"/>
    <w:rsid w:val="00BF412D"/>
    <w:rsid w:val="00C12268"/>
    <w:rsid w:val="00C20C85"/>
    <w:rsid w:val="00C238C0"/>
    <w:rsid w:val="00C24CB9"/>
    <w:rsid w:val="00C30558"/>
    <w:rsid w:val="00C346F1"/>
    <w:rsid w:val="00C444A4"/>
    <w:rsid w:val="00C470E9"/>
    <w:rsid w:val="00C52CD9"/>
    <w:rsid w:val="00C7439A"/>
    <w:rsid w:val="00C967BC"/>
    <w:rsid w:val="00CA06B9"/>
    <w:rsid w:val="00CC7AAD"/>
    <w:rsid w:val="00CD32C0"/>
    <w:rsid w:val="00CD44A5"/>
    <w:rsid w:val="00CE3535"/>
    <w:rsid w:val="00CF2499"/>
    <w:rsid w:val="00CF688D"/>
    <w:rsid w:val="00D16116"/>
    <w:rsid w:val="00D16C06"/>
    <w:rsid w:val="00D224DC"/>
    <w:rsid w:val="00D32CF2"/>
    <w:rsid w:val="00D36F4D"/>
    <w:rsid w:val="00D65797"/>
    <w:rsid w:val="00D67616"/>
    <w:rsid w:val="00D73A2F"/>
    <w:rsid w:val="00D749F7"/>
    <w:rsid w:val="00D82434"/>
    <w:rsid w:val="00D867F7"/>
    <w:rsid w:val="00DA293E"/>
    <w:rsid w:val="00DA37E0"/>
    <w:rsid w:val="00DA4B02"/>
    <w:rsid w:val="00DA7CE9"/>
    <w:rsid w:val="00DC4648"/>
    <w:rsid w:val="00DD1867"/>
    <w:rsid w:val="00DE0265"/>
    <w:rsid w:val="00DE58C5"/>
    <w:rsid w:val="00DF0ADF"/>
    <w:rsid w:val="00DF10B7"/>
    <w:rsid w:val="00E07CAD"/>
    <w:rsid w:val="00E114E3"/>
    <w:rsid w:val="00E3133C"/>
    <w:rsid w:val="00E33295"/>
    <w:rsid w:val="00E430E3"/>
    <w:rsid w:val="00E448C5"/>
    <w:rsid w:val="00E45A5B"/>
    <w:rsid w:val="00E7140A"/>
    <w:rsid w:val="00E82FB6"/>
    <w:rsid w:val="00EA1CDC"/>
    <w:rsid w:val="00ED16AE"/>
    <w:rsid w:val="00EE2C03"/>
    <w:rsid w:val="00EE32D5"/>
    <w:rsid w:val="00EF0CE1"/>
    <w:rsid w:val="00EF227F"/>
    <w:rsid w:val="00F04404"/>
    <w:rsid w:val="00F0716E"/>
    <w:rsid w:val="00F20D36"/>
    <w:rsid w:val="00F2187C"/>
    <w:rsid w:val="00F43B77"/>
    <w:rsid w:val="00F442D3"/>
    <w:rsid w:val="00F70ADA"/>
    <w:rsid w:val="00F73B78"/>
    <w:rsid w:val="00F76594"/>
    <w:rsid w:val="00F77A92"/>
    <w:rsid w:val="00F866DD"/>
    <w:rsid w:val="00F90BF2"/>
    <w:rsid w:val="00FB2C20"/>
    <w:rsid w:val="00FB420B"/>
    <w:rsid w:val="00FC0B9E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3E73"/>
  <w15:docId w15:val="{777F4D34-8D23-4E6E-8281-AC95A58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5"/>
    <w:pPr>
      <w:spacing w:line="276" w:lineRule="auto"/>
      <w:ind w:left="720"/>
      <w:contextualSpacing/>
    </w:pPr>
    <w:rPr>
      <w:rFonts w:ascii="Arial" w:eastAsia="Arial" w:hAnsi="Arial" w:cs="Arial"/>
      <w:color w:val="000000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EA"/>
  </w:style>
  <w:style w:type="paragraph" w:styleId="Footer">
    <w:name w:val="footer"/>
    <w:basedOn w:val="Normal"/>
    <w:link w:val="FooterChar"/>
    <w:uiPriority w:val="99"/>
    <w:unhideWhenUsed/>
    <w:rsid w:val="0015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EA"/>
  </w:style>
  <w:style w:type="table" w:styleId="TableGrid">
    <w:name w:val="Table Grid"/>
    <w:basedOn w:val="TableNormal"/>
    <w:uiPriority w:val="39"/>
    <w:rsid w:val="0025152A"/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7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73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734"/>
    <w:rPr>
      <w:b/>
      <w:bCs/>
      <w:sz w:val="24"/>
      <w:szCs w:val="24"/>
    </w:rPr>
  </w:style>
  <w:style w:type="paragraph" w:customStyle="1" w:styleId="Default">
    <w:name w:val="Default"/>
    <w:rsid w:val="00197558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rsid w:val="002878C8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kern w:val="0"/>
      <w:sz w:val="42"/>
    </w:rPr>
  </w:style>
  <w:style w:type="character" w:customStyle="1" w:styleId="TitleChar">
    <w:name w:val="Title Char"/>
    <w:basedOn w:val="DefaultParagraphFont"/>
    <w:link w:val="Title"/>
    <w:rsid w:val="002878C8"/>
    <w:rPr>
      <w:rFonts w:ascii="Trebuchet MS" w:eastAsia="Trebuchet MS" w:hAnsi="Trebuchet MS" w:cs="Trebuchet MS"/>
      <w:color w:val="000000"/>
      <w:kern w:val="0"/>
      <w:sz w:val="42"/>
    </w:rPr>
  </w:style>
  <w:style w:type="character" w:styleId="Hyperlink">
    <w:name w:val="Hyperlink"/>
    <w:basedOn w:val="DefaultParagraphFont"/>
    <w:uiPriority w:val="99"/>
    <w:unhideWhenUsed/>
    <w:rsid w:val="002149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99F"/>
    <w:pPr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4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67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eers\AppData\Local\Microsoft\Windows\Temporary%20Internet%20Files\Content.IE5\UYIOHRRP\lou.rohman@merrill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D562-0DB1-434A-AD02-2D75BEDD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17</cp:revision>
  <dcterms:created xsi:type="dcterms:W3CDTF">2018-04-19T13:46:00Z</dcterms:created>
  <dcterms:modified xsi:type="dcterms:W3CDTF">2018-05-22T16:57:00Z</dcterms:modified>
</cp:coreProperties>
</file>