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1B9DF463" w:rsidR="00354581" w:rsidRDefault="003D5BBE">
      <w:pPr>
        <w:spacing w:line="288" w:lineRule="auto"/>
        <w:jc w:val="center"/>
        <w:rPr>
          <w:rFonts w:ascii="Arial" w:eastAsia="Arial" w:hAnsi="Arial" w:cs="Arial"/>
          <w:b/>
          <w:sz w:val="24"/>
        </w:rPr>
      </w:pPr>
      <w:r>
        <w:rPr>
          <w:rFonts w:ascii="Arial" w:eastAsia="Arial" w:hAnsi="Arial" w:cs="Arial"/>
          <w:b/>
          <w:sz w:val="24"/>
        </w:rPr>
        <w:t>March 23</w:t>
      </w:r>
      <w:r w:rsidR="008D21B3">
        <w:rPr>
          <w:rFonts w:ascii="Arial" w:eastAsia="Arial" w:hAnsi="Arial" w:cs="Arial"/>
          <w:b/>
          <w:sz w:val="24"/>
        </w:rPr>
        <w:t>, 2022</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38987FEC"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Jennifer Liu</w:t>
      </w:r>
      <w:r w:rsidR="00234097">
        <w:rPr>
          <w:rFonts w:ascii="Arial" w:eastAsia="Arial" w:hAnsi="Arial" w:cs="Arial"/>
          <w:sz w:val="22"/>
        </w:rPr>
        <w:t>,</w:t>
      </w:r>
      <w:r w:rsidR="00234097" w:rsidRPr="0030404C">
        <w:rPr>
          <w:rFonts w:ascii="Arial" w:eastAsia="Arial" w:hAnsi="Arial" w:cs="Arial"/>
          <w:sz w:val="22"/>
        </w:rPr>
        <w:t xml:space="preserve"> </w:t>
      </w:r>
      <w:r w:rsidR="00E61700">
        <w:rPr>
          <w:rFonts w:ascii="Arial" w:eastAsia="Arial" w:hAnsi="Arial" w:cs="Arial"/>
          <w:sz w:val="22"/>
        </w:rPr>
        <w:t>Charles Kessler</w:t>
      </w:r>
      <w:r w:rsidR="005D009B">
        <w:rPr>
          <w:rFonts w:ascii="Arial" w:eastAsia="Arial" w:hAnsi="Arial" w:cs="Arial"/>
          <w:sz w:val="22"/>
        </w:rPr>
        <w:t>,</w:t>
      </w:r>
      <w:r w:rsidR="00E61700">
        <w:rPr>
          <w:rFonts w:ascii="Arial" w:eastAsia="Arial" w:hAnsi="Arial" w:cs="Arial"/>
          <w:sz w:val="22"/>
        </w:rPr>
        <w:t xml:space="preserve"> </w:t>
      </w:r>
      <w:r w:rsidR="005D009B">
        <w:rPr>
          <w:rFonts w:ascii="Arial" w:eastAsia="Arial" w:hAnsi="Arial" w:cs="Arial"/>
          <w:sz w:val="22"/>
        </w:rPr>
        <w:t xml:space="preserve">Pranav </w:t>
      </w:r>
      <w:proofErr w:type="spellStart"/>
      <w:r w:rsidR="005D009B">
        <w:rPr>
          <w:rFonts w:ascii="Arial" w:eastAsia="Arial" w:hAnsi="Arial" w:cs="Arial"/>
          <w:sz w:val="22"/>
        </w:rPr>
        <w:t>Ghai</w:t>
      </w:r>
      <w:proofErr w:type="spellEnd"/>
      <w:r w:rsidR="005D009B">
        <w:rPr>
          <w:rFonts w:ascii="Arial" w:eastAsia="Arial" w:hAnsi="Arial" w:cs="Arial"/>
          <w:sz w:val="22"/>
        </w:rPr>
        <w:t>,</w:t>
      </w:r>
      <w:r w:rsidR="005D009B" w:rsidRPr="00E61700">
        <w:rPr>
          <w:rFonts w:ascii="Arial" w:eastAsia="Arial" w:hAnsi="Arial" w:cs="Arial"/>
          <w:sz w:val="22"/>
        </w:rPr>
        <w:t xml:space="preserve"> </w:t>
      </w:r>
      <w:r w:rsidR="009817CB">
        <w:rPr>
          <w:rFonts w:ascii="Arial" w:eastAsia="Arial" w:hAnsi="Arial" w:cs="Arial"/>
          <w:sz w:val="22"/>
        </w:rPr>
        <w:t>Glad Sully</w:t>
      </w:r>
      <w:r w:rsidR="007166C7">
        <w:rPr>
          <w:rFonts w:ascii="Arial" w:eastAsia="Arial" w:hAnsi="Arial" w:cs="Arial"/>
          <w:sz w:val="22"/>
        </w:rPr>
        <w:t>,</w:t>
      </w:r>
      <w:r w:rsidR="00EE1E30" w:rsidRPr="00EE1E30">
        <w:rPr>
          <w:rFonts w:ascii="Arial" w:eastAsia="Arial" w:hAnsi="Arial" w:cs="Arial"/>
          <w:sz w:val="22"/>
        </w:rPr>
        <w:t xml:space="preserve"> </w:t>
      </w:r>
      <w:r w:rsidR="00EE1E30">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48418DD2"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163718">
        <w:rPr>
          <w:rFonts w:ascii="Arial" w:eastAsia="Arial" w:hAnsi="Arial" w:cs="Arial"/>
          <w:sz w:val="22"/>
        </w:rPr>
        <w:t xml:space="preserve"> </w:t>
      </w:r>
      <w:r w:rsidR="003D5BBE">
        <w:rPr>
          <w:rFonts w:ascii="Arial" w:eastAsia="Arial" w:hAnsi="Arial" w:cs="Arial"/>
          <w:sz w:val="22"/>
        </w:rPr>
        <w:t xml:space="preserve">Mohini Singh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1EB5670"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816C8F">
        <w:rPr>
          <w:rFonts w:ascii="Arial" w:eastAsia="Arial" w:hAnsi="Arial" w:cs="Arial"/>
          <w:sz w:val="22"/>
        </w:rPr>
        <w:t>, Michell</w:t>
      </w:r>
      <w:r w:rsidR="00157ECE">
        <w:rPr>
          <w:rFonts w:ascii="Arial" w:eastAsia="Arial" w:hAnsi="Arial" w:cs="Arial"/>
          <w:sz w:val="22"/>
        </w:rPr>
        <w:t>e</w:t>
      </w:r>
      <w:r w:rsidR="00816C8F">
        <w:rPr>
          <w:rFonts w:ascii="Arial" w:eastAsia="Arial" w:hAnsi="Arial" w:cs="Arial"/>
          <w:sz w:val="22"/>
        </w:rPr>
        <w:t xml:space="preserv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7681889" w:rsidR="00354581" w:rsidRDefault="00770FDE">
      <w:pPr>
        <w:spacing w:line="332" w:lineRule="auto"/>
        <w:rPr>
          <w:rFonts w:ascii="Arial" w:eastAsia="Arial" w:hAnsi="Arial" w:cs="Arial"/>
          <w:sz w:val="22"/>
        </w:rPr>
      </w:pPr>
      <w:r>
        <w:rPr>
          <w:rFonts w:ascii="Arial" w:eastAsia="Arial" w:hAnsi="Arial" w:cs="Arial"/>
          <w:sz w:val="22"/>
        </w:rPr>
        <w:t>Louis Matherne</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C97CEEA"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and </w:t>
      </w:r>
      <w:r w:rsidR="00674D5F">
        <w:t>introduce</w:t>
      </w:r>
      <w:r>
        <w:t>d</w:t>
      </w:r>
      <w:r w:rsidR="001F7ADF">
        <w:t xml:space="preserve"> </w:t>
      </w:r>
      <w:r w:rsidR="00A15D6E">
        <w:t>the agenda.</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57F388A"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3D5BBE">
        <w:rPr>
          <w:rFonts w:eastAsia="Times New Roman"/>
        </w:rPr>
        <w:t>January 1</w:t>
      </w:r>
      <w:r w:rsidR="008F1DF5">
        <w:rPr>
          <w:rFonts w:eastAsia="Times New Roman"/>
        </w:rPr>
        <w:t>9</w:t>
      </w:r>
      <w:r w:rsidR="004D0930">
        <w:rPr>
          <w:rFonts w:eastAsia="Times New Roman"/>
        </w:rPr>
        <w:t xml:space="preserve">, </w:t>
      </w:r>
      <w:proofErr w:type="gramStart"/>
      <w:r w:rsidR="004D0930">
        <w:rPr>
          <w:rFonts w:eastAsia="Times New Roman"/>
        </w:rPr>
        <w:t>20</w:t>
      </w:r>
      <w:r w:rsidR="00FE35FE">
        <w:rPr>
          <w:rFonts w:eastAsia="Times New Roman"/>
        </w:rPr>
        <w:t>2</w:t>
      </w:r>
      <w:r w:rsidR="003D5BBE">
        <w:rPr>
          <w:rFonts w:eastAsia="Times New Roman"/>
        </w:rPr>
        <w:t>2</w:t>
      </w:r>
      <w:proofErr w:type="gramEnd"/>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57264D">
        <w:rPr>
          <w:rFonts w:eastAsia="Times New Roman"/>
        </w:rPr>
        <w:t>Campbell Pryde</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57264D">
        <w:t>Charles Kessler</w:t>
      </w:r>
      <w:r w:rsidR="00D91EDB" w:rsidRPr="00D91EDB">
        <w:rPr>
          <w:rFonts w:eastAsia="Times New Roman"/>
        </w:rPr>
        <w:t xml:space="preserve"> </w:t>
      </w:r>
      <w:r w:rsidR="00B67FBA">
        <w:rPr>
          <w:rFonts w:eastAsia="Times New Roman"/>
        </w:rPr>
        <w:t xml:space="preserve"> </w:t>
      </w:r>
    </w:p>
    <w:p w14:paraId="358805D7" w14:textId="6689A5FE"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1D5D68">
        <w:rPr>
          <w:rFonts w:eastAsia="Times New Roman"/>
          <w:bCs/>
          <w:color w:val="auto"/>
          <w:szCs w:val="22"/>
        </w:rPr>
        <w:t>7</w:t>
      </w:r>
      <w:r w:rsidRPr="009E29DC">
        <w:rPr>
          <w:rFonts w:eastAsia="Times New Roman"/>
          <w:bCs/>
          <w:color w:val="auto"/>
          <w:szCs w:val="22"/>
        </w:rPr>
        <w:t>, 0 Against)</w:t>
      </w:r>
    </w:p>
    <w:p w14:paraId="3E54DDDA" w14:textId="56F57469"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3D5BBE">
        <w:rPr>
          <w:rFonts w:eastAsia="Times New Roman"/>
        </w:rPr>
        <w:t>January 1</w:t>
      </w:r>
      <w:r w:rsidR="008F1DF5">
        <w:rPr>
          <w:rFonts w:eastAsia="Times New Roman"/>
        </w:rPr>
        <w:t>9</w:t>
      </w:r>
      <w:r w:rsidR="00FE35FE">
        <w:rPr>
          <w:rFonts w:eastAsia="Times New Roman"/>
        </w:rPr>
        <w:t xml:space="preserve">, </w:t>
      </w:r>
      <w:proofErr w:type="gramStart"/>
      <w:r w:rsidR="00FE35FE">
        <w:rPr>
          <w:rFonts w:eastAsia="Times New Roman"/>
        </w:rPr>
        <w:t>202</w:t>
      </w:r>
      <w:r w:rsidR="003D4A46">
        <w:rPr>
          <w:rFonts w:eastAsia="Times New Roman"/>
        </w:rPr>
        <w:t>2</w:t>
      </w:r>
      <w:proofErr w:type="gramEnd"/>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2528ECD6" w14:textId="70568044"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of Version 1</w:t>
      </w:r>
      <w:r w:rsidR="003D5BBE">
        <w:rPr>
          <w:rFonts w:ascii="Arial" w:eastAsia="Arial" w:hAnsi="Arial" w:cs="Arial"/>
          <w:b/>
          <w:sz w:val="22"/>
        </w:rPr>
        <w:t>8</w:t>
      </w:r>
      <w:r w:rsidRPr="009B296F">
        <w:rPr>
          <w:rFonts w:ascii="Arial" w:eastAsia="Arial" w:hAnsi="Arial" w:cs="Arial"/>
          <w:b/>
          <w:sz w:val="22"/>
        </w:rPr>
        <w:t xml:space="preserve"> DQC Rules</w:t>
      </w:r>
      <w:r w:rsidR="00AF06E1">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359E564C" w14:textId="05B7C192" w:rsidR="00332634" w:rsidRPr="00E61700" w:rsidRDefault="004E51FF" w:rsidP="000F10FC">
      <w:pPr>
        <w:pStyle w:val="ListParagraph"/>
        <w:numPr>
          <w:ilvl w:val="0"/>
          <w:numId w:val="3"/>
        </w:numPr>
        <w:spacing w:line="332" w:lineRule="auto"/>
        <w:rPr>
          <w:b/>
        </w:rPr>
      </w:pPr>
      <w:r>
        <w:rPr>
          <w:bCs/>
        </w:rPr>
        <w:t>Campbell</w:t>
      </w:r>
      <w:r w:rsidR="00C64465">
        <w:rPr>
          <w:bCs/>
        </w:rPr>
        <w:t xml:space="preserve"> </w:t>
      </w:r>
      <w:r w:rsidR="00014A38">
        <w:rPr>
          <w:bCs/>
        </w:rPr>
        <w:t xml:space="preserve">introduced the rules that cover equity method investments, </w:t>
      </w:r>
      <w:proofErr w:type="gramStart"/>
      <w:r w:rsidR="00014A38">
        <w:rPr>
          <w:bCs/>
        </w:rPr>
        <w:t>investments</w:t>
      </w:r>
      <w:proofErr w:type="gramEnd"/>
      <w:r w:rsidR="00014A38">
        <w:rPr>
          <w:bCs/>
        </w:rPr>
        <w:t xml:space="preserve"> and extensible enumerations.</w:t>
      </w:r>
    </w:p>
    <w:p w14:paraId="410D422C" w14:textId="5164C53A" w:rsidR="00FD128C" w:rsidRPr="00FD128C" w:rsidRDefault="00FD128C" w:rsidP="00FD128C">
      <w:pPr>
        <w:pStyle w:val="ListParagraph"/>
        <w:numPr>
          <w:ilvl w:val="1"/>
          <w:numId w:val="3"/>
        </w:numPr>
      </w:pPr>
      <w:r w:rsidRPr="00FD128C">
        <w:t xml:space="preserve">DQC_0133 - </w:t>
      </w:r>
      <w:bookmarkStart w:id="1" w:name="_9cqjz1me3vop" w:colFirst="0" w:colLast="0"/>
      <w:bookmarkEnd w:id="1"/>
      <w:r w:rsidRPr="00FD128C">
        <w:t>Equity Method Investment Reporting - The purpose of the rule is to ensure that filers consistently report Equity Method Investment (EMI) data.  This rule has three components to help filers to ensure that they are consistent with the guidance issued by the FASB “Dimensional Modeling for Disclosures of Consolidated and Nonconsolidated Entities”.</w:t>
      </w:r>
      <w:r w:rsidR="003A0C0B">
        <w:t xml:space="preserve"> </w:t>
      </w:r>
      <w:r w:rsidR="001B00B8">
        <w:t xml:space="preserve">(2,000 filings were analyzed each component of the rule produced </w:t>
      </w:r>
      <w:r w:rsidR="003A0C0B">
        <w:t>1,300</w:t>
      </w:r>
      <w:r w:rsidR="001B00B8">
        <w:t>,</w:t>
      </w:r>
      <w:r w:rsidR="003A0C0B">
        <w:t xml:space="preserve"> </w:t>
      </w:r>
      <w:r w:rsidR="00F17250">
        <w:t xml:space="preserve">774, </w:t>
      </w:r>
      <w:r w:rsidR="001B00B8">
        <w:t xml:space="preserve">and </w:t>
      </w:r>
      <w:r w:rsidR="00F17250">
        <w:t>356 errors</w:t>
      </w:r>
      <w:r w:rsidR="001B00B8">
        <w:t>, respectively)</w:t>
      </w:r>
      <w:r w:rsidR="00F17250">
        <w:t xml:space="preserve"> </w:t>
      </w:r>
    </w:p>
    <w:p w14:paraId="34B05FE9" w14:textId="3074D6BC" w:rsidR="00FD128C" w:rsidRPr="00FD128C" w:rsidRDefault="00FD128C" w:rsidP="00FD128C">
      <w:pPr>
        <w:pStyle w:val="ListParagraph"/>
        <w:numPr>
          <w:ilvl w:val="1"/>
          <w:numId w:val="3"/>
        </w:numPr>
      </w:pPr>
      <w:r w:rsidRPr="00FD128C">
        <w:lastRenderedPageBreak/>
        <w:t xml:space="preserve">DQC_0134 - Investment Schedule - Financial Instrument Axis - The purpose of the rule is to ensure that filers report values associated with the element </w:t>
      </w:r>
      <w:proofErr w:type="spellStart"/>
      <w:r w:rsidRPr="00FD128C">
        <w:t>AvailableForSaleDebtSecuritiesAmortizedCostBasis</w:t>
      </w:r>
      <w:proofErr w:type="spellEnd"/>
      <w:r w:rsidRPr="00FD128C">
        <w:t xml:space="preserve"> with the correct dimensions.  The rule is intended to align filer disclosures with the guidance defined by the FASB in “Financial Instruments Debt Securities”. </w:t>
      </w:r>
      <w:r w:rsidR="003A0C0B">
        <w:t>(</w:t>
      </w:r>
      <w:r w:rsidR="00F17250">
        <w:t>448 error</w:t>
      </w:r>
      <w:r w:rsidR="001B00B8">
        <w:t>s out of 2000 filings analyzed</w:t>
      </w:r>
      <w:r w:rsidR="003A0C0B">
        <w:t>)</w:t>
      </w:r>
    </w:p>
    <w:p w14:paraId="6D5C43E2" w14:textId="217FCE5E" w:rsidR="00FD128C" w:rsidRPr="00FD128C" w:rsidRDefault="00FD128C" w:rsidP="00FD128C">
      <w:pPr>
        <w:pStyle w:val="ListParagraph"/>
        <w:numPr>
          <w:ilvl w:val="1"/>
          <w:numId w:val="3"/>
        </w:numPr>
      </w:pPr>
      <w:r w:rsidRPr="00FD128C">
        <w:t xml:space="preserve">DQC_0135 - Extensible Enumerations for Financial Statement Captions – The FASB has defined </w:t>
      </w:r>
      <w:proofErr w:type="gramStart"/>
      <w:r w:rsidRPr="00FD128C">
        <w:t>a number of</w:t>
      </w:r>
      <w:proofErr w:type="gramEnd"/>
      <w:r w:rsidRPr="00FD128C">
        <w:t xml:space="preserve"> elements that if reported and are not included in the face financial statements, filers need to indicate which financial statement caption the amounts appear (these elements have been identified in the US GAAP taxonomy as extensible enumeration elements). This rule has two components. The first component identifies an error if the company has made a disclosure and has not included the caption where the amount appears in the financial statements.  The second reports an error for a fact that includes the Balance Sheet and Income Statement Location axis and does not have an associated extensible enumeration using the same dimensions</w:t>
      </w:r>
      <w:r w:rsidR="00465976">
        <w:t>.</w:t>
      </w:r>
      <w:r w:rsidR="001B00B8">
        <w:t xml:space="preserve"> </w:t>
      </w:r>
      <w:r w:rsidR="00AF7882">
        <w:t xml:space="preserve">Campbell mentioned that a small amount of errors were found in the sample analyzed because 2021 </w:t>
      </w:r>
      <w:proofErr w:type="gramStart"/>
      <w:r w:rsidR="00AF7882">
        <w:t xml:space="preserve">taxonomy </w:t>
      </w:r>
      <w:r w:rsidR="003D4A46">
        <w:t xml:space="preserve"> includes</w:t>
      </w:r>
      <w:proofErr w:type="gramEnd"/>
      <w:r w:rsidR="003D4A46">
        <w:t xml:space="preserve"> fewer elements that are subject to the validation</w:t>
      </w:r>
      <w:r w:rsidR="00AF7882">
        <w:t xml:space="preserve">, but Campbell expects the errors will increase due to the fact that the FASB has recently added </w:t>
      </w:r>
      <w:r w:rsidR="003D4A46">
        <w:t xml:space="preserve">more elements that require using </w:t>
      </w:r>
      <w:r w:rsidR="00AF7882">
        <w:t xml:space="preserve">extensible enumerations to the 2022 taxonomy.  The rule excludes leases, as there is already a DQC rule dedicated to leases. </w:t>
      </w:r>
    </w:p>
    <w:p w14:paraId="07A537EE" w14:textId="3B0CCE7B" w:rsidR="00FD128C" w:rsidRDefault="00FD128C" w:rsidP="00FD128C">
      <w:pPr>
        <w:pStyle w:val="ListParagraph"/>
        <w:numPr>
          <w:ilvl w:val="1"/>
          <w:numId w:val="3"/>
        </w:numPr>
      </w:pPr>
      <w:r w:rsidRPr="00FD128C">
        <w:t xml:space="preserve">DQC_0136 - Caption Value Matches Financial Statements - </w:t>
      </w:r>
      <w:r w:rsidRPr="007413F1">
        <w:t xml:space="preserve">This rule is intended to identify those cases where the company uses an extensible list item that refers to a Balance Sheet or Income Statement line item that does not exist on the referenced Statement. The rule checks that the values provided for the extensible list items defined in the taxonomy are legitimate financial statement line items that appear in the presentation </w:t>
      </w:r>
      <w:proofErr w:type="spellStart"/>
      <w:r w:rsidRPr="007413F1">
        <w:t>linkbase</w:t>
      </w:r>
      <w:proofErr w:type="spellEnd"/>
      <w:r w:rsidR="003A0C0B">
        <w:t>. (</w:t>
      </w:r>
      <w:r w:rsidR="00AF7882">
        <w:t>89</w:t>
      </w:r>
      <w:r w:rsidR="003A0C0B">
        <w:t xml:space="preserve"> errors out of </w:t>
      </w:r>
      <w:r w:rsidR="00AF7882">
        <w:t>the sample of filings analyzed</w:t>
      </w:r>
      <w:r w:rsidR="003A0C0B">
        <w:t>)</w:t>
      </w:r>
      <w:r w:rsidR="009E7533">
        <w:t>.</w:t>
      </w:r>
    </w:p>
    <w:p w14:paraId="755A189A" w14:textId="283E3CD8" w:rsidR="009E7533" w:rsidRDefault="009E7533" w:rsidP="00FD128C">
      <w:pPr>
        <w:pStyle w:val="ListParagraph"/>
        <w:numPr>
          <w:ilvl w:val="1"/>
          <w:numId w:val="3"/>
        </w:numPr>
      </w:pPr>
      <w:r>
        <w:t>Campbell mentioned that there will be an additional rule related to ex</w:t>
      </w:r>
      <w:r w:rsidR="007166C7">
        <w:t>tensible</w:t>
      </w:r>
      <w:r>
        <w:t xml:space="preserve"> enum</w:t>
      </w:r>
      <w:r w:rsidR="007166C7">
        <w:t>erations</w:t>
      </w:r>
      <w:r w:rsidR="009C65AA">
        <w:t xml:space="preserve"> for the balance sheet and income statement location axis.</w:t>
      </w:r>
      <w:r w:rsidR="00620724">
        <w:t xml:space="preserve">  Campbell is still testing </w:t>
      </w:r>
      <w:r w:rsidR="009C65AA">
        <w:t xml:space="preserve">the rule and plans to </w:t>
      </w:r>
      <w:r w:rsidR="00620724">
        <w:t>add</w:t>
      </w:r>
      <w:r w:rsidR="009C65AA">
        <w:t xml:space="preserve"> it</w:t>
      </w:r>
      <w:r w:rsidR="00620724">
        <w:t xml:space="preserve"> to version 18 before public exposure.  </w:t>
      </w:r>
    </w:p>
    <w:p w14:paraId="1F9D3852" w14:textId="77D543EE" w:rsidR="00620724" w:rsidRPr="00FD128C" w:rsidRDefault="00620724" w:rsidP="00FD128C">
      <w:pPr>
        <w:pStyle w:val="ListParagraph"/>
        <w:numPr>
          <w:ilvl w:val="1"/>
          <w:numId w:val="3"/>
        </w:numPr>
      </w:pPr>
      <w:r>
        <w:t>Working group reviewing the rules and the DQC will be requested to approve rules for public exposure via email.</w:t>
      </w:r>
    </w:p>
    <w:p w14:paraId="4AA1E56B" w14:textId="1BF92BAD" w:rsidR="00DE0CF3" w:rsidRPr="00FD128C" w:rsidRDefault="00DE0CF3" w:rsidP="00AF7882">
      <w:pPr>
        <w:pStyle w:val="ListParagraph"/>
        <w:spacing w:line="332" w:lineRule="auto"/>
        <w:ind w:left="360"/>
        <w:rPr>
          <w:b/>
        </w:rPr>
      </w:pPr>
    </w:p>
    <w:p w14:paraId="7A8AB232" w14:textId="406C6260" w:rsidR="00F407A7" w:rsidRDefault="000F21A0" w:rsidP="00F16DBB">
      <w:pPr>
        <w:spacing w:line="332" w:lineRule="auto"/>
        <w:rPr>
          <w:rFonts w:ascii="Arial" w:eastAsia="Arial" w:hAnsi="Arial" w:cs="Arial"/>
          <w:b/>
          <w:sz w:val="22"/>
        </w:rPr>
      </w:pPr>
      <w:r w:rsidRPr="000F21A0">
        <w:rPr>
          <w:rFonts w:ascii="Arial" w:eastAsia="Arial" w:hAnsi="Arial" w:cs="Arial"/>
          <w:b/>
          <w:sz w:val="22"/>
        </w:rPr>
        <w:t>Analysis of DQC errors by rule</w:t>
      </w:r>
    </w:p>
    <w:p w14:paraId="7FDDA7B3" w14:textId="77777777" w:rsidR="006B5247" w:rsidRPr="007E0633" w:rsidRDefault="006B5247" w:rsidP="006B5247">
      <w:pPr>
        <w:pStyle w:val="ListParagraph"/>
        <w:numPr>
          <w:ilvl w:val="0"/>
          <w:numId w:val="3"/>
        </w:numPr>
        <w:spacing w:line="332" w:lineRule="auto"/>
        <w:rPr>
          <w:b/>
        </w:rPr>
      </w:pPr>
      <w:r w:rsidRPr="007439E4">
        <w:rPr>
          <w:bCs/>
        </w:rPr>
        <w:t xml:space="preserve">Shelly </w:t>
      </w:r>
      <w:r>
        <w:rPr>
          <w:bCs/>
        </w:rPr>
        <w:t xml:space="preserve">presented results of the DQC rules.  91 DQC rules have been published to date (68 US GAAP, 14 IFRS, 9 relate to both US GAAP and IFRS).  </w:t>
      </w:r>
    </w:p>
    <w:p w14:paraId="75778CD6" w14:textId="77777777" w:rsidR="006B5247" w:rsidRDefault="006B5247" w:rsidP="006B5247">
      <w:pPr>
        <w:pStyle w:val="ListParagraph"/>
        <w:numPr>
          <w:ilvl w:val="0"/>
          <w:numId w:val="3"/>
        </w:numPr>
        <w:jc w:val="both"/>
        <w:rPr>
          <w:szCs w:val="22"/>
        </w:rPr>
      </w:pPr>
      <w:r>
        <w:rPr>
          <w:szCs w:val="22"/>
        </w:rPr>
        <w:t xml:space="preserve">Shelly presented the quarterly analysis of the trends of errors for 2020 and 2021 DQC rules.  There </w:t>
      </w:r>
      <w:proofErr w:type="gramStart"/>
      <w:r>
        <w:rPr>
          <w:szCs w:val="22"/>
        </w:rPr>
        <w:t>were</w:t>
      </w:r>
      <w:proofErr w:type="gramEnd"/>
      <w:r>
        <w:rPr>
          <w:szCs w:val="22"/>
        </w:rPr>
        <w:t xml:space="preserve"> a total of 17,117 errors in Q4. The rules with the top errors in Q4 2021 included:</w:t>
      </w:r>
    </w:p>
    <w:p w14:paraId="0662F60A" w14:textId="77777777" w:rsidR="006B5247" w:rsidRDefault="006B5247" w:rsidP="006B5247">
      <w:pPr>
        <w:pStyle w:val="ListParagraph"/>
        <w:numPr>
          <w:ilvl w:val="1"/>
          <w:numId w:val="3"/>
        </w:numPr>
        <w:jc w:val="both"/>
        <w:rPr>
          <w:szCs w:val="22"/>
        </w:rPr>
      </w:pPr>
      <w:r>
        <w:rPr>
          <w:szCs w:val="22"/>
        </w:rPr>
        <w:t xml:space="preserve">Axis with Inappropriate Members - DQC_0001 </w:t>
      </w:r>
    </w:p>
    <w:p w14:paraId="1D85A0B2" w14:textId="77777777" w:rsidR="00740AD2" w:rsidRPr="00740AD2" w:rsidRDefault="00310738" w:rsidP="006B5247">
      <w:pPr>
        <w:pStyle w:val="ListParagraph"/>
        <w:numPr>
          <w:ilvl w:val="2"/>
          <w:numId w:val="3"/>
        </w:numPr>
        <w:jc w:val="both"/>
        <w:rPr>
          <w:szCs w:val="22"/>
        </w:rPr>
      </w:pPr>
      <w:r w:rsidRPr="00740AD2">
        <w:rPr>
          <w:szCs w:val="22"/>
        </w:rPr>
        <w:t>This rule became effective in March 2017. It has been updated 6 times</w:t>
      </w:r>
      <w:r w:rsidR="006B5247">
        <w:rPr>
          <w:szCs w:val="22"/>
        </w:rPr>
        <w:t xml:space="preserve"> (Q1 2021 most recent update)</w:t>
      </w:r>
      <w:r w:rsidRPr="00740AD2">
        <w:rPr>
          <w:szCs w:val="22"/>
        </w:rPr>
        <w:t>.</w:t>
      </w:r>
    </w:p>
    <w:p w14:paraId="2A7295F2" w14:textId="77777777" w:rsidR="00740AD2" w:rsidRPr="00740AD2" w:rsidRDefault="00310738" w:rsidP="006B5247">
      <w:pPr>
        <w:pStyle w:val="ListParagraph"/>
        <w:numPr>
          <w:ilvl w:val="2"/>
          <w:numId w:val="3"/>
        </w:numPr>
        <w:jc w:val="both"/>
        <w:rPr>
          <w:szCs w:val="22"/>
        </w:rPr>
      </w:pPr>
      <w:r w:rsidRPr="00740AD2">
        <w:rPr>
          <w:szCs w:val="22"/>
        </w:rPr>
        <w:t>A total of 2,538 errors (</w:t>
      </w:r>
      <w:r w:rsidR="006B5247">
        <w:rPr>
          <w:szCs w:val="22"/>
        </w:rPr>
        <w:t xml:space="preserve">from </w:t>
      </w:r>
      <w:r w:rsidRPr="00740AD2">
        <w:rPr>
          <w:szCs w:val="22"/>
        </w:rPr>
        <w:t xml:space="preserve">109 filings) in Q4, 2021. </w:t>
      </w:r>
    </w:p>
    <w:p w14:paraId="08EF311F" w14:textId="77777777" w:rsidR="00740AD2" w:rsidRPr="00740AD2" w:rsidRDefault="00310738" w:rsidP="006B5247">
      <w:pPr>
        <w:pStyle w:val="ListParagraph"/>
        <w:numPr>
          <w:ilvl w:val="2"/>
          <w:numId w:val="3"/>
        </w:numPr>
        <w:jc w:val="both"/>
        <w:rPr>
          <w:szCs w:val="22"/>
        </w:rPr>
      </w:pPr>
      <w:r w:rsidRPr="00740AD2">
        <w:rPr>
          <w:szCs w:val="22"/>
        </w:rPr>
        <w:lastRenderedPageBreak/>
        <w:t>Approximately 80 (out of</w:t>
      </w:r>
      <w:r w:rsidR="006B5247">
        <w:rPr>
          <w:szCs w:val="22"/>
        </w:rPr>
        <w:t xml:space="preserve"> the</w:t>
      </w:r>
      <w:r w:rsidRPr="00740AD2">
        <w:rPr>
          <w:szCs w:val="22"/>
        </w:rPr>
        <w:t xml:space="preserve"> 109 filings) are non-accelerated filers. </w:t>
      </w:r>
    </w:p>
    <w:p w14:paraId="5B3C1B52" w14:textId="77777777" w:rsidR="006B5247" w:rsidRDefault="006B5247" w:rsidP="006B5247">
      <w:pPr>
        <w:pStyle w:val="ListParagraph"/>
        <w:numPr>
          <w:ilvl w:val="2"/>
          <w:numId w:val="3"/>
        </w:numPr>
        <w:jc w:val="both"/>
        <w:rPr>
          <w:szCs w:val="22"/>
        </w:rPr>
      </w:pPr>
      <w:r>
        <w:rPr>
          <w:szCs w:val="22"/>
        </w:rPr>
        <w:t>Large decrease in errors is seen in 2021.  Shelly noted that she believes that this is a direct result of the fact that t</w:t>
      </w:r>
      <w:r w:rsidR="00310738" w:rsidRPr="00740AD2">
        <w:rPr>
          <w:szCs w:val="22"/>
        </w:rPr>
        <w:t xml:space="preserve">his rule is included in the 2020 DQC Rules Taxonomy.  </w:t>
      </w:r>
    </w:p>
    <w:p w14:paraId="2BF1074F" w14:textId="77777777" w:rsidR="006B5247" w:rsidRDefault="006B5247" w:rsidP="006B5247">
      <w:pPr>
        <w:pStyle w:val="ListParagraph"/>
        <w:numPr>
          <w:ilvl w:val="1"/>
          <w:numId w:val="3"/>
        </w:numPr>
        <w:jc w:val="both"/>
        <w:rPr>
          <w:szCs w:val="22"/>
        </w:rPr>
      </w:pPr>
      <w:r>
        <w:rPr>
          <w:szCs w:val="22"/>
        </w:rPr>
        <w:t>Incorrect Calculation Weights in Operating Cash Flows - DQC_0043</w:t>
      </w:r>
    </w:p>
    <w:p w14:paraId="58B23877" w14:textId="77777777" w:rsidR="009E0D35" w:rsidRPr="009E0D35" w:rsidRDefault="00310738" w:rsidP="006B5247">
      <w:pPr>
        <w:pStyle w:val="ListParagraph"/>
        <w:numPr>
          <w:ilvl w:val="2"/>
          <w:numId w:val="3"/>
        </w:numPr>
        <w:jc w:val="both"/>
        <w:rPr>
          <w:szCs w:val="22"/>
        </w:rPr>
      </w:pPr>
      <w:r w:rsidRPr="009E0D35">
        <w:rPr>
          <w:szCs w:val="22"/>
        </w:rPr>
        <w:t>This rule became effective in June 2018.</w:t>
      </w:r>
    </w:p>
    <w:p w14:paraId="482D141B" w14:textId="77777777" w:rsidR="009E0D35" w:rsidRPr="009E0D35" w:rsidRDefault="00310738" w:rsidP="006B5247">
      <w:pPr>
        <w:pStyle w:val="ListParagraph"/>
        <w:numPr>
          <w:ilvl w:val="2"/>
          <w:numId w:val="3"/>
        </w:numPr>
        <w:jc w:val="both"/>
        <w:rPr>
          <w:szCs w:val="22"/>
        </w:rPr>
      </w:pPr>
      <w:r w:rsidRPr="009E0D35">
        <w:rPr>
          <w:szCs w:val="22"/>
        </w:rPr>
        <w:t>A total of 1,203 errors (</w:t>
      </w:r>
      <w:r w:rsidR="006B5247">
        <w:rPr>
          <w:szCs w:val="22"/>
        </w:rPr>
        <w:t xml:space="preserve">from </w:t>
      </w:r>
      <w:r w:rsidRPr="009E0D35">
        <w:rPr>
          <w:szCs w:val="22"/>
        </w:rPr>
        <w:t xml:space="preserve">297 filings) in Q4 2021. </w:t>
      </w:r>
    </w:p>
    <w:p w14:paraId="046938B6" w14:textId="3F1CA70B" w:rsidR="009E0D35" w:rsidRPr="009E0D35" w:rsidRDefault="00310738" w:rsidP="006B5247">
      <w:pPr>
        <w:pStyle w:val="ListParagraph"/>
        <w:numPr>
          <w:ilvl w:val="2"/>
          <w:numId w:val="3"/>
        </w:numPr>
        <w:jc w:val="both"/>
        <w:rPr>
          <w:szCs w:val="22"/>
        </w:rPr>
      </w:pPr>
      <w:r w:rsidRPr="009E0D35">
        <w:rPr>
          <w:szCs w:val="22"/>
        </w:rPr>
        <w:t xml:space="preserve">Approximately 20 (out of 297 filings) are accelerated filers. </w:t>
      </w:r>
    </w:p>
    <w:p w14:paraId="53B15CFB" w14:textId="77777777" w:rsidR="009E0D35" w:rsidRPr="009E0D35" w:rsidRDefault="00310738" w:rsidP="006B5247">
      <w:pPr>
        <w:pStyle w:val="ListParagraph"/>
        <w:numPr>
          <w:ilvl w:val="2"/>
          <w:numId w:val="3"/>
        </w:numPr>
        <w:jc w:val="both"/>
        <w:rPr>
          <w:szCs w:val="22"/>
        </w:rPr>
      </w:pPr>
      <w:r w:rsidRPr="009E0D35">
        <w:rPr>
          <w:szCs w:val="22"/>
        </w:rPr>
        <w:t>This rule will be included in the 2022 DQC Rules Taxonomy.</w:t>
      </w:r>
      <w:r w:rsidR="006B5247">
        <w:rPr>
          <w:szCs w:val="22"/>
        </w:rPr>
        <w:t xml:space="preserve">  Shelly noted that the EDGAR system is starting to produce warnings, so she expects to see improvement in the number of errors for this rule.</w:t>
      </w:r>
      <w:r w:rsidRPr="009E0D35">
        <w:rPr>
          <w:szCs w:val="22"/>
        </w:rPr>
        <w:t xml:space="preserve">  </w:t>
      </w:r>
    </w:p>
    <w:p w14:paraId="5648F23B" w14:textId="77777777" w:rsidR="006B5247" w:rsidRPr="009E0D35" w:rsidRDefault="006B5247" w:rsidP="006B5247">
      <w:pPr>
        <w:pStyle w:val="ListParagraph"/>
        <w:numPr>
          <w:ilvl w:val="1"/>
          <w:numId w:val="3"/>
        </w:numPr>
        <w:jc w:val="both"/>
        <w:rPr>
          <w:szCs w:val="22"/>
        </w:rPr>
      </w:pPr>
      <w:r w:rsidRPr="009E0D35">
        <w:rPr>
          <w:szCs w:val="22"/>
        </w:rPr>
        <w:t>Sibling Child Relationships –</w:t>
      </w:r>
      <w:r w:rsidRPr="00E6662A">
        <w:rPr>
          <w:szCs w:val="22"/>
        </w:rPr>
        <w:t xml:space="preserve"> </w:t>
      </w:r>
      <w:r w:rsidRPr="009E0D35">
        <w:rPr>
          <w:szCs w:val="22"/>
        </w:rPr>
        <w:t>DQC_0081</w:t>
      </w:r>
    </w:p>
    <w:p w14:paraId="4781B499" w14:textId="77777777" w:rsidR="009E0D35" w:rsidRPr="009E0D35" w:rsidRDefault="00310738" w:rsidP="006B5247">
      <w:pPr>
        <w:pStyle w:val="ListParagraph"/>
        <w:numPr>
          <w:ilvl w:val="2"/>
          <w:numId w:val="3"/>
        </w:numPr>
        <w:jc w:val="both"/>
        <w:rPr>
          <w:szCs w:val="22"/>
        </w:rPr>
      </w:pPr>
      <w:r w:rsidRPr="009E0D35">
        <w:rPr>
          <w:szCs w:val="22"/>
        </w:rPr>
        <w:t xml:space="preserve">This rule became effective in September 2019. </w:t>
      </w:r>
    </w:p>
    <w:p w14:paraId="55FA3263" w14:textId="77777777" w:rsidR="009E0D35" w:rsidRPr="009E0D35" w:rsidRDefault="00310738" w:rsidP="006B5247">
      <w:pPr>
        <w:pStyle w:val="ListParagraph"/>
        <w:numPr>
          <w:ilvl w:val="2"/>
          <w:numId w:val="3"/>
        </w:numPr>
        <w:jc w:val="both"/>
        <w:rPr>
          <w:szCs w:val="22"/>
        </w:rPr>
      </w:pPr>
      <w:r w:rsidRPr="009E0D35">
        <w:rPr>
          <w:szCs w:val="22"/>
        </w:rPr>
        <w:t>A total of 2,686 errors in Q4 2021.</w:t>
      </w:r>
    </w:p>
    <w:p w14:paraId="7A6BF3E0" w14:textId="77777777" w:rsidR="006B5247" w:rsidRPr="00874069" w:rsidRDefault="006B5247" w:rsidP="006B5247">
      <w:pPr>
        <w:pStyle w:val="ListParagraph"/>
        <w:numPr>
          <w:ilvl w:val="1"/>
          <w:numId w:val="3"/>
        </w:numPr>
        <w:jc w:val="both"/>
        <w:rPr>
          <w:szCs w:val="22"/>
        </w:rPr>
      </w:pPr>
      <w:r w:rsidRPr="00874069">
        <w:rPr>
          <w:szCs w:val="22"/>
        </w:rPr>
        <w:t xml:space="preserve">Financial Statements with </w:t>
      </w:r>
      <w:r>
        <w:rPr>
          <w:szCs w:val="22"/>
        </w:rPr>
        <w:t>N</w:t>
      </w:r>
      <w:r w:rsidRPr="00874069">
        <w:rPr>
          <w:szCs w:val="22"/>
        </w:rPr>
        <w:t xml:space="preserve">o associated </w:t>
      </w:r>
      <w:r>
        <w:rPr>
          <w:szCs w:val="22"/>
        </w:rPr>
        <w:t>C</w:t>
      </w:r>
      <w:r w:rsidRPr="00874069">
        <w:rPr>
          <w:szCs w:val="22"/>
        </w:rPr>
        <w:t>alculation –</w:t>
      </w:r>
      <w:r w:rsidRPr="00E6662A">
        <w:rPr>
          <w:szCs w:val="22"/>
        </w:rPr>
        <w:t xml:space="preserve"> </w:t>
      </w:r>
      <w:r w:rsidRPr="00874069">
        <w:rPr>
          <w:szCs w:val="22"/>
        </w:rPr>
        <w:t>DQC_0099</w:t>
      </w:r>
    </w:p>
    <w:p w14:paraId="1A77D881" w14:textId="77777777" w:rsidR="00874069" w:rsidRPr="00874069" w:rsidRDefault="00310738" w:rsidP="006B5247">
      <w:pPr>
        <w:pStyle w:val="ListParagraph"/>
        <w:numPr>
          <w:ilvl w:val="2"/>
          <w:numId w:val="3"/>
        </w:numPr>
        <w:jc w:val="both"/>
        <w:rPr>
          <w:szCs w:val="22"/>
        </w:rPr>
      </w:pPr>
      <w:r w:rsidRPr="00874069">
        <w:rPr>
          <w:szCs w:val="22"/>
        </w:rPr>
        <w:t xml:space="preserve">This rule became effective in January 2021. </w:t>
      </w:r>
    </w:p>
    <w:p w14:paraId="02B997B9" w14:textId="77777777" w:rsidR="00874069" w:rsidRPr="00874069" w:rsidRDefault="00310738" w:rsidP="006B5247">
      <w:pPr>
        <w:pStyle w:val="ListParagraph"/>
        <w:numPr>
          <w:ilvl w:val="2"/>
          <w:numId w:val="3"/>
        </w:numPr>
        <w:jc w:val="both"/>
        <w:rPr>
          <w:szCs w:val="22"/>
        </w:rPr>
      </w:pPr>
      <w:r w:rsidRPr="00874069">
        <w:rPr>
          <w:szCs w:val="22"/>
        </w:rPr>
        <w:t xml:space="preserve">A total of 1,248 errors in Q4 2021. </w:t>
      </w:r>
    </w:p>
    <w:p w14:paraId="24FE32EE" w14:textId="77777777" w:rsidR="006B5247" w:rsidRPr="00E6662A" w:rsidRDefault="006B5247" w:rsidP="006B5247">
      <w:pPr>
        <w:pStyle w:val="ListParagraph"/>
        <w:numPr>
          <w:ilvl w:val="1"/>
          <w:numId w:val="3"/>
        </w:numPr>
        <w:jc w:val="both"/>
        <w:rPr>
          <w:szCs w:val="22"/>
        </w:rPr>
      </w:pPr>
      <w:r w:rsidRPr="00E6662A">
        <w:rPr>
          <w:szCs w:val="22"/>
        </w:rPr>
        <w:t>Concentration Risk - DQC_0109</w:t>
      </w:r>
    </w:p>
    <w:p w14:paraId="46F49A12" w14:textId="77777777" w:rsidR="007B6BE7" w:rsidRPr="007B6BE7" w:rsidRDefault="00310738" w:rsidP="006B5247">
      <w:pPr>
        <w:pStyle w:val="ListParagraph"/>
        <w:numPr>
          <w:ilvl w:val="2"/>
          <w:numId w:val="3"/>
        </w:numPr>
        <w:jc w:val="both"/>
        <w:rPr>
          <w:szCs w:val="22"/>
        </w:rPr>
      </w:pPr>
      <w:r w:rsidRPr="007B6BE7">
        <w:rPr>
          <w:szCs w:val="22"/>
        </w:rPr>
        <w:t xml:space="preserve">This rule became effective in September 2021. </w:t>
      </w:r>
    </w:p>
    <w:p w14:paraId="30C78B91" w14:textId="77777777" w:rsidR="007B6BE7" w:rsidRPr="007B6BE7" w:rsidRDefault="00310738" w:rsidP="006B5247">
      <w:pPr>
        <w:pStyle w:val="ListParagraph"/>
        <w:numPr>
          <w:ilvl w:val="2"/>
          <w:numId w:val="3"/>
        </w:numPr>
        <w:jc w:val="both"/>
        <w:rPr>
          <w:szCs w:val="22"/>
        </w:rPr>
      </w:pPr>
      <w:r w:rsidRPr="007B6BE7">
        <w:rPr>
          <w:szCs w:val="22"/>
        </w:rPr>
        <w:t xml:space="preserve">A total of 1,180 errors in Q4 2021. </w:t>
      </w:r>
    </w:p>
    <w:p w14:paraId="72420A25" w14:textId="77777777" w:rsidR="007B6BE7" w:rsidRPr="007B6BE7" w:rsidRDefault="006B5247" w:rsidP="006B5247">
      <w:pPr>
        <w:pStyle w:val="ListParagraph"/>
        <w:numPr>
          <w:ilvl w:val="2"/>
          <w:numId w:val="3"/>
        </w:numPr>
        <w:jc w:val="both"/>
        <w:rPr>
          <w:szCs w:val="22"/>
        </w:rPr>
      </w:pPr>
      <w:r>
        <w:rPr>
          <w:szCs w:val="22"/>
        </w:rPr>
        <w:t xml:space="preserve">There is improvement in the error rates.  </w:t>
      </w:r>
      <w:r w:rsidR="00310738" w:rsidRPr="007B6BE7">
        <w:rPr>
          <w:szCs w:val="22"/>
        </w:rPr>
        <w:t>The FASB is considering taxonomy remodeling on this topic</w:t>
      </w:r>
      <w:r>
        <w:rPr>
          <w:szCs w:val="22"/>
        </w:rPr>
        <w:t xml:space="preserve">; therefore, this rule may require adjustment. </w:t>
      </w:r>
    </w:p>
    <w:p w14:paraId="6A8C30CA" w14:textId="77777777" w:rsidR="006B5247" w:rsidRPr="00E6662A" w:rsidRDefault="006B5247" w:rsidP="006B5247">
      <w:pPr>
        <w:pStyle w:val="ListParagraph"/>
        <w:numPr>
          <w:ilvl w:val="1"/>
          <w:numId w:val="3"/>
        </w:numPr>
        <w:jc w:val="both"/>
        <w:rPr>
          <w:szCs w:val="22"/>
        </w:rPr>
      </w:pPr>
      <w:r w:rsidRPr="00E6662A">
        <w:rPr>
          <w:szCs w:val="22"/>
        </w:rPr>
        <w:t>Incorrect Transition Elements Used – DQC_0121</w:t>
      </w:r>
    </w:p>
    <w:p w14:paraId="1F389F42" w14:textId="77777777" w:rsidR="001C2811" w:rsidRPr="001C2811" w:rsidRDefault="00310738" w:rsidP="006B5247">
      <w:pPr>
        <w:pStyle w:val="ListParagraph"/>
        <w:numPr>
          <w:ilvl w:val="2"/>
          <w:numId w:val="3"/>
        </w:numPr>
        <w:jc w:val="both"/>
        <w:rPr>
          <w:szCs w:val="22"/>
        </w:rPr>
      </w:pPr>
      <w:r w:rsidRPr="001C2811">
        <w:rPr>
          <w:szCs w:val="22"/>
        </w:rPr>
        <w:t xml:space="preserve">This rule became effective in December 2021. </w:t>
      </w:r>
      <w:r w:rsidR="006B5247">
        <w:rPr>
          <w:szCs w:val="22"/>
        </w:rPr>
        <w:t>Many filers continue to use elements that should not be issued after adoption of ASUs.</w:t>
      </w:r>
    </w:p>
    <w:p w14:paraId="5A4273B4" w14:textId="77777777" w:rsidR="006B5247" w:rsidRPr="00E6662A" w:rsidRDefault="00310738" w:rsidP="006B5247">
      <w:pPr>
        <w:pStyle w:val="ListParagraph"/>
        <w:numPr>
          <w:ilvl w:val="2"/>
          <w:numId w:val="3"/>
        </w:numPr>
        <w:jc w:val="both"/>
        <w:rPr>
          <w:szCs w:val="22"/>
        </w:rPr>
      </w:pPr>
      <w:r w:rsidRPr="001C2811">
        <w:rPr>
          <w:szCs w:val="22"/>
        </w:rPr>
        <w:t xml:space="preserve">Approximately 2,400 errors from December 1, </w:t>
      </w:r>
      <w:proofErr w:type="gramStart"/>
      <w:r w:rsidRPr="001C2811">
        <w:rPr>
          <w:szCs w:val="22"/>
        </w:rPr>
        <w:t>2021</w:t>
      </w:r>
      <w:proofErr w:type="gramEnd"/>
      <w:r w:rsidRPr="001C2811">
        <w:rPr>
          <w:szCs w:val="22"/>
        </w:rPr>
        <w:t xml:space="preserve"> to March 10, 2022.</w:t>
      </w:r>
    </w:p>
    <w:p w14:paraId="425D9A3B" w14:textId="77777777" w:rsidR="001C2811" w:rsidRPr="001C2811" w:rsidRDefault="006B5247" w:rsidP="006B5247">
      <w:pPr>
        <w:pStyle w:val="ListParagraph"/>
        <w:numPr>
          <w:ilvl w:val="2"/>
          <w:numId w:val="3"/>
        </w:numPr>
        <w:jc w:val="both"/>
        <w:rPr>
          <w:szCs w:val="22"/>
        </w:rPr>
      </w:pPr>
      <w:r>
        <w:rPr>
          <w:szCs w:val="22"/>
        </w:rPr>
        <w:t>This rule</w:t>
      </w:r>
      <w:r w:rsidR="00310738" w:rsidRPr="001C2811">
        <w:rPr>
          <w:szCs w:val="22"/>
        </w:rPr>
        <w:t xml:space="preserve"> detects errors when filers use line items that should no longer be used after adoption of:</w:t>
      </w:r>
    </w:p>
    <w:p w14:paraId="1BF29B1C" w14:textId="77777777" w:rsidR="006B5247" w:rsidRPr="001C2811" w:rsidRDefault="006B5247" w:rsidP="006B5247">
      <w:pPr>
        <w:pStyle w:val="ListParagraph"/>
        <w:numPr>
          <w:ilvl w:val="3"/>
          <w:numId w:val="3"/>
        </w:numPr>
        <w:jc w:val="both"/>
        <w:rPr>
          <w:szCs w:val="22"/>
        </w:rPr>
      </w:pPr>
      <w:r w:rsidRPr="001C2811">
        <w:rPr>
          <w:szCs w:val="22"/>
        </w:rPr>
        <w:t>ASU 2016-01 Financial Instruments - Overall (Subtopic 825-10):  Recognition and Measurement of Financial Assets and Financial Liabilities</w:t>
      </w:r>
    </w:p>
    <w:p w14:paraId="45353433" w14:textId="77777777" w:rsidR="006B5247" w:rsidRPr="001C2811" w:rsidRDefault="006B5247" w:rsidP="006B5247">
      <w:pPr>
        <w:pStyle w:val="ListParagraph"/>
        <w:numPr>
          <w:ilvl w:val="3"/>
          <w:numId w:val="3"/>
        </w:numPr>
        <w:jc w:val="both"/>
        <w:rPr>
          <w:szCs w:val="22"/>
        </w:rPr>
      </w:pPr>
      <w:r w:rsidRPr="001C2811">
        <w:rPr>
          <w:szCs w:val="22"/>
        </w:rPr>
        <w:t>ASU 2016-02 Leases (Topic 842)</w:t>
      </w:r>
    </w:p>
    <w:p w14:paraId="252056C1" w14:textId="77777777" w:rsidR="006B5247" w:rsidRPr="001C2811" w:rsidRDefault="006B5247" w:rsidP="006B5247">
      <w:pPr>
        <w:pStyle w:val="ListParagraph"/>
        <w:numPr>
          <w:ilvl w:val="3"/>
          <w:numId w:val="3"/>
        </w:numPr>
        <w:jc w:val="both"/>
        <w:rPr>
          <w:szCs w:val="22"/>
        </w:rPr>
      </w:pPr>
      <w:r w:rsidRPr="001C2811">
        <w:rPr>
          <w:szCs w:val="22"/>
        </w:rPr>
        <w:t>ASU 2016-18 Statement of Cash Flows (Topic 230): Restricted Cash (a consensus of the FASB Emerging Issues Task Force)</w:t>
      </w:r>
    </w:p>
    <w:p w14:paraId="64ACF5DD" w14:textId="77777777" w:rsidR="006B5247" w:rsidRPr="001C2811" w:rsidRDefault="006B5247" w:rsidP="006B5247">
      <w:pPr>
        <w:pStyle w:val="ListParagraph"/>
        <w:numPr>
          <w:ilvl w:val="3"/>
          <w:numId w:val="3"/>
        </w:numPr>
        <w:jc w:val="both"/>
        <w:rPr>
          <w:szCs w:val="22"/>
        </w:rPr>
      </w:pPr>
      <w:r w:rsidRPr="001C2811">
        <w:rPr>
          <w:szCs w:val="22"/>
        </w:rPr>
        <w:t>ASU 2017-12 Derivatives and Hedging Topic 815):  Targeted Improvements to Accounting for Hedging Activities</w:t>
      </w:r>
    </w:p>
    <w:p w14:paraId="5A6111A0" w14:textId="77777777" w:rsidR="006B5247" w:rsidRPr="001C2811" w:rsidRDefault="006B5247" w:rsidP="006B5247">
      <w:pPr>
        <w:pStyle w:val="ListParagraph"/>
        <w:numPr>
          <w:ilvl w:val="3"/>
          <w:numId w:val="3"/>
        </w:numPr>
        <w:jc w:val="both"/>
        <w:rPr>
          <w:szCs w:val="22"/>
        </w:rPr>
      </w:pPr>
      <w:r w:rsidRPr="001C2811">
        <w:rPr>
          <w:szCs w:val="22"/>
        </w:rPr>
        <w:t>ASU 2018-07 Compensation—Stock Compensation (Topic 718): Improvements to Nonemployee Share-Based Payment Accounting</w:t>
      </w:r>
    </w:p>
    <w:p w14:paraId="58EE0802" w14:textId="77777777" w:rsidR="006B5247" w:rsidRPr="00E6662A" w:rsidRDefault="00310738" w:rsidP="006B5247">
      <w:pPr>
        <w:pStyle w:val="ListParagraph"/>
        <w:numPr>
          <w:ilvl w:val="2"/>
          <w:numId w:val="3"/>
        </w:numPr>
        <w:jc w:val="both"/>
        <w:rPr>
          <w:szCs w:val="22"/>
        </w:rPr>
      </w:pPr>
      <w:r w:rsidRPr="001C2811">
        <w:rPr>
          <w:szCs w:val="22"/>
        </w:rPr>
        <w:t>Prior DQC rules which detect errors when filers use line items that should no longer be used after adoption of:</w:t>
      </w:r>
    </w:p>
    <w:p w14:paraId="3EB6093F" w14:textId="77777777" w:rsidR="006B5247" w:rsidRPr="001C2811" w:rsidRDefault="006B5247" w:rsidP="006B5247">
      <w:pPr>
        <w:pStyle w:val="ListParagraph"/>
        <w:numPr>
          <w:ilvl w:val="3"/>
          <w:numId w:val="3"/>
        </w:numPr>
        <w:jc w:val="both"/>
        <w:rPr>
          <w:szCs w:val="22"/>
        </w:rPr>
      </w:pPr>
      <w:r w:rsidRPr="001C2811">
        <w:rPr>
          <w:szCs w:val="22"/>
          <w:lang w:val="fr-FR"/>
        </w:rPr>
        <w:t xml:space="preserve">ASU 2014-09 Revenue (Topic 606) </w:t>
      </w:r>
      <w:r w:rsidRPr="001C2811">
        <w:rPr>
          <w:szCs w:val="22"/>
        </w:rPr>
        <w:t>– DQC_0067</w:t>
      </w:r>
    </w:p>
    <w:p w14:paraId="688D8B87" w14:textId="77777777" w:rsidR="006B5247" w:rsidRDefault="006B5247" w:rsidP="006B5247">
      <w:pPr>
        <w:pStyle w:val="ListParagraph"/>
        <w:numPr>
          <w:ilvl w:val="3"/>
          <w:numId w:val="3"/>
        </w:numPr>
        <w:jc w:val="both"/>
        <w:rPr>
          <w:szCs w:val="22"/>
        </w:rPr>
      </w:pPr>
      <w:r w:rsidRPr="001C2811">
        <w:rPr>
          <w:szCs w:val="22"/>
        </w:rPr>
        <w:t>ASU 2015-17 Income Taxes (Topic 740):  Balance Sheet Classification of Deferred Taxes – DQC_0086</w:t>
      </w:r>
    </w:p>
    <w:p w14:paraId="1AAE36C2" w14:textId="0986A5D7" w:rsidR="004C7E7D" w:rsidRDefault="009B4C60" w:rsidP="00C26383">
      <w:pPr>
        <w:pStyle w:val="ListParagraph"/>
        <w:numPr>
          <w:ilvl w:val="0"/>
          <w:numId w:val="3"/>
        </w:numPr>
        <w:spacing w:line="332" w:lineRule="auto"/>
        <w:rPr>
          <w:bCs/>
        </w:rPr>
      </w:pPr>
      <w:r w:rsidRPr="0079101C">
        <w:rPr>
          <w:bCs/>
        </w:rPr>
        <w:lastRenderedPageBreak/>
        <w:t>Pranav mentioned that there has been an increase in</w:t>
      </w:r>
      <w:r w:rsidR="004C7E7D">
        <w:rPr>
          <w:bCs/>
        </w:rPr>
        <w:t xml:space="preserve"> the use of</w:t>
      </w:r>
      <w:r w:rsidRPr="0079101C">
        <w:rPr>
          <w:bCs/>
        </w:rPr>
        <w:t xml:space="preserve"> extensions. </w:t>
      </w:r>
      <w:r w:rsidR="00E40707">
        <w:rPr>
          <w:bCs/>
        </w:rPr>
        <w:t>Pranav shared an analysis that showed a 50% increase in use of extension</w:t>
      </w:r>
      <w:r w:rsidR="00EB5D48">
        <w:rPr>
          <w:bCs/>
        </w:rPr>
        <w:t xml:space="preserve">s as a percentage of total tags (analysis included 10-Ks for </w:t>
      </w:r>
      <w:proofErr w:type="gramStart"/>
      <w:r w:rsidR="00EB5D48">
        <w:rPr>
          <w:bCs/>
        </w:rPr>
        <w:t>large accelerated</w:t>
      </w:r>
      <w:proofErr w:type="gramEnd"/>
      <w:r w:rsidR="00EB5D48">
        <w:rPr>
          <w:bCs/>
        </w:rPr>
        <w:t xml:space="preserve"> filers)</w:t>
      </w:r>
      <w:r w:rsidR="00E40707">
        <w:rPr>
          <w:bCs/>
        </w:rPr>
        <w:t xml:space="preserve"> for 2021 v. 2020.</w:t>
      </w:r>
    </w:p>
    <w:p w14:paraId="55242AEB" w14:textId="3C4066BC" w:rsidR="007E0633" w:rsidRDefault="004C7E7D" w:rsidP="00C83C29">
      <w:pPr>
        <w:pStyle w:val="ListParagraph"/>
        <w:numPr>
          <w:ilvl w:val="1"/>
          <w:numId w:val="3"/>
        </w:numPr>
        <w:spacing w:line="332" w:lineRule="auto"/>
        <w:rPr>
          <w:bCs/>
        </w:rPr>
      </w:pPr>
      <w:r>
        <w:rPr>
          <w:bCs/>
        </w:rPr>
        <w:t>Campbell stated that the changes in accrued interest disclosure was a driver because elements were not added to the taxonomy.  Campbell has also noticed that filers have been creating extensions because they want to tag more specific elements then the base elements.</w:t>
      </w:r>
    </w:p>
    <w:p w14:paraId="0DB20920" w14:textId="1696C934" w:rsidR="00442302" w:rsidRDefault="00442302" w:rsidP="00C83C29">
      <w:pPr>
        <w:pStyle w:val="ListParagraph"/>
        <w:numPr>
          <w:ilvl w:val="1"/>
          <w:numId w:val="3"/>
        </w:numPr>
        <w:spacing w:line="332" w:lineRule="auto"/>
        <w:rPr>
          <w:bCs/>
        </w:rPr>
      </w:pPr>
      <w:r>
        <w:rPr>
          <w:bCs/>
        </w:rPr>
        <w:t xml:space="preserve">Shelly mentioned that she has seen extensions related to COVID disclosures and SPAC filings that </w:t>
      </w:r>
      <w:r w:rsidR="001A6D3D">
        <w:rPr>
          <w:bCs/>
        </w:rPr>
        <w:t>use high levels of extensions.</w:t>
      </w:r>
    </w:p>
    <w:p w14:paraId="1FCBAE6E" w14:textId="04A5BF73" w:rsidR="004C7E7D" w:rsidRPr="0079101C" w:rsidRDefault="004C7E7D" w:rsidP="00C83C29">
      <w:pPr>
        <w:pStyle w:val="ListParagraph"/>
        <w:numPr>
          <w:ilvl w:val="1"/>
          <w:numId w:val="3"/>
        </w:numPr>
        <w:spacing w:line="332" w:lineRule="auto"/>
        <w:rPr>
          <w:bCs/>
        </w:rPr>
      </w:pPr>
      <w:r>
        <w:rPr>
          <w:bCs/>
        </w:rPr>
        <w:t xml:space="preserve">Shelly also mentioned that she expects to see extensions for financing receivables. She mentioned that FASB is monitoring </w:t>
      </w:r>
      <w:r w:rsidR="00437250">
        <w:rPr>
          <w:bCs/>
        </w:rPr>
        <w:t xml:space="preserve">the </w:t>
      </w:r>
      <w:r>
        <w:rPr>
          <w:bCs/>
        </w:rPr>
        <w:t xml:space="preserve">issue and </w:t>
      </w:r>
      <w:r w:rsidR="00437250">
        <w:rPr>
          <w:bCs/>
        </w:rPr>
        <w:t xml:space="preserve">they </w:t>
      </w:r>
      <w:r>
        <w:rPr>
          <w:bCs/>
        </w:rPr>
        <w:t xml:space="preserve">may need to develop common practice elements to reduce the need for extensions. </w:t>
      </w:r>
    </w:p>
    <w:p w14:paraId="484A79B9" w14:textId="35E31BEE" w:rsidR="000F21A0" w:rsidRDefault="00F407A7" w:rsidP="00F16DBB">
      <w:pPr>
        <w:spacing w:line="332" w:lineRule="auto"/>
        <w:rPr>
          <w:rFonts w:ascii="Arial" w:eastAsia="Arial" w:hAnsi="Arial" w:cs="Arial"/>
          <w:b/>
          <w:sz w:val="22"/>
        </w:rPr>
      </w:pPr>
      <w:r>
        <w:rPr>
          <w:rFonts w:ascii="Arial" w:eastAsia="Arial" w:hAnsi="Arial" w:cs="Arial"/>
          <w:b/>
          <w:sz w:val="22"/>
        </w:rPr>
        <w:tab/>
      </w:r>
      <w:r w:rsidR="000F21A0" w:rsidRPr="00F16DBB">
        <w:rPr>
          <w:rFonts w:ascii="Arial" w:eastAsia="Arial" w:hAnsi="Arial" w:cs="Arial"/>
          <w:b/>
          <w:sz w:val="22"/>
        </w:rPr>
        <w:t xml:space="preserve"> </w:t>
      </w:r>
    </w:p>
    <w:p w14:paraId="29FE88F4" w14:textId="775D01D9" w:rsidR="00F16DBB" w:rsidRDefault="0075752B" w:rsidP="00F16DBB">
      <w:pPr>
        <w:spacing w:line="332" w:lineRule="auto"/>
        <w:rPr>
          <w:rFonts w:ascii="Arial" w:eastAsia="Arial" w:hAnsi="Arial" w:cs="Arial"/>
          <w:b/>
          <w:sz w:val="22"/>
        </w:rPr>
      </w:pPr>
      <w:r w:rsidRPr="00D224D8">
        <w:rPr>
          <w:rFonts w:ascii="Arial" w:eastAsia="Arial" w:hAnsi="Arial" w:cs="Arial"/>
          <w:b/>
          <w:sz w:val="22"/>
        </w:rPr>
        <w:t>Demonstration of standardized data</w:t>
      </w:r>
    </w:p>
    <w:p w14:paraId="461CDAEB" w14:textId="26EC1FAD" w:rsidR="00FB4EFB" w:rsidRDefault="00FB4EFB" w:rsidP="00FB4EFB">
      <w:pPr>
        <w:pStyle w:val="ListParagraph"/>
        <w:numPr>
          <w:ilvl w:val="0"/>
          <w:numId w:val="32"/>
        </w:numPr>
        <w:spacing w:line="332" w:lineRule="auto"/>
        <w:ind w:left="360"/>
        <w:rPr>
          <w:bCs/>
        </w:rPr>
      </w:pPr>
      <w:r>
        <w:rPr>
          <w:bCs/>
        </w:rPr>
        <w:t xml:space="preserve">Campbell provided a demonstration </w:t>
      </w:r>
      <w:r w:rsidR="00375BB8">
        <w:rPr>
          <w:bCs/>
        </w:rPr>
        <w:t xml:space="preserve">of how XBRL US develops standardized balance sheets and income statements </w:t>
      </w:r>
      <w:proofErr w:type="gramStart"/>
      <w:r w:rsidR="00862DC9">
        <w:rPr>
          <w:bCs/>
        </w:rPr>
        <w:t xml:space="preserve">in order </w:t>
      </w:r>
      <w:r>
        <w:rPr>
          <w:bCs/>
        </w:rPr>
        <w:t>to</w:t>
      </w:r>
      <w:proofErr w:type="gramEnd"/>
      <w:r w:rsidR="00E23A33">
        <w:rPr>
          <w:bCs/>
        </w:rPr>
        <w:t xml:space="preserve"> compare filings against them to</w:t>
      </w:r>
      <w:r>
        <w:rPr>
          <w:bCs/>
        </w:rPr>
        <w:t xml:space="preserve"> identify areas where potential problems</w:t>
      </w:r>
      <w:r w:rsidR="00E23A33">
        <w:rPr>
          <w:bCs/>
        </w:rPr>
        <w:t xml:space="preserve"> exist</w:t>
      </w:r>
      <w:r>
        <w:rPr>
          <w:bCs/>
        </w:rPr>
        <w:t>.</w:t>
      </w:r>
      <w:r w:rsidR="00375BB8">
        <w:rPr>
          <w:bCs/>
        </w:rPr>
        <w:t xml:space="preserve">  This process is used to identify areas</w:t>
      </w:r>
      <w:r w:rsidR="00D51CE1">
        <w:rPr>
          <w:bCs/>
        </w:rPr>
        <w:t xml:space="preserve"> where filers create extensions</w:t>
      </w:r>
      <w:r w:rsidR="00A97243">
        <w:rPr>
          <w:bCs/>
        </w:rPr>
        <w:t xml:space="preserve"> or fail to include elements within the calculation </w:t>
      </w:r>
      <w:proofErr w:type="spellStart"/>
      <w:r w:rsidR="00A97243">
        <w:rPr>
          <w:bCs/>
        </w:rPr>
        <w:t>linkbase</w:t>
      </w:r>
      <w:proofErr w:type="spellEnd"/>
      <w:r w:rsidR="00D51CE1">
        <w:rPr>
          <w:bCs/>
        </w:rPr>
        <w:t xml:space="preserve"> in their filings and this information helps</w:t>
      </w:r>
      <w:r w:rsidR="00375BB8">
        <w:rPr>
          <w:bCs/>
        </w:rPr>
        <w:t xml:space="preserve"> to develop rules.</w:t>
      </w:r>
      <w:r>
        <w:rPr>
          <w:bCs/>
        </w:rPr>
        <w:t xml:space="preserve">  </w:t>
      </w:r>
    </w:p>
    <w:p w14:paraId="65A68B36" w14:textId="57E7F857" w:rsidR="00E448AB" w:rsidRDefault="00E448AB" w:rsidP="00FB4EFB">
      <w:pPr>
        <w:pStyle w:val="ListParagraph"/>
        <w:numPr>
          <w:ilvl w:val="0"/>
          <w:numId w:val="32"/>
        </w:numPr>
        <w:spacing w:line="332" w:lineRule="auto"/>
        <w:ind w:left="360"/>
        <w:rPr>
          <w:bCs/>
        </w:rPr>
      </w:pPr>
      <w:r>
        <w:rPr>
          <w:bCs/>
        </w:rPr>
        <w:t>Campbell mentioned that data aggregators may be identifying common extensions used and this information could be helpful</w:t>
      </w:r>
      <w:r w:rsidR="00862DC9">
        <w:rPr>
          <w:bCs/>
        </w:rPr>
        <w:t>.</w:t>
      </w:r>
    </w:p>
    <w:p w14:paraId="792F0C3A" w14:textId="65822F0C" w:rsidR="00B77316" w:rsidRPr="00FB4EFB" w:rsidRDefault="00B77316" w:rsidP="00FB4EFB">
      <w:pPr>
        <w:pStyle w:val="ListParagraph"/>
        <w:numPr>
          <w:ilvl w:val="0"/>
          <w:numId w:val="32"/>
        </w:numPr>
        <w:spacing w:line="332" w:lineRule="auto"/>
        <w:ind w:left="360"/>
        <w:rPr>
          <w:bCs/>
        </w:rPr>
      </w:pPr>
      <w:r>
        <w:rPr>
          <w:bCs/>
        </w:rPr>
        <w:t>There was a suggestion that the DQC rules include a mechanism for filers to see the rate of extensions used in the filings (line items only).</w:t>
      </w:r>
    </w:p>
    <w:p w14:paraId="22F5E055" w14:textId="77777777" w:rsidR="0038190C" w:rsidRPr="00F16DBB" w:rsidRDefault="0038190C" w:rsidP="00F16DBB">
      <w:pPr>
        <w:spacing w:line="332" w:lineRule="auto"/>
        <w:rPr>
          <w:rFonts w:ascii="Arial" w:eastAsia="Arial" w:hAnsi="Arial" w:cs="Arial"/>
          <w:b/>
          <w:sz w:val="22"/>
        </w:rPr>
      </w:pPr>
    </w:p>
    <w:p w14:paraId="7E99397D" w14:textId="4B87EB6A" w:rsidR="00D57D77" w:rsidRDefault="00D57D77" w:rsidP="00D224D8">
      <w:pPr>
        <w:spacing w:line="332" w:lineRule="auto"/>
        <w:rPr>
          <w:rFonts w:ascii="Arial" w:eastAsia="Arial" w:hAnsi="Arial" w:cs="Arial"/>
          <w:b/>
          <w:sz w:val="22"/>
        </w:rPr>
      </w:pPr>
      <w:r w:rsidRPr="00D224D8">
        <w:rPr>
          <w:rFonts w:ascii="Arial" w:eastAsia="Arial" w:hAnsi="Arial" w:cs="Arial"/>
          <w:b/>
          <w:sz w:val="22"/>
        </w:rPr>
        <w:t>Guidance Development</w:t>
      </w:r>
    </w:p>
    <w:p w14:paraId="73407C95" w14:textId="112E8DC3" w:rsidR="00B269C6" w:rsidRDefault="00B269C6" w:rsidP="00862DC9">
      <w:pPr>
        <w:pStyle w:val="ListParagraph"/>
        <w:numPr>
          <w:ilvl w:val="0"/>
          <w:numId w:val="33"/>
        </w:numPr>
        <w:spacing w:line="332" w:lineRule="auto"/>
        <w:ind w:left="360"/>
        <w:rPr>
          <w:bCs/>
        </w:rPr>
      </w:pPr>
      <w:r>
        <w:rPr>
          <w:bCs/>
        </w:rPr>
        <w:t>Campbell explained that the focus going forward will be</w:t>
      </w:r>
      <w:r w:rsidR="002773BA">
        <w:rPr>
          <w:bCs/>
        </w:rPr>
        <w:t xml:space="preserve"> on</w:t>
      </w:r>
      <w:r>
        <w:rPr>
          <w:bCs/>
        </w:rPr>
        <w:t xml:space="preserve"> investments.  We will look to taxes as well.</w:t>
      </w:r>
    </w:p>
    <w:p w14:paraId="385F2ADC" w14:textId="72DECDF1" w:rsidR="00862DC9" w:rsidRDefault="00B269C6" w:rsidP="00862DC9">
      <w:pPr>
        <w:pStyle w:val="ListParagraph"/>
        <w:numPr>
          <w:ilvl w:val="0"/>
          <w:numId w:val="33"/>
        </w:numPr>
        <w:spacing w:line="332" w:lineRule="auto"/>
        <w:ind w:left="360"/>
        <w:rPr>
          <w:bCs/>
        </w:rPr>
      </w:pPr>
      <w:r>
        <w:rPr>
          <w:bCs/>
        </w:rPr>
        <w:t xml:space="preserve">For existing rules, filers don’t understand how to fix errors that they get when running rules.  We would like to provide more guidance for filers to be able to address the errors.  The rules provide </w:t>
      </w:r>
      <w:r w:rsidR="0041796E">
        <w:rPr>
          <w:bCs/>
        </w:rPr>
        <w:t>a “rule message”, but filers may need more context for the reasons underlying the errors.</w:t>
      </w:r>
      <w:r>
        <w:rPr>
          <w:bCs/>
        </w:rPr>
        <w:t xml:space="preserve"> </w:t>
      </w:r>
      <w:r w:rsidR="0041796E">
        <w:rPr>
          <w:bCs/>
        </w:rPr>
        <w:t>This may result in needing to adjust the existing rule forms.</w:t>
      </w:r>
    </w:p>
    <w:p w14:paraId="688F903B" w14:textId="36A8EFE6" w:rsidR="0041796E" w:rsidRDefault="0041796E" w:rsidP="00862DC9">
      <w:pPr>
        <w:pStyle w:val="ListParagraph"/>
        <w:numPr>
          <w:ilvl w:val="0"/>
          <w:numId w:val="33"/>
        </w:numPr>
        <w:spacing w:line="332" w:lineRule="auto"/>
        <w:ind w:left="360"/>
        <w:rPr>
          <w:bCs/>
        </w:rPr>
      </w:pPr>
      <w:r>
        <w:rPr>
          <w:bCs/>
        </w:rPr>
        <w:t>XBRL US has issued guidance on auditor tagging.  There are some specific questions relate</w:t>
      </w:r>
      <w:r w:rsidR="00953E7F">
        <w:rPr>
          <w:bCs/>
        </w:rPr>
        <w:t>d</w:t>
      </w:r>
      <w:r>
        <w:rPr>
          <w:bCs/>
        </w:rPr>
        <w:t xml:space="preserve"> to this area (e.g., joint auditor).  The guidance will need to be updated for the joint auditor situation.</w:t>
      </w:r>
    </w:p>
    <w:p w14:paraId="3999F7F5" w14:textId="3F70608B" w:rsidR="00A512FD" w:rsidRPr="00862DC9" w:rsidRDefault="00A512FD" w:rsidP="00862DC9">
      <w:pPr>
        <w:pStyle w:val="ListParagraph"/>
        <w:numPr>
          <w:ilvl w:val="0"/>
          <w:numId w:val="33"/>
        </w:numPr>
        <w:spacing w:line="332" w:lineRule="auto"/>
        <w:ind w:left="360"/>
        <w:rPr>
          <w:bCs/>
        </w:rPr>
      </w:pPr>
      <w:r>
        <w:rPr>
          <w:bCs/>
        </w:rPr>
        <w:t>The topic of extensions will be something to address.</w:t>
      </w:r>
    </w:p>
    <w:p w14:paraId="550E7197" w14:textId="77777777" w:rsidR="0038190C" w:rsidRPr="00D224D8" w:rsidRDefault="0038190C" w:rsidP="00D224D8">
      <w:pPr>
        <w:spacing w:line="332" w:lineRule="auto"/>
        <w:rPr>
          <w:rFonts w:ascii="Arial" w:eastAsia="Arial" w:hAnsi="Arial" w:cs="Arial"/>
          <w:b/>
          <w:sz w:val="22"/>
        </w:rPr>
      </w:pPr>
    </w:p>
    <w:p w14:paraId="20D30D43" w14:textId="35934ACD" w:rsidR="00F16DBB" w:rsidRDefault="00D224D8" w:rsidP="00F16DBB">
      <w:pPr>
        <w:spacing w:line="332" w:lineRule="auto"/>
        <w:rPr>
          <w:rFonts w:ascii="Arial" w:eastAsia="Arial" w:hAnsi="Arial" w:cs="Arial"/>
          <w:b/>
          <w:sz w:val="22"/>
        </w:rPr>
      </w:pPr>
      <w:r w:rsidRPr="00D224D8">
        <w:rPr>
          <w:rFonts w:ascii="Arial" w:eastAsia="Arial" w:hAnsi="Arial" w:cs="Arial"/>
          <w:b/>
          <w:sz w:val="22"/>
        </w:rPr>
        <w:lastRenderedPageBreak/>
        <w:t>IFRS/ESEF Alignment</w:t>
      </w:r>
    </w:p>
    <w:p w14:paraId="6EA96519" w14:textId="0BFCCF55" w:rsidR="00A512FD" w:rsidRPr="00EB63DB" w:rsidRDefault="00A512FD" w:rsidP="00A512FD">
      <w:pPr>
        <w:pStyle w:val="ListParagraph"/>
        <w:numPr>
          <w:ilvl w:val="0"/>
          <w:numId w:val="34"/>
        </w:numPr>
        <w:spacing w:line="332" w:lineRule="auto"/>
        <w:ind w:left="360"/>
        <w:rPr>
          <w:b/>
        </w:rPr>
      </w:pPr>
      <w:r>
        <w:rPr>
          <w:bCs/>
        </w:rPr>
        <w:t>Campbell mentioned that we are working with XBRL International</w:t>
      </w:r>
      <w:r w:rsidR="00EB63DB">
        <w:rPr>
          <w:bCs/>
        </w:rPr>
        <w:t xml:space="preserve"> (XII)</w:t>
      </w:r>
      <w:r>
        <w:rPr>
          <w:bCs/>
        </w:rPr>
        <w:t xml:space="preserve"> to leverage IFRS DQC rules for the ESEF filings.  There are 14 DQC rules that XBRL US has made available on the XBRL US website that can be run for ESEF.  XII will set up a committee to address new rules for ESEF filings. </w:t>
      </w:r>
    </w:p>
    <w:p w14:paraId="3C9104CF" w14:textId="1077A903" w:rsidR="00EB63DB" w:rsidRPr="00A512FD" w:rsidRDefault="00EB63DB" w:rsidP="00A512FD">
      <w:pPr>
        <w:pStyle w:val="ListParagraph"/>
        <w:numPr>
          <w:ilvl w:val="0"/>
          <w:numId w:val="34"/>
        </w:numPr>
        <w:spacing w:line="332" w:lineRule="auto"/>
        <w:ind w:left="360"/>
        <w:rPr>
          <w:b/>
        </w:rPr>
      </w:pPr>
      <w:r>
        <w:rPr>
          <w:bCs/>
        </w:rPr>
        <w:t>XII has loaded ESEF filings on the XII website and are available for viewing.</w:t>
      </w:r>
    </w:p>
    <w:p w14:paraId="7C6EC362" w14:textId="77777777" w:rsidR="0038190C" w:rsidRPr="00F16DBB" w:rsidRDefault="0038190C" w:rsidP="00F16DBB">
      <w:pPr>
        <w:spacing w:line="332" w:lineRule="auto"/>
        <w:rPr>
          <w:rFonts w:ascii="Arial" w:eastAsia="Arial" w:hAnsi="Arial" w:cs="Arial"/>
          <w:b/>
          <w:sz w:val="22"/>
        </w:rPr>
      </w:pPr>
    </w:p>
    <w:p w14:paraId="3B6583A0" w14:textId="6DE7D7B5" w:rsidR="00C83061" w:rsidRDefault="00C83061" w:rsidP="00C83061">
      <w:pPr>
        <w:jc w:val="both"/>
        <w:rPr>
          <w:szCs w:val="22"/>
        </w:rPr>
      </w:pPr>
    </w:p>
    <w:p w14:paraId="0907FF8D" w14:textId="68DCAD40" w:rsidR="007D35FB" w:rsidRDefault="007D35FB" w:rsidP="007D35FB">
      <w:pPr>
        <w:spacing w:line="332" w:lineRule="auto"/>
        <w:rPr>
          <w:rFonts w:ascii="Arial" w:eastAsia="Arial" w:hAnsi="Arial" w:cs="Arial"/>
          <w:sz w:val="22"/>
        </w:rPr>
      </w:pPr>
      <w:r>
        <w:rPr>
          <w:rFonts w:ascii="Arial" w:eastAsia="Arial" w:hAnsi="Arial" w:cs="Arial"/>
          <w:sz w:val="22"/>
        </w:rPr>
        <w:t>Meeting adjourned 1</w:t>
      </w:r>
      <w:r w:rsidR="007C62CC">
        <w:rPr>
          <w:rFonts w:ascii="Arial" w:eastAsia="Arial" w:hAnsi="Arial" w:cs="Arial"/>
          <w:sz w:val="22"/>
        </w:rPr>
        <w:t>0</w:t>
      </w:r>
      <w:r w:rsidR="00D922D1">
        <w:rPr>
          <w:rFonts w:ascii="Arial" w:eastAsia="Arial" w:hAnsi="Arial" w:cs="Arial"/>
          <w:sz w:val="22"/>
        </w:rPr>
        <w:t>:</w:t>
      </w:r>
      <w:r w:rsidR="002A6581">
        <w:rPr>
          <w:rFonts w:ascii="Arial" w:eastAsia="Arial" w:hAnsi="Arial" w:cs="Arial"/>
          <w:sz w:val="22"/>
        </w:rPr>
        <w:t>40</w:t>
      </w:r>
      <w:r w:rsidR="00D922D1">
        <w:rPr>
          <w:rFonts w:ascii="Arial" w:eastAsia="Arial" w:hAnsi="Arial" w:cs="Arial"/>
          <w:sz w:val="22"/>
        </w:rPr>
        <w:t>A</w:t>
      </w:r>
      <w:r>
        <w:rPr>
          <w:rFonts w:ascii="Arial" w:eastAsia="Arial" w:hAnsi="Arial" w:cs="Arial"/>
          <w:sz w:val="22"/>
        </w:rPr>
        <w:t xml:space="preserve">M, after which the DQC held a closed session.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28E7" w14:textId="77777777" w:rsidR="00A02FB6" w:rsidRDefault="00A02FB6">
      <w:r>
        <w:separator/>
      </w:r>
    </w:p>
  </w:endnote>
  <w:endnote w:type="continuationSeparator" w:id="0">
    <w:p w14:paraId="14CEF645" w14:textId="77777777" w:rsidR="00A02FB6" w:rsidRDefault="00A0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F910" w14:textId="77777777" w:rsidR="00A02FB6" w:rsidRDefault="00A02FB6">
      <w:r>
        <w:separator/>
      </w:r>
    </w:p>
  </w:footnote>
  <w:footnote w:type="continuationSeparator" w:id="0">
    <w:p w14:paraId="058DC506" w14:textId="77777777" w:rsidR="00A02FB6" w:rsidRDefault="00A0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0"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B1F08"/>
    <w:multiLevelType w:val="hybridMultilevel"/>
    <w:tmpl w:val="3CE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774121"/>
    <w:multiLevelType w:val="hybridMultilevel"/>
    <w:tmpl w:val="958A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55335CA9"/>
    <w:multiLevelType w:val="hybridMultilevel"/>
    <w:tmpl w:val="F9E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61AF8"/>
    <w:multiLevelType w:val="hybridMultilevel"/>
    <w:tmpl w:val="8AD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856B4"/>
    <w:multiLevelType w:val="hybridMultilevel"/>
    <w:tmpl w:val="67824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8"/>
  </w:num>
  <w:num w:numId="3">
    <w:abstractNumId w:val="26"/>
  </w:num>
  <w:num w:numId="4">
    <w:abstractNumId w:val="29"/>
  </w:num>
  <w:num w:numId="5">
    <w:abstractNumId w:val="27"/>
  </w:num>
  <w:num w:numId="6">
    <w:abstractNumId w:val="28"/>
  </w:num>
  <w:num w:numId="7">
    <w:abstractNumId w:val="13"/>
  </w:num>
  <w:num w:numId="8">
    <w:abstractNumId w:val="4"/>
  </w:num>
  <w:num w:numId="9">
    <w:abstractNumId w:val="3"/>
  </w:num>
  <w:num w:numId="10">
    <w:abstractNumId w:val="2"/>
  </w:num>
  <w:num w:numId="11">
    <w:abstractNumId w:val="30"/>
  </w:num>
  <w:num w:numId="12">
    <w:abstractNumId w:val="10"/>
  </w:num>
  <w:num w:numId="13">
    <w:abstractNumId w:val="32"/>
  </w:num>
  <w:num w:numId="14">
    <w:abstractNumId w:val="6"/>
  </w:num>
  <w:num w:numId="15">
    <w:abstractNumId w:val="21"/>
  </w:num>
  <w:num w:numId="16">
    <w:abstractNumId w:val="14"/>
  </w:num>
  <w:num w:numId="17">
    <w:abstractNumId w:val="8"/>
  </w:num>
  <w:num w:numId="18">
    <w:abstractNumId w:val="7"/>
  </w:num>
  <w:num w:numId="19">
    <w:abstractNumId w:val="1"/>
  </w:num>
  <w:num w:numId="20">
    <w:abstractNumId w:val="15"/>
  </w:num>
  <w:num w:numId="21">
    <w:abstractNumId w:val="22"/>
  </w:num>
  <w:num w:numId="22">
    <w:abstractNumId w:val="24"/>
  </w:num>
  <w:num w:numId="23">
    <w:abstractNumId w:val="9"/>
  </w:num>
  <w:num w:numId="24">
    <w:abstractNumId w:val="17"/>
  </w:num>
  <w:num w:numId="25">
    <w:abstractNumId w:val="31"/>
  </w:num>
  <w:num w:numId="26">
    <w:abstractNumId w:val="0"/>
  </w:num>
  <w:num w:numId="27">
    <w:abstractNumId w:val="12"/>
  </w:num>
  <w:num w:numId="28">
    <w:abstractNumId w:val="17"/>
  </w:num>
  <w:num w:numId="29">
    <w:abstractNumId w:val="19"/>
  </w:num>
  <w:num w:numId="30">
    <w:abstractNumId w:val="5"/>
  </w:num>
  <w:num w:numId="31">
    <w:abstractNumId w:val="16"/>
  </w:num>
  <w:num w:numId="32">
    <w:abstractNumId w:val="23"/>
  </w:num>
  <w:num w:numId="33">
    <w:abstractNumId w:val="11"/>
  </w:num>
  <w:num w:numId="3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4A38"/>
    <w:rsid w:val="00016AA4"/>
    <w:rsid w:val="00016F7E"/>
    <w:rsid w:val="000204AB"/>
    <w:rsid w:val="00020EA9"/>
    <w:rsid w:val="00021BB0"/>
    <w:rsid w:val="00025914"/>
    <w:rsid w:val="00026C18"/>
    <w:rsid w:val="000309CD"/>
    <w:rsid w:val="00034B1F"/>
    <w:rsid w:val="000413C8"/>
    <w:rsid w:val="00043834"/>
    <w:rsid w:val="00044F05"/>
    <w:rsid w:val="00046D37"/>
    <w:rsid w:val="00047C0B"/>
    <w:rsid w:val="0005041A"/>
    <w:rsid w:val="00052B41"/>
    <w:rsid w:val="000548F4"/>
    <w:rsid w:val="000558DD"/>
    <w:rsid w:val="00056425"/>
    <w:rsid w:val="0005737B"/>
    <w:rsid w:val="00070F36"/>
    <w:rsid w:val="00070FA9"/>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6B55"/>
    <w:rsid w:val="000A373D"/>
    <w:rsid w:val="000A40AB"/>
    <w:rsid w:val="000A67DF"/>
    <w:rsid w:val="000B19CB"/>
    <w:rsid w:val="000B1C9E"/>
    <w:rsid w:val="000B207C"/>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1A0"/>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26919"/>
    <w:rsid w:val="001318C6"/>
    <w:rsid w:val="00133B2A"/>
    <w:rsid w:val="001359A2"/>
    <w:rsid w:val="00135A3A"/>
    <w:rsid w:val="001369D9"/>
    <w:rsid w:val="00137246"/>
    <w:rsid w:val="0013768C"/>
    <w:rsid w:val="001410BB"/>
    <w:rsid w:val="00143014"/>
    <w:rsid w:val="001431B0"/>
    <w:rsid w:val="001436D9"/>
    <w:rsid w:val="00144121"/>
    <w:rsid w:val="00144ADB"/>
    <w:rsid w:val="001469D0"/>
    <w:rsid w:val="0014700A"/>
    <w:rsid w:val="00147399"/>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75D"/>
    <w:rsid w:val="001C389D"/>
    <w:rsid w:val="001C59CC"/>
    <w:rsid w:val="001D0A77"/>
    <w:rsid w:val="001D3459"/>
    <w:rsid w:val="001D383E"/>
    <w:rsid w:val="001D3B82"/>
    <w:rsid w:val="001D5D68"/>
    <w:rsid w:val="001D698D"/>
    <w:rsid w:val="001D6B1E"/>
    <w:rsid w:val="001E2606"/>
    <w:rsid w:val="001E3A76"/>
    <w:rsid w:val="001F0134"/>
    <w:rsid w:val="001F186F"/>
    <w:rsid w:val="001F62ED"/>
    <w:rsid w:val="001F7ADF"/>
    <w:rsid w:val="00204836"/>
    <w:rsid w:val="002074D6"/>
    <w:rsid w:val="00207514"/>
    <w:rsid w:val="00212269"/>
    <w:rsid w:val="00212E84"/>
    <w:rsid w:val="00212FAB"/>
    <w:rsid w:val="0021499F"/>
    <w:rsid w:val="002163A6"/>
    <w:rsid w:val="00220D59"/>
    <w:rsid w:val="0022145D"/>
    <w:rsid w:val="00221EA4"/>
    <w:rsid w:val="00230379"/>
    <w:rsid w:val="00230A9B"/>
    <w:rsid w:val="002324E3"/>
    <w:rsid w:val="00234097"/>
    <w:rsid w:val="00234902"/>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5E4E"/>
    <w:rsid w:val="002671C3"/>
    <w:rsid w:val="00267490"/>
    <w:rsid w:val="00270360"/>
    <w:rsid w:val="00272DBB"/>
    <w:rsid w:val="002773BA"/>
    <w:rsid w:val="00280A93"/>
    <w:rsid w:val="00280B44"/>
    <w:rsid w:val="00282F07"/>
    <w:rsid w:val="00283532"/>
    <w:rsid w:val="00286985"/>
    <w:rsid w:val="002878C8"/>
    <w:rsid w:val="002907ED"/>
    <w:rsid w:val="00290C62"/>
    <w:rsid w:val="00292588"/>
    <w:rsid w:val="002936F4"/>
    <w:rsid w:val="00295C0F"/>
    <w:rsid w:val="00295E54"/>
    <w:rsid w:val="00296DA6"/>
    <w:rsid w:val="0029757F"/>
    <w:rsid w:val="002A0601"/>
    <w:rsid w:val="002A09BF"/>
    <w:rsid w:val="002A14AA"/>
    <w:rsid w:val="002A411B"/>
    <w:rsid w:val="002A6581"/>
    <w:rsid w:val="002A6C2E"/>
    <w:rsid w:val="002A70CC"/>
    <w:rsid w:val="002B3CE6"/>
    <w:rsid w:val="002B49CC"/>
    <w:rsid w:val="002B64DB"/>
    <w:rsid w:val="002C0324"/>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F2803"/>
    <w:rsid w:val="002F4E92"/>
    <w:rsid w:val="002F65FE"/>
    <w:rsid w:val="002F6BD0"/>
    <w:rsid w:val="002F74D5"/>
    <w:rsid w:val="00300401"/>
    <w:rsid w:val="00300474"/>
    <w:rsid w:val="0030404C"/>
    <w:rsid w:val="00305DAD"/>
    <w:rsid w:val="003071CC"/>
    <w:rsid w:val="00310738"/>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42FE"/>
    <w:rsid w:val="00335D46"/>
    <w:rsid w:val="00337674"/>
    <w:rsid w:val="003431C2"/>
    <w:rsid w:val="00346E12"/>
    <w:rsid w:val="0035018E"/>
    <w:rsid w:val="00354148"/>
    <w:rsid w:val="00354581"/>
    <w:rsid w:val="00354E57"/>
    <w:rsid w:val="00355950"/>
    <w:rsid w:val="0035624A"/>
    <w:rsid w:val="003567FE"/>
    <w:rsid w:val="00357675"/>
    <w:rsid w:val="003643AF"/>
    <w:rsid w:val="0036487D"/>
    <w:rsid w:val="0036531D"/>
    <w:rsid w:val="00366C60"/>
    <w:rsid w:val="00366E6F"/>
    <w:rsid w:val="0036731F"/>
    <w:rsid w:val="003709C0"/>
    <w:rsid w:val="003723BB"/>
    <w:rsid w:val="00373919"/>
    <w:rsid w:val="00375BB8"/>
    <w:rsid w:val="003767EB"/>
    <w:rsid w:val="00377959"/>
    <w:rsid w:val="00377FB7"/>
    <w:rsid w:val="0038190C"/>
    <w:rsid w:val="003830A0"/>
    <w:rsid w:val="00384588"/>
    <w:rsid w:val="00390AD5"/>
    <w:rsid w:val="003939B9"/>
    <w:rsid w:val="003959DA"/>
    <w:rsid w:val="00395EA4"/>
    <w:rsid w:val="003A0C0B"/>
    <w:rsid w:val="003A2B6F"/>
    <w:rsid w:val="003B3014"/>
    <w:rsid w:val="003B3597"/>
    <w:rsid w:val="003B3B44"/>
    <w:rsid w:val="003C058E"/>
    <w:rsid w:val="003C312A"/>
    <w:rsid w:val="003C5EEA"/>
    <w:rsid w:val="003D4A46"/>
    <w:rsid w:val="003D5BBE"/>
    <w:rsid w:val="003E351D"/>
    <w:rsid w:val="003E7453"/>
    <w:rsid w:val="003E791C"/>
    <w:rsid w:val="003E79E3"/>
    <w:rsid w:val="003F1A04"/>
    <w:rsid w:val="003F2197"/>
    <w:rsid w:val="003F435A"/>
    <w:rsid w:val="004024FB"/>
    <w:rsid w:val="00402D47"/>
    <w:rsid w:val="00403596"/>
    <w:rsid w:val="00403FF5"/>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5B21"/>
    <w:rsid w:val="004462ED"/>
    <w:rsid w:val="00450438"/>
    <w:rsid w:val="00450E6C"/>
    <w:rsid w:val="00451C7C"/>
    <w:rsid w:val="00452126"/>
    <w:rsid w:val="0045636D"/>
    <w:rsid w:val="00456B4F"/>
    <w:rsid w:val="0045745A"/>
    <w:rsid w:val="00461F61"/>
    <w:rsid w:val="0046231F"/>
    <w:rsid w:val="00465976"/>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A56"/>
    <w:rsid w:val="00494D94"/>
    <w:rsid w:val="0049524E"/>
    <w:rsid w:val="00495E9C"/>
    <w:rsid w:val="004A1956"/>
    <w:rsid w:val="004A1E93"/>
    <w:rsid w:val="004A2BEB"/>
    <w:rsid w:val="004A32D5"/>
    <w:rsid w:val="004B09A2"/>
    <w:rsid w:val="004B21A7"/>
    <w:rsid w:val="004B325A"/>
    <w:rsid w:val="004B3352"/>
    <w:rsid w:val="004B4BD3"/>
    <w:rsid w:val="004B734D"/>
    <w:rsid w:val="004B7B08"/>
    <w:rsid w:val="004C40B0"/>
    <w:rsid w:val="004C45CF"/>
    <w:rsid w:val="004C4DF0"/>
    <w:rsid w:val="004C4EBA"/>
    <w:rsid w:val="004C6EF7"/>
    <w:rsid w:val="004C7E7D"/>
    <w:rsid w:val="004D031B"/>
    <w:rsid w:val="004D0930"/>
    <w:rsid w:val="004D144E"/>
    <w:rsid w:val="004D1C8E"/>
    <w:rsid w:val="004D4C5E"/>
    <w:rsid w:val="004D5E7D"/>
    <w:rsid w:val="004D65A1"/>
    <w:rsid w:val="004E1A8B"/>
    <w:rsid w:val="004E4435"/>
    <w:rsid w:val="004E51FF"/>
    <w:rsid w:val="004E6621"/>
    <w:rsid w:val="004F3856"/>
    <w:rsid w:val="005005A2"/>
    <w:rsid w:val="0050070D"/>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E16"/>
    <w:rsid w:val="00566B81"/>
    <w:rsid w:val="005721D8"/>
    <w:rsid w:val="0057264D"/>
    <w:rsid w:val="00572F1C"/>
    <w:rsid w:val="005741AD"/>
    <w:rsid w:val="0057530B"/>
    <w:rsid w:val="00575753"/>
    <w:rsid w:val="005810F4"/>
    <w:rsid w:val="0058420C"/>
    <w:rsid w:val="00584B79"/>
    <w:rsid w:val="005868F2"/>
    <w:rsid w:val="00590126"/>
    <w:rsid w:val="00591B7D"/>
    <w:rsid w:val="005920B1"/>
    <w:rsid w:val="0059243D"/>
    <w:rsid w:val="00593811"/>
    <w:rsid w:val="00595485"/>
    <w:rsid w:val="00595979"/>
    <w:rsid w:val="00595A84"/>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09B"/>
    <w:rsid w:val="005D0D31"/>
    <w:rsid w:val="005D223A"/>
    <w:rsid w:val="005D3FB4"/>
    <w:rsid w:val="005D5C7A"/>
    <w:rsid w:val="005D6513"/>
    <w:rsid w:val="005E49C3"/>
    <w:rsid w:val="005E5673"/>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30028"/>
    <w:rsid w:val="00634F4C"/>
    <w:rsid w:val="00636361"/>
    <w:rsid w:val="00636EB5"/>
    <w:rsid w:val="00641115"/>
    <w:rsid w:val="00641B08"/>
    <w:rsid w:val="00643706"/>
    <w:rsid w:val="006467C5"/>
    <w:rsid w:val="00646A65"/>
    <w:rsid w:val="00646C7E"/>
    <w:rsid w:val="006554CE"/>
    <w:rsid w:val="00656CDF"/>
    <w:rsid w:val="00657D8E"/>
    <w:rsid w:val="00660283"/>
    <w:rsid w:val="006608D3"/>
    <w:rsid w:val="0066246C"/>
    <w:rsid w:val="00663B29"/>
    <w:rsid w:val="00672194"/>
    <w:rsid w:val="00674D5F"/>
    <w:rsid w:val="006764A8"/>
    <w:rsid w:val="00677CBA"/>
    <w:rsid w:val="0068060D"/>
    <w:rsid w:val="00685191"/>
    <w:rsid w:val="00686044"/>
    <w:rsid w:val="006860F0"/>
    <w:rsid w:val="006864A3"/>
    <w:rsid w:val="006906F8"/>
    <w:rsid w:val="0069141C"/>
    <w:rsid w:val="00691A1D"/>
    <w:rsid w:val="00692982"/>
    <w:rsid w:val="00692DC8"/>
    <w:rsid w:val="006A1F47"/>
    <w:rsid w:val="006A4008"/>
    <w:rsid w:val="006A6E5A"/>
    <w:rsid w:val="006B5247"/>
    <w:rsid w:val="006B59ED"/>
    <w:rsid w:val="006B7294"/>
    <w:rsid w:val="006C1FC4"/>
    <w:rsid w:val="006C2843"/>
    <w:rsid w:val="006C2D2C"/>
    <w:rsid w:val="006C47F9"/>
    <w:rsid w:val="006C4F0F"/>
    <w:rsid w:val="006D3CDC"/>
    <w:rsid w:val="006D4F61"/>
    <w:rsid w:val="006D6E32"/>
    <w:rsid w:val="006E19F4"/>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319A"/>
    <w:rsid w:val="00714C1D"/>
    <w:rsid w:val="007166C7"/>
    <w:rsid w:val="007249A3"/>
    <w:rsid w:val="00727879"/>
    <w:rsid w:val="00732D00"/>
    <w:rsid w:val="00733567"/>
    <w:rsid w:val="00736A8C"/>
    <w:rsid w:val="0073741E"/>
    <w:rsid w:val="007413F1"/>
    <w:rsid w:val="00741737"/>
    <w:rsid w:val="00741D3D"/>
    <w:rsid w:val="00743520"/>
    <w:rsid w:val="007439E4"/>
    <w:rsid w:val="007450ED"/>
    <w:rsid w:val="0074756D"/>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5A03"/>
    <w:rsid w:val="007811A3"/>
    <w:rsid w:val="00782FF2"/>
    <w:rsid w:val="00783308"/>
    <w:rsid w:val="00784969"/>
    <w:rsid w:val="007855EC"/>
    <w:rsid w:val="007863AC"/>
    <w:rsid w:val="0079101C"/>
    <w:rsid w:val="00794C46"/>
    <w:rsid w:val="00794D7E"/>
    <w:rsid w:val="0079728F"/>
    <w:rsid w:val="007A3873"/>
    <w:rsid w:val="007A5966"/>
    <w:rsid w:val="007B31DC"/>
    <w:rsid w:val="007B648F"/>
    <w:rsid w:val="007B68BE"/>
    <w:rsid w:val="007C13B3"/>
    <w:rsid w:val="007C1682"/>
    <w:rsid w:val="007C42AF"/>
    <w:rsid w:val="007C62CC"/>
    <w:rsid w:val="007C7A0B"/>
    <w:rsid w:val="007D070E"/>
    <w:rsid w:val="007D11E7"/>
    <w:rsid w:val="007D168D"/>
    <w:rsid w:val="007D35FB"/>
    <w:rsid w:val="007D4F9D"/>
    <w:rsid w:val="007E0633"/>
    <w:rsid w:val="007E4393"/>
    <w:rsid w:val="007E6554"/>
    <w:rsid w:val="007F0A81"/>
    <w:rsid w:val="007F0EF4"/>
    <w:rsid w:val="007F180F"/>
    <w:rsid w:val="007F1C8C"/>
    <w:rsid w:val="007F3FC6"/>
    <w:rsid w:val="007F46DE"/>
    <w:rsid w:val="0080213C"/>
    <w:rsid w:val="008023BA"/>
    <w:rsid w:val="00803468"/>
    <w:rsid w:val="00810A10"/>
    <w:rsid w:val="00811793"/>
    <w:rsid w:val="008122A8"/>
    <w:rsid w:val="00812690"/>
    <w:rsid w:val="00813A6D"/>
    <w:rsid w:val="00816455"/>
    <w:rsid w:val="00816C8F"/>
    <w:rsid w:val="00821F2A"/>
    <w:rsid w:val="008223B5"/>
    <w:rsid w:val="008279FD"/>
    <w:rsid w:val="0083365D"/>
    <w:rsid w:val="008348B6"/>
    <w:rsid w:val="00834B41"/>
    <w:rsid w:val="00835F86"/>
    <w:rsid w:val="0083745E"/>
    <w:rsid w:val="00840DF6"/>
    <w:rsid w:val="00842C06"/>
    <w:rsid w:val="00843F7B"/>
    <w:rsid w:val="0084755C"/>
    <w:rsid w:val="00847CA6"/>
    <w:rsid w:val="00855605"/>
    <w:rsid w:val="00856BF6"/>
    <w:rsid w:val="00862DC9"/>
    <w:rsid w:val="00863977"/>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63E8"/>
    <w:rsid w:val="008A6C30"/>
    <w:rsid w:val="008B0414"/>
    <w:rsid w:val="008B2E0E"/>
    <w:rsid w:val="008B5D15"/>
    <w:rsid w:val="008C01E5"/>
    <w:rsid w:val="008C113A"/>
    <w:rsid w:val="008C739C"/>
    <w:rsid w:val="008C7D4A"/>
    <w:rsid w:val="008D07A7"/>
    <w:rsid w:val="008D2197"/>
    <w:rsid w:val="008D21B3"/>
    <w:rsid w:val="008D23F7"/>
    <w:rsid w:val="008D4DA1"/>
    <w:rsid w:val="008E3E5C"/>
    <w:rsid w:val="008E4914"/>
    <w:rsid w:val="008E7CE9"/>
    <w:rsid w:val="008F1DF5"/>
    <w:rsid w:val="008F48FC"/>
    <w:rsid w:val="008F5512"/>
    <w:rsid w:val="0090041A"/>
    <w:rsid w:val="00903A18"/>
    <w:rsid w:val="00905256"/>
    <w:rsid w:val="009119BA"/>
    <w:rsid w:val="00911C1E"/>
    <w:rsid w:val="009123CB"/>
    <w:rsid w:val="00912646"/>
    <w:rsid w:val="009142B4"/>
    <w:rsid w:val="009179C5"/>
    <w:rsid w:val="00922577"/>
    <w:rsid w:val="009256ED"/>
    <w:rsid w:val="00926A1A"/>
    <w:rsid w:val="009275BC"/>
    <w:rsid w:val="00927A85"/>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E9C"/>
    <w:rsid w:val="00962EF8"/>
    <w:rsid w:val="009631D2"/>
    <w:rsid w:val="00971C4F"/>
    <w:rsid w:val="00972326"/>
    <w:rsid w:val="00973E9A"/>
    <w:rsid w:val="0097424B"/>
    <w:rsid w:val="00980CFB"/>
    <w:rsid w:val="009816AC"/>
    <w:rsid w:val="009817CB"/>
    <w:rsid w:val="00982A9C"/>
    <w:rsid w:val="0098685A"/>
    <w:rsid w:val="009869A3"/>
    <w:rsid w:val="00992A29"/>
    <w:rsid w:val="0099362B"/>
    <w:rsid w:val="0099615B"/>
    <w:rsid w:val="009A0E5C"/>
    <w:rsid w:val="009A18D3"/>
    <w:rsid w:val="009A1FCE"/>
    <w:rsid w:val="009A25DB"/>
    <w:rsid w:val="009A4869"/>
    <w:rsid w:val="009B0668"/>
    <w:rsid w:val="009B23D6"/>
    <w:rsid w:val="009B296F"/>
    <w:rsid w:val="009B33E8"/>
    <w:rsid w:val="009B3D47"/>
    <w:rsid w:val="009B3E6C"/>
    <w:rsid w:val="009B4C60"/>
    <w:rsid w:val="009C4BCA"/>
    <w:rsid w:val="009C60B2"/>
    <w:rsid w:val="009C65AA"/>
    <w:rsid w:val="009D10F6"/>
    <w:rsid w:val="009D3535"/>
    <w:rsid w:val="009E12DB"/>
    <w:rsid w:val="009E29F0"/>
    <w:rsid w:val="009E7533"/>
    <w:rsid w:val="009E7547"/>
    <w:rsid w:val="009F07E4"/>
    <w:rsid w:val="009F2418"/>
    <w:rsid w:val="009F25B0"/>
    <w:rsid w:val="009F2B3D"/>
    <w:rsid w:val="00A019FB"/>
    <w:rsid w:val="00A02814"/>
    <w:rsid w:val="00A02FB6"/>
    <w:rsid w:val="00A02FFE"/>
    <w:rsid w:val="00A032C7"/>
    <w:rsid w:val="00A04748"/>
    <w:rsid w:val="00A0505C"/>
    <w:rsid w:val="00A06EF4"/>
    <w:rsid w:val="00A107E0"/>
    <w:rsid w:val="00A12853"/>
    <w:rsid w:val="00A13CFF"/>
    <w:rsid w:val="00A15D6E"/>
    <w:rsid w:val="00A205AE"/>
    <w:rsid w:val="00A23AEE"/>
    <w:rsid w:val="00A259F1"/>
    <w:rsid w:val="00A26D74"/>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12FD"/>
    <w:rsid w:val="00A52136"/>
    <w:rsid w:val="00A5660C"/>
    <w:rsid w:val="00A56EBF"/>
    <w:rsid w:val="00A6084E"/>
    <w:rsid w:val="00A60B39"/>
    <w:rsid w:val="00A61324"/>
    <w:rsid w:val="00A63631"/>
    <w:rsid w:val="00A65ABD"/>
    <w:rsid w:val="00A668AC"/>
    <w:rsid w:val="00A67D7D"/>
    <w:rsid w:val="00A71E48"/>
    <w:rsid w:val="00A72464"/>
    <w:rsid w:val="00A747D1"/>
    <w:rsid w:val="00A75DF9"/>
    <w:rsid w:val="00A76301"/>
    <w:rsid w:val="00A77C0F"/>
    <w:rsid w:val="00A818F2"/>
    <w:rsid w:val="00A82D10"/>
    <w:rsid w:val="00A842C9"/>
    <w:rsid w:val="00A84C5C"/>
    <w:rsid w:val="00A86BD3"/>
    <w:rsid w:val="00A926E5"/>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6122"/>
    <w:rsid w:val="00AF06E1"/>
    <w:rsid w:val="00AF117B"/>
    <w:rsid w:val="00AF1555"/>
    <w:rsid w:val="00AF3976"/>
    <w:rsid w:val="00AF511A"/>
    <w:rsid w:val="00AF7882"/>
    <w:rsid w:val="00B051B8"/>
    <w:rsid w:val="00B054B5"/>
    <w:rsid w:val="00B05761"/>
    <w:rsid w:val="00B11D9E"/>
    <w:rsid w:val="00B1364A"/>
    <w:rsid w:val="00B1378C"/>
    <w:rsid w:val="00B162D1"/>
    <w:rsid w:val="00B20B3A"/>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517EC"/>
    <w:rsid w:val="00B53BD3"/>
    <w:rsid w:val="00B540E5"/>
    <w:rsid w:val="00B54FE9"/>
    <w:rsid w:val="00B57360"/>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E1CBA"/>
    <w:rsid w:val="00BE27EC"/>
    <w:rsid w:val="00BE7BCC"/>
    <w:rsid w:val="00BF0AEE"/>
    <w:rsid w:val="00BF144F"/>
    <w:rsid w:val="00BF1817"/>
    <w:rsid w:val="00BF1FF8"/>
    <w:rsid w:val="00BF412D"/>
    <w:rsid w:val="00BF458E"/>
    <w:rsid w:val="00BF5581"/>
    <w:rsid w:val="00BF57AD"/>
    <w:rsid w:val="00BF58D5"/>
    <w:rsid w:val="00BF6D3C"/>
    <w:rsid w:val="00BF6F8C"/>
    <w:rsid w:val="00C0576C"/>
    <w:rsid w:val="00C061C1"/>
    <w:rsid w:val="00C06786"/>
    <w:rsid w:val="00C12268"/>
    <w:rsid w:val="00C15982"/>
    <w:rsid w:val="00C168CD"/>
    <w:rsid w:val="00C200A7"/>
    <w:rsid w:val="00C20C85"/>
    <w:rsid w:val="00C2279F"/>
    <w:rsid w:val="00C2341B"/>
    <w:rsid w:val="00C238C0"/>
    <w:rsid w:val="00C24C4E"/>
    <w:rsid w:val="00C24CB9"/>
    <w:rsid w:val="00C255BB"/>
    <w:rsid w:val="00C26383"/>
    <w:rsid w:val="00C30558"/>
    <w:rsid w:val="00C31B06"/>
    <w:rsid w:val="00C33392"/>
    <w:rsid w:val="00C3446A"/>
    <w:rsid w:val="00C346F1"/>
    <w:rsid w:val="00C41023"/>
    <w:rsid w:val="00C41B94"/>
    <w:rsid w:val="00C43538"/>
    <w:rsid w:val="00C444A4"/>
    <w:rsid w:val="00C449B2"/>
    <w:rsid w:val="00C470E9"/>
    <w:rsid w:val="00C52CD9"/>
    <w:rsid w:val="00C5662D"/>
    <w:rsid w:val="00C60A1F"/>
    <w:rsid w:val="00C60FC7"/>
    <w:rsid w:val="00C61062"/>
    <w:rsid w:val="00C61189"/>
    <w:rsid w:val="00C63285"/>
    <w:rsid w:val="00C64465"/>
    <w:rsid w:val="00C65CE8"/>
    <w:rsid w:val="00C65FB1"/>
    <w:rsid w:val="00C72EDA"/>
    <w:rsid w:val="00C733CB"/>
    <w:rsid w:val="00C7439A"/>
    <w:rsid w:val="00C7646A"/>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42CC"/>
    <w:rsid w:val="00CF688D"/>
    <w:rsid w:val="00D00A9C"/>
    <w:rsid w:val="00D01948"/>
    <w:rsid w:val="00D024F1"/>
    <w:rsid w:val="00D05AD3"/>
    <w:rsid w:val="00D11365"/>
    <w:rsid w:val="00D11C8C"/>
    <w:rsid w:val="00D16116"/>
    <w:rsid w:val="00D16C06"/>
    <w:rsid w:val="00D21925"/>
    <w:rsid w:val="00D224D8"/>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1CE1"/>
    <w:rsid w:val="00D548D4"/>
    <w:rsid w:val="00D54F43"/>
    <w:rsid w:val="00D554F5"/>
    <w:rsid w:val="00D56432"/>
    <w:rsid w:val="00D5668F"/>
    <w:rsid w:val="00D56A10"/>
    <w:rsid w:val="00D57D77"/>
    <w:rsid w:val="00D62F80"/>
    <w:rsid w:val="00D65797"/>
    <w:rsid w:val="00D67616"/>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6A10"/>
    <w:rsid w:val="00D97345"/>
    <w:rsid w:val="00DA293E"/>
    <w:rsid w:val="00DA37E0"/>
    <w:rsid w:val="00DA4B02"/>
    <w:rsid w:val="00DA56B5"/>
    <w:rsid w:val="00DA7CE9"/>
    <w:rsid w:val="00DB13CC"/>
    <w:rsid w:val="00DB13DA"/>
    <w:rsid w:val="00DB3210"/>
    <w:rsid w:val="00DB5C83"/>
    <w:rsid w:val="00DB666C"/>
    <w:rsid w:val="00DC4648"/>
    <w:rsid w:val="00DC5CCC"/>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4E1"/>
    <w:rsid w:val="00E07CAD"/>
    <w:rsid w:val="00E114E3"/>
    <w:rsid w:val="00E168ED"/>
    <w:rsid w:val="00E2095D"/>
    <w:rsid w:val="00E23A33"/>
    <w:rsid w:val="00E2477A"/>
    <w:rsid w:val="00E30681"/>
    <w:rsid w:val="00E3133C"/>
    <w:rsid w:val="00E31548"/>
    <w:rsid w:val="00E31573"/>
    <w:rsid w:val="00E31C76"/>
    <w:rsid w:val="00E322B0"/>
    <w:rsid w:val="00E3282E"/>
    <w:rsid w:val="00E33295"/>
    <w:rsid w:val="00E36483"/>
    <w:rsid w:val="00E401C1"/>
    <w:rsid w:val="00E40707"/>
    <w:rsid w:val="00E40FC4"/>
    <w:rsid w:val="00E430E3"/>
    <w:rsid w:val="00E43EDE"/>
    <w:rsid w:val="00E448AB"/>
    <w:rsid w:val="00E448C5"/>
    <w:rsid w:val="00E45A54"/>
    <w:rsid w:val="00E45A5B"/>
    <w:rsid w:val="00E45F5E"/>
    <w:rsid w:val="00E54D40"/>
    <w:rsid w:val="00E61700"/>
    <w:rsid w:val="00E669EE"/>
    <w:rsid w:val="00E70EDC"/>
    <w:rsid w:val="00E712F3"/>
    <w:rsid w:val="00E7140A"/>
    <w:rsid w:val="00E727F1"/>
    <w:rsid w:val="00E739B0"/>
    <w:rsid w:val="00E75780"/>
    <w:rsid w:val="00E7657C"/>
    <w:rsid w:val="00E82FB6"/>
    <w:rsid w:val="00E84D07"/>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D105A"/>
    <w:rsid w:val="00ED16AE"/>
    <w:rsid w:val="00ED1C32"/>
    <w:rsid w:val="00ED37D7"/>
    <w:rsid w:val="00ED7CB1"/>
    <w:rsid w:val="00EE0FEE"/>
    <w:rsid w:val="00EE1E30"/>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25A6"/>
    <w:rsid w:val="00F13F3F"/>
    <w:rsid w:val="00F16DBB"/>
    <w:rsid w:val="00F17250"/>
    <w:rsid w:val="00F20275"/>
    <w:rsid w:val="00F20D36"/>
    <w:rsid w:val="00F21534"/>
    <w:rsid w:val="00F2187C"/>
    <w:rsid w:val="00F224F1"/>
    <w:rsid w:val="00F22BB6"/>
    <w:rsid w:val="00F25E29"/>
    <w:rsid w:val="00F266B0"/>
    <w:rsid w:val="00F27226"/>
    <w:rsid w:val="00F33E1A"/>
    <w:rsid w:val="00F36CCB"/>
    <w:rsid w:val="00F37847"/>
    <w:rsid w:val="00F37FDA"/>
    <w:rsid w:val="00F407A7"/>
    <w:rsid w:val="00F40A0D"/>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59AE"/>
    <w:rsid w:val="00F76181"/>
    <w:rsid w:val="00F76594"/>
    <w:rsid w:val="00F77A92"/>
    <w:rsid w:val="00F862C7"/>
    <w:rsid w:val="00F866DD"/>
    <w:rsid w:val="00F87F2E"/>
    <w:rsid w:val="00F90BF2"/>
    <w:rsid w:val="00F90EA8"/>
    <w:rsid w:val="00F90F12"/>
    <w:rsid w:val="00F91862"/>
    <w:rsid w:val="00F93BE5"/>
    <w:rsid w:val="00FA1698"/>
    <w:rsid w:val="00FA2B0A"/>
    <w:rsid w:val="00FA4194"/>
    <w:rsid w:val="00FA4FB3"/>
    <w:rsid w:val="00FA6E7C"/>
    <w:rsid w:val="00FB0208"/>
    <w:rsid w:val="00FB0CF8"/>
    <w:rsid w:val="00FB264D"/>
    <w:rsid w:val="00FB2C20"/>
    <w:rsid w:val="00FB31C3"/>
    <w:rsid w:val="00FB32A6"/>
    <w:rsid w:val="00FB420B"/>
    <w:rsid w:val="00FB4EFB"/>
    <w:rsid w:val="00FC0B9E"/>
    <w:rsid w:val="00FD0BAE"/>
    <w:rsid w:val="00FD128C"/>
    <w:rsid w:val="00FD1D03"/>
    <w:rsid w:val="00FD2846"/>
    <w:rsid w:val="00FD6102"/>
    <w:rsid w:val="00FE07C6"/>
    <w:rsid w:val="00FE0B36"/>
    <w:rsid w:val="00FE1E1A"/>
    <w:rsid w:val="00FE35FE"/>
    <w:rsid w:val="00FE6EE5"/>
    <w:rsid w:val="00FF1FC7"/>
    <w:rsid w:val="00FF269B"/>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4.xml><?xml version="1.0" encoding="utf-8"?>
<ds:datastoreItem xmlns:ds="http://schemas.openxmlformats.org/officeDocument/2006/customXml" ds:itemID="{1CEC15CA-225C-4BEB-9F7A-E3734072F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1383</Words>
  <Characters>7889</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2022-04-13T17:21:00Z</dcterms:created>
  <dcterms:modified xsi:type="dcterms:W3CDTF">2022-04-13T17:21:00Z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ies>
</file>