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44DFAFF7" w14:textId="33D65C68" w:rsidR="00354581" w:rsidRDefault="007F4AE0">
      <w:pPr>
        <w:spacing w:line="288" w:lineRule="auto"/>
        <w:jc w:val="center"/>
        <w:rPr>
          <w:rFonts w:ascii="Arial" w:eastAsia="Arial" w:hAnsi="Arial" w:cs="Arial"/>
          <w:b/>
          <w:sz w:val="24"/>
        </w:rPr>
      </w:pPr>
      <w:r>
        <w:rPr>
          <w:rFonts w:ascii="Arial" w:eastAsia="Arial" w:hAnsi="Arial" w:cs="Arial"/>
          <w:b/>
          <w:sz w:val="24"/>
        </w:rPr>
        <w:t>March 14</w:t>
      </w:r>
      <w:r w:rsidR="008D21B3">
        <w:rPr>
          <w:rFonts w:ascii="Arial" w:eastAsia="Arial" w:hAnsi="Arial" w:cs="Arial"/>
          <w:b/>
          <w:sz w:val="24"/>
        </w:rPr>
        <w:t>, 202</w:t>
      </w:r>
      <w:r>
        <w:rPr>
          <w:rFonts w:ascii="Arial" w:eastAsia="Arial" w:hAnsi="Arial" w:cs="Arial"/>
          <w:b/>
          <w:sz w:val="24"/>
        </w:rPr>
        <w:t>4</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0810DB65"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w:t>
      </w:r>
      <w:r w:rsidR="00A62117">
        <w:rPr>
          <w:rFonts w:ascii="Arial" w:eastAsia="Arial" w:hAnsi="Arial" w:cs="Arial"/>
          <w:sz w:val="22"/>
        </w:rPr>
        <w:t xml:space="preserve">Jennifer Liu, </w:t>
      </w:r>
      <w:r w:rsidR="00917E38">
        <w:rPr>
          <w:rFonts w:ascii="Arial" w:eastAsia="Arial" w:hAnsi="Arial" w:cs="Arial"/>
          <w:sz w:val="22"/>
        </w:rPr>
        <w:t>Charles Kessler</w:t>
      </w:r>
      <w:r w:rsidR="00495CB2">
        <w:rPr>
          <w:rFonts w:ascii="Arial" w:eastAsia="Arial" w:hAnsi="Arial" w:cs="Arial"/>
          <w:sz w:val="22"/>
        </w:rPr>
        <w:t>,</w:t>
      </w:r>
      <w:r w:rsidR="00E525B9">
        <w:rPr>
          <w:rFonts w:ascii="Arial" w:eastAsia="Arial" w:hAnsi="Arial" w:cs="Arial"/>
          <w:sz w:val="22"/>
        </w:rPr>
        <w:t xml:space="preserve"> </w:t>
      </w:r>
      <w:r w:rsidR="003D0C27">
        <w:rPr>
          <w:rFonts w:ascii="Arial" w:eastAsia="Arial" w:hAnsi="Arial" w:cs="Arial"/>
          <w:sz w:val="22"/>
        </w:rPr>
        <w:t xml:space="preserve">Pranav Ghai, </w:t>
      </w:r>
      <w:r w:rsidR="00696C4F">
        <w:rPr>
          <w:rFonts w:ascii="Arial" w:eastAsia="Arial" w:hAnsi="Arial" w:cs="Arial"/>
          <w:sz w:val="22"/>
        </w:rPr>
        <w:t>Brian Bracey</w:t>
      </w:r>
      <w:r w:rsidR="00230DA3">
        <w:rPr>
          <w:rFonts w:ascii="Arial" w:eastAsia="Arial" w:hAnsi="Arial" w:cs="Arial"/>
          <w:sz w:val="22"/>
        </w:rPr>
        <w:t>,</w:t>
      </w:r>
      <w:r w:rsidR="00230DA3" w:rsidRPr="00230DA3">
        <w:rPr>
          <w:rFonts w:ascii="Arial" w:eastAsia="Arial" w:hAnsi="Arial" w:cs="Arial"/>
          <w:sz w:val="22"/>
        </w:rPr>
        <w:t xml:space="preserve"> </w:t>
      </w:r>
      <w:r w:rsidR="00230DA3">
        <w:rPr>
          <w:rFonts w:ascii="Arial" w:eastAsia="Arial" w:hAnsi="Arial" w:cs="Arial"/>
          <w:sz w:val="22"/>
        </w:rPr>
        <w:t>Mohini Singh</w:t>
      </w:r>
      <w:r w:rsidR="00975C14">
        <w:rPr>
          <w:rFonts w:ascii="Arial" w:eastAsia="Arial" w:hAnsi="Arial" w:cs="Arial"/>
          <w:sz w:val="22"/>
        </w:rPr>
        <w:t>, Amit Varshney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7DD719BE" w:rsidR="00A5025E" w:rsidRDefault="00BF6D3C">
      <w:pPr>
        <w:spacing w:line="332" w:lineRule="auto"/>
        <w:rPr>
          <w:rFonts w:ascii="Arial" w:eastAsia="Arial" w:hAnsi="Arial" w:cs="Arial"/>
          <w:sz w:val="22"/>
        </w:rPr>
      </w:pPr>
      <w:r>
        <w:rPr>
          <w:rFonts w:ascii="Arial" w:eastAsia="Arial" w:hAnsi="Arial" w:cs="Arial"/>
          <w:sz w:val="22"/>
        </w:rPr>
        <w:t>Adrian Cloutier</w:t>
      </w:r>
      <w:r w:rsidR="00850812">
        <w:rPr>
          <w:rFonts w:ascii="Arial" w:eastAsia="Arial" w:hAnsi="Arial" w:cs="Arial"/>
          <w:sz w:val="22"/>
        </w:rPr>
        <w:t>,</w:t>
      </w:r>
      <w:r w:rsidR="0073483D" w:rsidRPr="0073483D">
        <w:rPr>
          <w:rFonts w:ascii="Arial" w:eastAsia="Arial" w:hAnsi="Arial" w:cs="Arial"/>
          <w:sz w:val="22"/>
        </w:rPr>
        <w:t xml:space="preserve"> </w:t>
      </w:r>
      <w:r w:rsidR="008D0024">
        <w:rPr>
          <w:rFonts w:ascii="Arial" w:eastAsia="Arial" w:hAnsi="Arial" w:cs="Arial"/>
          <w:sz w:val="22"/>
        </w:rPr>
        <w:t>Glad Sully</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27CA4B21"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495CB2">
        <w:rPr>
          <w:rFonts w:ascii="Arial" w:eastAsia="Arial" w:hAnsi="Arial" w:cs="Arial"/>
          <w:sz w:val="22"/>
        </w:rPr>
        <w:t xml:space="preserve">, </w:t>
      </w:r>
      <w:r w:rsidR="00AB6C75">
        <w:rPr>
          <w:rFonts w:ascii="Arial" w:eastAsia="Arial" w:hAnsi="Arial" w:cs="Arial"/>
          <w:sz w:val="22"/>
        </w:rPr>
        <w:t>Michelle Savage</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0E24C24D" w:rsidR="00354581" w:rsidRDefault="00D72ECD">
      <w:pPr>
        <w:spacing w:line="332" w:lineRule="auto"/>
        <w:rPr>
          <w:rFonts w:ascii="Arial" w:eastAsia="Arial" w:hAnsi="Arial" w:cs="Arial"/>
          <w:sz w:val="22"/>
        </w:rPr>
      </w:pPr>
      <w:r>
        <w:rPr>
          <w:rFonts w:ascii="Arial" w:eastAsia="Arial" w:hAnsi="Arial" w:cs="Arial"/>
          <w:sz w:val="22"/>
        </w:rPr>
        <w:t>Louis Matherne</w:t>
      </w:r>
      <w:r w:rsidR="003D0C27">
        <w:rPr>
          <w:rFonts w:ascii="Arial" w:eastAsia="Arial" w:hAnsi="Arial" w:cs="Arial"/>
          <w:sz w:val="22"/>
        </w:rPr>
        <w:t>, Iza Ruta</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7F009DED"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w:t>
      </w:r>
      <w:r w:rsidR="0007102A">
        <w:t xml:space="preserve">and </w:t>
      </w:r>
      <w:r w:rsidR="008B3A60">
        <w:t xml:space="preserve">introduced </w:t>
      </w:r>
      <w:r w:rsidR="009614AD">
        <w:t>the agenda</w:t>
      </w:r>
      <w:r w:rsidR="00A15D6E">
        <w:t>.</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358112F6"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7F4AE0">
        <w:rPr>
          <w:rFonts w:eastAsia="Times New Roman"/>
        </w:rPr>
        <w:t>October 5</w:t>
      </w:r>
      <w:r w:rsidR="00850812">
        <w:rPr>
          <w:rFonts w:eastAsia="Times New Roman"/>
        </w:rPr>
        <w:t>, 2023</w:t>
      </w:r>
      <w:r w:rsidRPr="00B61CA4">
        <w:rPr>
          <w:rFonts w:eastAsia="Times New Roman"/>
        </w:rPr>
        <w:t xml:space="preserve"> DQC meeting</w:t>
      </w:r>
      <w:r>
        <w:rPr>
          <w:rFonts w:eastAsia="Times New Roman"/>
        </w:rPr>
        <w:t xml:space="preserve">, </w:t>
      </w:r>
      <w:r w:rsidRPr="00B61CA4">
        <w:rPr>
          <w:rFonts w:eastAsia="Times New Roman"/>
        </w:rPr>
        <w:t>by</w:t>
      </w:r>
      <w:r w:rsidR="00020F2C">
        <w:rPr>
          <w:rFonts w:eastAsia="Times New Roman"/>
        </w:rPr>
        <w:t xml:space="preserve"> </w:t>
      </w:r>
      <w:r w:rsidR="001816CA">
        <w:rPr>
          <w:rFonts w:eastAsia="Times New Roman"/>
        </w:rPr>
        <w:t>Mohini Singh</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1816CA">
        <w:rPr>
          <w:rFonts w:eastAsia="Times New Roman"/>
        </w:rPr>
        <w:t>Campbell Pryde</w:t>
      </w:r>
    </w:p>
    <w:p w14:paraId="358805D7" w14:textId="0CEC1314"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C31FC9">
        <w:rPr>
          <w:rFonts w:eastAsia="Times New Roman"/>
          <w:bCs/>
          <w:color w:val="auto"/>
          <w:szCs w:val="22"/>
        </w:rPr>
        <w:t>8</w:t>
      </w:r>
      <w:r w:rsidRPr="009E29DC">
        <w:rPr>
          <w:rFonts w:eastAsia="Times New Roman"/>
          <w:bCs/>
          <w:color w:val="auto"/>
          <w:szCs w:val="22"/>
        </w:rPr>
        <w:t>, 0 Against)</w:t>
      </w:r>
    </w:p>
    <w:p w14:paraId="3E54DDDA" w14:textId="0C866493"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7F4AE0">
        <w:rPr>
          <w:rFonts w:eastAsia="Times New Roman"/>
        </w:rPr>
        <w:t>October 5</w:t>
      </w:r>
      <w:r w:rsidR="00850812">
        <w:rPr>
          <w:rFonts w:eastAsia="Times New Roman"/>
        </w:rPr>
        <w:t>, 2023</w:t>
      </w:r>
      <w:r w:rsidR="00850812"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7C6EC362" w14:textId="697C35D8" w:rsidR="0038190C" w:rsidRDefault="00292838" w:rsidP="00F16DBB">
      <w:pPr>
        <w:spacing w:line="332" w:lineRule="auto"/>
        <w:rPr>
          <w:rFonts w:ascii="Arial" w:eastAsia="Arial" w:hAnsi="Arial" w:cs="Arial"/>
          <w:b/>
          <w:sz w:val="22"/>
        </w:rPr>
      </w:pPr>
      <w:r>
        <w:rPr>
          <w:rFonts w:ascii="Arial" w:eastAsia="Arial" w:hAnsi="Arial" w:cs="Arial"/>
          <w:b/>
          <w:sz w:val="22"/>
        </w:rPr>
        <w:t>Review</w:t>
      </w:r>
      <w:r w:rsidR="00196466" w:rsidRPr="00196466">
        <w:rPr>
          <w:rFonts w:ascii="Arial" w:eastAsia="Arial" w:hAnsi="Arial" w:cs="Arial"/>
          <w:b/>
          <w:sz w:val="22"/>
        </w:rPr>
        <w:t xml:space="preserve"> and Approval of Version </w:t>
      </w:r>
      <w:r w:rsidR="008B3A60">
        <w:rPr>
          <w:rFonts w:ascii="Arial" w:eastAsia="Arial" w:hAnsi="Arial" w:cs="Arial"/>
          <w:b/>
          <w:sz w:val="22"/>
        </w:rPr>
        <w:t>2</w:t>
      </w:r>
      <w:r w:rsidR="007F4AE0">
        <w:rPr>
          <w:rFonts w:ascii="Arial" w:eastAsia="Arial" w:hAnsi="Arial" w:cs="Arial"/>
          <w:b/>
          <w:sz w:val="22"/>
        </w:rPr>
        <w:t>4</w:t>
      </w:r>
      <w:r w:rsidR="00196466" w:rsidRPr="00196466">
        <w:rPr>
          <w:rFonts w:ascii="Arial" w:eastAsia="Arial" w:hAnsi="Arial" w:cs="Arial"/>
          <w:b/>
          <w:sz w:val="22"/>
        </w:rPr>
        <w:t xml:space="preserve"> DQC Rules</w:t>
      </w:r>
      <w:r w:rsidR="0036702E">
        <w:rPr>
          <w:rFonts w:ascii="Arial" w:eastAsia="Arial" w:hAnsi="Arial" w:cs="Arial"/>
          <w:b/>
          <w:sz w:val="22"/>
        </w:rPr>
        <w:t xml:space="preserve"> and Guidance</w:t>
      </w:r>
      <w:r w:rsidR="007F4AE0">
        <w:rPr>
          <w:rFonts w:ascii="Arial" w:eastAsia="Arial" w:hAnsi="Arial" w:cs="Arial"/>
          <w:b/>
          <w:sz w:val="22"/>
        </w:rPr>
        <w:t xml:space="preserve"> for Public Review</w:t>
      </w:r>
      <w:r w:rsidR="00850812">
        <w:rPr>
          <w:rFonts w:ascii="Arial" w:eastAsia="Arial" w:hAnsi="Arial" w:cs="Arial"/>
          <w:b/>
          <w:sz w:val="22"/>
        </w:rPr>
        <w:t xml:space="preserve"> </w:t>
      </w:r>
    </w:p>
    <w:p w14:paraId="6ED7DC28" w14:textId="537F8880" w:rsidR="00F903B1" w:rsidRPr="00FD27B3" w:rsidRDefault="00981FF6" w:rsidP="00284D42">
      <w:pPr>
        <w:pStyle w:val="ListParagraph"/>
        <w:numPr>
          <w:ilvl w:val="0"/>
          <w:numId w:val="1"/>
        </w:numPr>
        <w:spacing w:line="240" w:lineRule="auto"/>
        <w:rPr>
          <w:rFonts w:eastAsia="Times New Roman"/>
          <w:szCs w:val="22"/>
        </w:rPr>
      </w:pPr>
      <w:r w:rsidRPr="00FD27B3">
        <w:rPr>
          <w:rFonts w:eastAsia="Times New Roman"/>
          <w:szCs w:val="22"/>
        </w:rPr>
        <w:t xml:space="preserve">Campbell </w:t>
      </w:r>
      <w:r w:rsidR="00C37488" w:rsidRPr="00FD27B3">
        <w:rPr>
          <w:rFonts w:eastAsia="Times New Roman"/>
          <w:szCs w:val="22"/>
        </w:rPr>
        <w:t>introduced</w:t>
      </w:r>
      <w:r w:rsidR="008568FE" w:rsidRPr="00FD27B3">
        <w:rPr>
          <w:rFonts w:eastAsia="Times New Roman"/>
          <w:szCs w:val="22"/>
        </w:rPr>
        <w:t xml:space="preserve"> Version 2</w:t>
      </w:r>
      <w:r w:rsidR="0036702E" w:rsidRPr="00FD27B3">
        <w:rPr>
          <w:rFonts w:eastAsia="Times New Roman"/>
          <w:szCs w:val="22"/>
        </w:rPr>
        <w:t>4</w:t>
      </w:r>
      <w:r w:rsidR="00BA040C" w:rsidRPr="00FD27B3">
        <w:rPr>
          <w:rFonts w:eastAsia="Times New Roman"/>
          <w:szCs w:val="22"/>
        </w:rPr>
        <w:t xml:space="preserve"> for </w:t>
      </w:r>
      <w:r w:rsidR="00B92849" w:rsidRPr="00FD27B3">
        <w:rPr>
          <w:rFonts w:eastAsia="Times New Roman"/>
          <w:szCs w:val="22"/>
        </w:rPr>
        <w:t>public review to be exposed in April.  Most rules address dividends, impact analysis has been run on all of the following</w:t>
      </w:r>
      <w:r w:rsidR="00061E5A" w:rsidRPr="00FD27B3">
        <w:rPr>
          <w:rFonts w:eastAsia="Times New Roman"/>
          <w:szCs w:val="22"/>
        </w:rPr>
        <w:t xml:space="preserve"> rules</w:t>
      </w:r>
      <w:r w:rsidR="00C37488" w:rsidRPr="00FD27B3">
        <w:rPr>
          <w:rFonts w:eastAsia="Times New Roman"/>
          <w:szCs w:val="22"/>
        </w:rPr>
        <w:t>:</w:t>
      </w:r>
      <w:bookmarkStart w:id="1" w:name="_241xfdaf707e" w:colFirst="0" w:colLast="0"/>
      <w:bookmarkEnd w:id="1"/>
    </w:p>
    <w:p w14:paraId="60548236" w14:textId="34956637" w:rsidR="0036702E" w:rsidRPr="00FD27B3" w:rsidRDefault="0036702E" w:rsidP="0036702E">
      <w:pPr>
        <w:pStyle w:val="ListParagraph"/>
        <w:numPr>
          <w:ilvl w:val="1"/>
          <w:numId w:val="1"/>
        </w:numPr>
        <w:rPr>
          <w:rFonts w:eastAsia="Times New Roman"/>
          <w:szCs w:val="22"/>
        </w:rPr>
      </w:pPr>
      <w:r w:rsidRPr="00FD27B3">
        <w:rPr>
          <w:rFonts w:eastAsia="Times New Roman"/>
          <w:szCs w:val="22"/>
        </w:rPr>
        <w:t xml:space="preserve">DQC_0178 Dividend Disclosures in the Statement of Changes in Shareholders Equity - </w:t>
      </w:r>
      <w:r w:rsidRPr="00FD27B3">
        <w:rPr>
          <w:color w:val="1F2328"/>
          <w:szCs w:val="22"/>
        </w:rPr>
        <w:t>The rule identifies where the filer has used inappropriate combinations of dividend elements in the Statement of Shareholders Equity. The rule is comprised of nine components that help filers select the correct elements and tag the values with the appropriate sign.</w:t>
      </w:r>
      <w:r w:rsidR="00656A75" w:rsidRPr="00FD27B3">
        <w:rPr>
          <w:color w:val="1F2328"/>
          <w:szCs w:val="22"/>
        </w:rPr>
        <w:t xml:space="preserve">  Negative items are not checked in the negative value</w:t>
      </w:r>
      <w:r w:rsidR="00061E5A" w:rsidRPr="00FD27B3">
        <w:rPr>
          <w:color w:val="1F2328"/>
          <w:szCs w:val="22"/>
        </w:rPr>
        <w:t xml:space="preserve"> rule</w:t>
      </w:r>
      <w:r w:rsidR="00656A75" w:rsidRPr="00FD27B3">
        <w:rPr>
          <w:color w:val="1F2328"/>
          <w:szCs w:val="22"/>
        </w:rPr>
        <w:t>, so this rule checks for negative items for dividends.</w:t>
      </w:r>
    </w:p>
    <w:p w14:paraId="1693E279" w14:textId="62C3BC27" w:rsidR="0036702E" w:rsidRPr="00FD27B3" w:rsidRDefault="0036702E" w:rsidP="0036702E">
      <w:pPr>
        <w:pStyle w:val="ListParagraph"/>
        <w:numPr>
          <w:ilvl w:val="1"/>
          <w:numId w:val="1"/>
        </w:numPr>
        <w:rPr>
          <w:rFonts w:eastAsia="Times New Roman"/>
          <w:szCs w:val="22"/>
        </w:rPr>
      </w:pPr>
      <w:r w:rsidRPr="00FD27B3">
        <w:rPr>
          <w:rFonts w:eastAsia="Times New Roman"/>
          <w:szCs w:val="22"/>
        </w:rPr>
        <w:t xml:space="preserve">DQC_0179 Dividend Event Disclosures - </w:t>
      </w:r>
      <w:r w:rsidRPr="00FD27B3">
        <w:rPr>
          <w:color w:val="1F2328"/>
          <w:szCs w:val="22"/>
        </w:rPr>
        <w:t xml:space="preserve">The rule identifies those cases where the filer has used the DividendsAxis inappropriately in the filing.  The rule has </w:t>
      </w:r>
      <w:r w:rsidRPr="00FD27B3">
        <w:rPr>
          <w:color w:val="1F2328"/>
          <w:szCs w:val="22"/>
        </w:rPr>
        <w:lastRenderedPageBreak/>
        <w:t xml:space="preserve">eight components that check that the filer complies with the </w:t>
      </w:r>
      <w:r w:rsidRPr="00FD27B3">
        <w:rPr>
          <w:i/>
          <w:iCs/>
          <w:color w:val="1F2328"/>
          <w:szCs w:val="22"/>
        </w:rPr>
        <w:t>DQC Dividend guidance</w:t>
      </w:r>
      <w:r w:rsidR="00604143" w:rsidRPr="00FD27B3">
        <w:rPr>
          <w:i/>
          <w:iCs/>
          <w:color w:val="1F2328"/>
          <w:szCs w:val="22"/>
        </w:rPr>
        <w:t xml:space="preserve"> FAQ</w:t>
      </w:r>
      <w:r w:rsidRPr="00FD27B3">
        <w:rPr>
          <w:color w:val="1F2328"/>
          <w:szCs w:val="22"/>
        </w:rPr>
        <w:t>.</w:t>
      </w:r>
    </w:p>
    <w:p w14:paraId="120D02A9" w14:textId="7B7CA825" w:rsidR="0036702E" w:rsidRPr="00FD27B3" w:rsidRDefault="0036702E" w:rsidP="0036702E">
      <w:pPr>
        <w:pStyle w:val="ListParagraph"/>
        <w:numPr>
          <w:ilvl w:val="1"/>
          <w:numId w:val="1"/>
        </w:numPr>
        <w:rPr>
          <w:i/>
          <w:iCs/>
          <w:color w:val="1F2328"/>
          <w:szCs w:val="22"/>
        </w:rPr>
      </w:pPr>
      <w:r w:rsidRPr="00FD27B3">
        <w:rPr>
          <w:rFonts w:eastAsia="Times New Roman"/>
          <w:szCs w:val="22"/>
        </w:rPr>
        <w:t xml:space="preserve">DQC_0180 Dividend Financial Statement Disclosures – </w:t>
      </w:r>
      <w:r w:rsidRPr="00FD27B3">
        <w:rPr>
          <w:color w:val="1F2328"/>
          <w:szCs w:val="22"/>
        </w:rPr>
        <w:t xml:space="preserve">The four components of this rule check dividend disclosures in the face of the financial statements. This rule supports the </w:t>
      </w:r>
      <w:r w:rsidRPr="00FD27B3">
        <w:rPr>
          <w:i/>
          <w:iCs/>
          <w:color w:val="1F2328"/>
          <w:szCs w:val="22"/>
        </w:rPr>
        <w:t>DQC Dividend Guidance</w:t>
      </w:r>
      <w:r w:rsidR="00604143" w:rsidRPr="00FD27B3">
        <w:rPr>
          <w:i/>
          <w:iCs/>
          <w:color w:val="1F2328"/>
          <w:szCs w:val="22"/>
        </w:rPr>
        <w:t xml:space="preserve"> FAQs</w:t>
      </w:r>
      <w:r w:rsidRPr="00FD27B3">
        <w:rPr>
          <w:i/>
          <w:iCs/>
          <w:color w:val="1F2328"/>
          <w:szCs w:val="22"/>
        </w:rPr>
        <w:t>.</w:t>
      </w:r>
    </w:p>
    <w:p w14:paraId="6070A9BE" w14:textId="6687FDFD" w:rsidR="0036702E" w:rsidRPr="00FD27B3" w:rsidRDefault="0036702E" w:rsidP="0036702E">
      <w:pPr>
        <w:pStyle w:val="NormalWeb"/>
        <w:numPr>
          <w:ilvl w:val="1"/>
          <w:numId w:val="1"/>
        </w:numPr>
        <w:shd w:val="clear" w:color="auto" w:fill="FFFFFF"/>
        <w:spacing w:before="0" w:beforeAutospacing="0" w:after="0" w:afterAutospacing="0"/>
        <w:rPr>
          <w:rFonts w:ascii="Arial" w:hAnsi="Arial" w:cs="Arial"/>
          <w:sz w:val="22"/>
          <w:szCs w:val="22"/>
        </w:rPr>
      </w:pPr>
      <w:r w:rsidRPr="00FD27B3">
        <w:rPr>
          <w:rFonts w:ascii="Arial" w:hAnsi="Arial" w:cs="Arial"/>
          <w:sz w:val="22"/>
          <w:szCs w:val="22"/>
          <w:lang w:val="en"/>
        </w:rPr>
        <w:t>DQC_0181 Interest Expense Operating and Nonoperating</w:t>
      </w:r>
      <w:r w:rsidRPr="00FD27B3">
        <w:rPr>
          <w:rFonts w:ascii="Arial" w:hAnsi="Arial" w:cs="Arial"/>
          <w:sz w:val="22"/>
          <w:szCs w:val="22"/>
        </w:rPr>
        <w:t xml:space="preserve"> - </w:t>
      </w:r>
      <w:r w:rsidRPr="00FD27B3">
        <w:rPr>
          <w:rFonts w:ascii="Arial" w:hAnsi="Arial" w:cs="Arial"/>
          <w:color w:val="1F2328"/>
          <w:sz w:val="22"/>
          <w:szCs w:val="22"/>
        </w:rPr>
        <w:t xml:space="preserve">This rule checks that filers use the correct elements to record interest expense operating and interest expense nonoperating. In the 2024 US-GAAP taxonomy, the FASB added 2 new elements: </w:t>
      </w:r>
      <w:r w:rsidRPr="00FD27B3">
        <w:rPr>
          <w:rFonts w:ascii="Arial" w:hAnsi="Arial" w:cs="Arial"/>
          <w:i/>
          <w:iCs/>
          <w:color w:val="1F2328"/>
          <w:sz w:val="22"/>
          <w:szCs w:val="22"/>
        </w:rPr>
        <w:t>InterestExpenseNonoperating</w:t>
      </w:r>
      <w:r w:rsidRPr="00FD27B3">
        <w:rPr>
          <w:rFonts w:ascii="Arial" w:hAnsi="Arial" w:cs="Arial"/>
          <w:color w:val="1F2328"/>
          <w:sz w:val="22"/>
          <w:szCs w:val="22"/>
        </w:rPr>
        <w:t xml:space="preserve"> and InterestExpenseOperating. The definition and label changed for the prior element </w:t>
      </w:r>
      <w:r w:rsidRPr="00FD27B3">
        <w:rPr>
          <w:rFonts w:ascii="Arial" w:hAnsi="Arial" w:cs="Arial"/>
          <w:i/>
          <w:iCs/>
          <w:color w:val="1F2328"/>
          <w:sz w:val="22"/>
          <w:szCs w:val="22"/>
        </w:rPr>
        <w:t>InterestExpense</w:t>
      </w:r>
      <w:r w:rsidRPr="00FD27B3">
        <w:rPr>
          <w:rFonts w:ascii="Arial" w:hAnsi="Arial" w:cs="Arial"/>
          <w:color w:val="1F2328"/>
          <w:sz w:val="22"/>
          <w:szCs w:val="22"/>
        </w:rPr>
        <w:t xml:space="preserve">.  Two components of this rule help ensure that filers review the usage of the element </w:t>
      </w:r>
      <w:r w:rsidR="00C27F01" w:rsidRPr="00FD27B3">
        <w:rPr>
          <w:rFonts w:ascii="Arial" w:hAnsi="Arial" w:cs="Arial"/>
          <w:i/>
          <w:iCs/>
          <w:color w:val="1F2328"/>
          <w:sz w:val="22"/>
          <w:szCs w:val="22"/>
        </w:rPr>
        <w:t>InterestExpense</w:t>
      </w:r>
      <w:r w:rsidR="00C27F01" w:rsidRPr="00FD27B3">
        <w:rPr>
          <w:rFonts w:ascii="Arial" w:hAnsi="Arial" w:cs="Arial"/>
          <w:color w:val="1F2328"/>
          <w:sz w:val="22"/>
          <w:szCs w:val="22"/>
        </w:rPr>
        <w:t xml:space="preserve"> and</w:t>
      </w:r>
      <w:r w:rsidRPr="00FD27B3">
        <w:rPr>
          <w:rFonts w:ascii="Arial" w:hAnsi="Arial" w:cs="Arial"/>
          <w:color w:val="1F2328"/>
          <w:sz w:val="22"/>
          <w:szCs w:val="22"/>
        </w:rPr>
        <w:t xml:space="preserve"> replace it with the more specific operating or non-operating element.  Applicable only to the 2024</w:t>
      </w:r>
      <w:r w:rsidR="00C27F01" w:rsidRPr="00FD27B3">
        <w:rPr>
          <w:rFonts w:ascii="Arial" w:hAnsi="Arial" w:cs="Arial"/>
          <w:color w:val="1F2328"/>
          <w:sz w:val="22"/>
          <w:szCs w:val="22"/>
        </w:rPr>
        <w:t xml:space="preserve"> US GAAP</w:t>
      </w:r>
      <w:r w:rsidRPr="00FD27B3">
        <w:rPr>
          <w:rFonts w:ascii="Arial" w:hAnsi="Arial" w:cs="Arial"/>
          <w:color w:val="1F2328"/>
          <w:sz w:val="22"/>
          <w:szCs w:val="22"/>
        </w:rPr>
        <w:t xml:space="preserve"> </w:t>
      </w:r>
      <w:r w:rsidR="0024289E">
        <w:rPr>
          <w:rFonts w:ascii="Arial" w:hAnsi="Arial" w:cs="Arial"/>
          <w:color w:val="1F2328"/>
          <w:sz w:val="22"/>
          <w:szCs w:val="22"/>
        </w:rPr>
        <w:t>t</w:t>
      </w:r>
      <w:r w:rsidRPr="00FD27B3">
        <w:rPr>
          <w:rFonts w:ascii="Arial" w:hAnsi="Arial" w:cs="Arial"/>
          <w:color w:val="1F2328"/>
          <w:sz w:val="22"/>
          <w:szCs w:val="22"/>
        </w:rPr>
        <w:t>axonomy</w:t>
      </w:r>
    </w:p>
    <w:p w14:paraId="4C91857D" w14:textId="06E95AAC" w:rsidR="0036702E" w:rsidRPr="00FD27B3" w:rsidRDefault="0036702E" w:rsidP="00545ED0">
      <w:pPr>
        <w:pStyle w:val="NormalWeb"/>
        <w:numPr>
          <w:ilvl w:val="1"/>
          <w:numId w:val="1"/>
        </w:numPr>
        <w:shd w:val="clear" w:color="auto" w:fill="FFFFFF"/>
        <w:spacing w:before="0" w:beforeAutospacing="0" w:after="0" w:afterAutospacing="0"/>
        <w:rPr>
          <w:rFonts w:ascii="Arial" w:hAnsi="Arial" w:cs="Arial"/>
          <w:sz w:val="22"/>
          <w:szCs w:val="22"/>
        </w:rPr>
      </w:pPr>
      <w:r w:rsidRPr="00FD27B3">
        <w:rPr>
          <w:rFonts w:ascii="Arial" w:hAnsi="Arial" w:cs="Arial"/>
          <w:sz w:val="22"/>
          <w:szCs w:val="22"/>
          <w:lang w:val="en"/>
        </w:rPr>
        <w:t>DQC_0182 Dimensional Equivalents Using the Meta Taxonomy</w:t>
      </w:r>
      <w:r w:rsidRPr="00FD27B3">
        <w:rPr>
          <w:rFonts w:ascii="Arial" w:hAnsi="Arial" w:cs="Arial"/>
          <w:sz w:val="22"/>
          <w:szCs w:val="22"/>
        </w:rPr>
        <w:t xml:space="preserve"> - </w:t>
      </w:r>
      <w:r w:rsidRPr="00FD27B3">
        <w:rPr>
          <w:rFonts w:ascii="Arial" w:hAnsi="Arial" w:cs="Arial"/>
          <w:color w:val="1F2328"/>
          <w:sz w:val="22"/>
          <w:szCs w:val="22"/>
        </w:rPr>
        <w:t>This rule overlaps with some of the rules implemented in DQC_0011. This rule will eventually supersede rule DQC_0011. The rule uses the dimensional equivalents defined in the Meta taxonomy and checks that the values reported in a filing are consistent. As the meta taxonomy is updated the rule will take advantage of new relationships to check.</w:t>
      </w:r>
      <w:r w:rsidR="00545ED0" w:rsidRPr="00FD27B3">
        <w:rPr>
          <w:rFonts w:ascii="Arial" w:hAnsi="Arial" w:cs="Arial"/>
          <w:color w:val="1F2328"/>
          <w:sz w:val="22"/>
          <w:szCs w:val="22"/>
        </w:rPr>
        <w:t xml:space="preserve"> </w:t>
      </w:r>
      <w:r w:rsidRPr="00FD27B3">
        <w:rPr>
          <w:rFonts w:ascii="Arial" w:hAnsi="Arial" w:cs="Arial"/>
          <w:color w:val="1F2328"/>
          <w:sz w:val="22"/>
          <w:szCs w:val="22"/>
        </w:rPr>
        <w:t>The rule reads the relationship arc '</w:t>
      </w:r>
      <w:hyperlink r:id="rId11" w:history="1">
        <w:r w:rsidRPr="00FD27B3">
          <w:rPr>
            <w:rFonts w:ascii="Arial" w:hAnsi="Arial" w:cs="Arial"/>
            <w:color w:val="1F2328"/>
            <w:sz w:val="22"/>
            <w:szCs w:val="22"/>
          </w:rPr>
          <w:t>http://www.xbrl.org/2021/arcrole/concept-dimensional-equivalent</w:t>
        </w:r>
      </w:hyperlink>
      <w:r w:rsidRPr="00FD27B3">
        <w:rPr>
          <w:rFonts w:ascii="Arial" w:hAnsi="Arial" w:cs="Arial"/>
          <w:color w:val="1F2328"/>
          <w:sz w:val="22"/>
          <w:szCs w:val="22"/>
        </w:rPr>
        <w:t>' to determine the axis, members and line items equivalent associated with a taxonomy line item.</w:t>
      </w:r>
    </w:p>
    <w:p w14:paraId="6D793E6C" w14:textId="77777777" w:rsidR="0036702E" w:rsidRPr="00FD27B3" w:rsidRDefault="0036702E" w:rsidP="0036702E">
      <w:pPr>
        <w:pStyle w:val="ListParagraph"/>
        <w:numPr>
          <w:ilvl w:val="1"/>
          <w:numId w:val="1"/>
        </w:numPr>
        <w:rPr>
          <w:rFonts w:eastAsia="Times New Roman"/>
          <w:szCs w:val="22"/>
        </w:rPr>
      </w:pPr>
      <w:r w:rsidRPr="00FD27B3">
        <w:rPr>
          <w:rFonts w:eastAsia="Times New Roman"/>
          <w:szCs w:val="22"/>
        </w:rPr>
        <w:t xml:space="preserve">DQC_0183 Face Financial Statement Location using the Accrual Axis - </w:t>
      </w:r>
      <w:r w:rsidRPr="00FD27B3">
        <w:rPr>
          <w:color w:val="1F2328"/>
          <w:szCs w:val="22"/>
        </w:rPr>
        <w:t xml:space="preserve">The rule is intended to ensure that the </w:t>
      </w:r>
      <w:r w:rsidRPr="00FD27B3">
        <w:rPr>
          <w:i/>
          <w:iCs/>
          <w:color w:val="1F2328"/>
          <w:szCs w:val="22"/>
        </w:rPr>
        <w:t>StatementOfFinancialPositionLocationActivityAccrualAxis</w:t>
      </w:r>
      <w:r w:rsidRPr="00FD27B3">
        <w:rPr>
          <w:color w:val="1F2328"/>
          <w:szCs w:val="22"/>
        </w:rPr>
        <w:t xml:space="preserve"> axis has been used correctly in filings and the BalanaceSheetLocation axis is not used to indicate the accounts where accruals are posted to.</w:t>
      </w:r>
    </w:p>
    <w:p w14:paraId="7E2B8F29" w14:textId="77777777" w:rsidR="0036702E" w:rsidRPr="00FD27B3" w:rsidRDefault="0036702E" w:rsidP="0036702E">
      <w:pPr>
        <w:pStyle w:val="ListParagraph"/>
        <w:numPr>
          <w:ilvl w:val="1"/>
          <w:numId w:val="1"/>
        </w:numPr>
        <w:shd w:val="clear" w:color="auto" w:fill="FFFFFF"/>
        <w:spacing w:after="240"/>
        <w:rPr>
          <w:color w:val="1F2328"/>
          <w:szCs w:val="22"/>
        </w:rPr>
      </w:pPr>
      <w:r w:rsidRPr="00FD27B3">
        <w:rPr>
          <w:rFonts w:eastAsia="Times New Roman"/>
          <w:szCs w:val="22"/>
        </w:rPr>
        <w:t xml:space="preserve">DQC_0184 OCI Reconciliation of Before Tax and Net of Tax OCI Items - </w:t>
      </w:r>
      <w:r w:rsidRPr="00FD27B3">
        <w:rPr>
          <w:color w:val="1F2328"/>
          <w:szCs w:val="22"/>
        </w:rPr>
        <w:t>The rule is intended to ensure that the OCI elements have been reported with the correct signage.</w:t>
      </w:r>
    </w:p>
    <w:p w14:paraId="56060B7B" w14:textId="61414A7C" w:rsidR="0036702E" w:rsidRPr="00FD27B3" w:rsidRDefault="0036702E" w:rsidP="0036702E">
      <w:pPr>
        <w:pStyle w:val="ListParagraph"/>
        <w:numPr>
          <w:ilvl w:val="1"/>
          <w:numId w:val="1"/>
        </w:numPr>
        <w:shd w:val="clear" w:color="auto" w:fill="FFFFFF"/>
        <w:spacing w:after="240"/>
        <w:rPr>
          <w:color w:val="1F2328"/>
          <w:szCs w:val="22"/>
        </w:rPr>
      </w:pPr>
      <w:r w:rsidRPr="00FD27B3">
        <w:rPr>
          <w:rFonts w:eastAsia="Times New Roman"/>
          <w:szCs w:val="22"/>
        </w:rPr>
        <w:t xml:space="preserve">DQC_0185 Reconciliation in Schedule Of Unrecognized Tax Benefits Roll Forward Table Text Block - </w:t>
      </w:r>
      <w:r w:rsidRPr="00FD27B3">
        <w:rPr>
          <w:color w:val="1F2328"/>
          <w:szCs w:val="22"/>
        </w:rPr>
        <w:t xml:space="preserve">The rule checks whether the reconciliation facts are contained within the ScheduleOfUnrecognizedTaxBenefitsRollForwardTableTextBlock in the inline XBRL filing. In 2024, the FASB updated the taxonomy to include Unrecognized Tax Benefit elements to be included in the text block element </w:t>
      </w:r>
      <w:r w:rsidRPr="00FD27B3">
        <w:rPr>
          <w:i/>
          <w:color w:val="1F2328"/>
          <w:szCs w:val="22"/>
        </w:rPr>
        <w:t>ScheduleOfUnrecognizedTaxBenefitsRollForwardTableTextBlock</w:t>
      </w:r>
      <w:r w:rsidRPr="00FD27B3">
        <w:rPr>
          <w:color w:val="1F2328"/>
          <w:szCs w:val="22"/>
        </w:rPr>
        <w:t xml:space="preserve">. Previously these reconciliation elements were descendants of SummaryOfIncomeTaxContingenciesTextBlock. This rule only applies to the 2024 </w:t>
      </w:r>
      <w:r w:rsidR="0024289E">
        <w:rPr>
          <w:color w:val="1F2328"/>
          <w:szCs w:val="22"/>
        </w:rPr>
        <w:t xml:space="preserve">US GAAP </w:t>
      </w:r>
      <w:r w:rsidRPr="00FD27B3">
        <w:rPr>
          <w:color w:val="1F2328"/>
          <w:szCs w:val="22"/>
        </w:rPr>
        <w:t>taxonomy.</w:t>
      </w:r>
    </w:p>
    <w:p w14:paraId="40F34E44" w14:textId="77777777" w:rsidR="0036702E" w:rsidRPr="00FD27B3" w:rsidRDefault="0036702E" w:rsidP="0036702E">
      <w:pPr>
        <w:pStyle w:val="ListParagraph"/>
        <w:numPr>
          <w:ilvl w:val="1"/>
          <w:numId w:val="1"/>
        </w:numPr>
        <w:rPr>
          <w:rFonts w:eastAsia="Times New Roman"/>
          <w:szCs w:val="22"/>
        </w:rPr>
      </w:pPr>
      <w:r w:rsidRPr="00FD27B3">
        <w:rPr>
          <w:rFonts w:eastAsia="Times New Roman"/>
          <w:szCs w:val="22"/>
        </w:rPr>
        <w:t xml:space="preserve">DQC_0186 Dividend Disclosures in the Components of Equity (IFRS) - </w:t>
      </w:r>
      <w:r w:rsidRPr="00FD27B3">
        <w:rPr>
          <w:color w:val="1F2328"/>
          <w:szCs w:val="22"/>
        </w:rPr>
        <w:t xml:space="preserve">The rule identifies where the filer has used inappropriate combinations of dividend elements in the Statement of Shareholders Equity.  Three components of the rule check that: 1) dividend elements used with the retained earnings member are reported with a positive value, 2) dividend line items have been used with the appropriate members of the </w:t>
      </w:r>
      <w:r w:rsidRPr="00FD27B3">
        <w:rPr>
          <w:i/>
          <w:color w:val="1F2328"/>
          <w:szCs w:val="22"/>
        </w:rPr>
        <w:t xml:space="preserve">ComponentsOfEquityAxis, </w:t>
      </w:r>
      <w:r w:rsidRPr="00BD7EE3">
        <w:rPr>
          <w:iCs/>
          <w:color w:val="1F2328"/>
          <w:szCs w:val="22"/>
        </w:rPr>
        <w:t>and 3) the concepts</w:t>
      </w:r>
      <w:r w:rsidRPr="00FD27B3">
        <w:rPr>
          <w:i/>
          <w:color w:val="1F2328"/>
          <w:szCs w:val="22"/>
        </w:rPr>
        <w:t xml:space="preserve"> </w:t>
      </w:r>
      <w:r w:rsidRPr="00FD27B3">
        <w:rPr>
          <w:i/>
          <w:color w:val="1F2328"/>
          <w:szCs w:val="22"/>
        </w:rPr>
        <w:lastRenderedPageBreak/>
        <w:t>DividendsPaidOrdinarySharesPerShare</w:t>
      </w:r>
      <w:r w:rsidRPr="00FD27B3">
        <w:rPr>
          <w:color w:val="1F2328"/>
          <w:szCs w:val="22"/>
        </w:rPr>
        <w:t xml:space="preserve"> and </w:t>
      </w:r>
      <w:r w:rsidRPr="00FD27B3">
        <w:rPr>
          <w:i/>
          <w:color w:val="1F2328"/>
          <w:szCs w:val="22"/>
        </w:rPr>
        <w:t>DividendsPaidOtherSharesPerShare</w:t>
      </w:r>
      <w:r w:rsidRPr="00FD27B3">
        <w:rPr>
          <w:rFonts w:eastAsia="Times New Roman"/>
          <w:szCs w:val="22"/>
        </w:rPr>
        <w:t xml:space="preserve"> are not used with a redundant class of stock axis.</w:t>
      </w:r>
    </w:p>
    <w:p w14:paraId="3060DD3F" w14:textId="77777777" w:rsidR="0036702E" w:rsidRPr="00FD27B3" w:rsidRDefault="0036702E" w:rsidP="0036702E">
      <w:pPr>
        <w:pStyle w:val="ListParagraph"/>
        <w:numPr>
          <w:ilvl w:val="1"/>
          <w:numId w:val="1"/>
        </w:numPr>
        <w:rPr>
          <w:rFonts w:eastAsia="Times New Roman"/>
          <w:szCs w:val="22"/>
        </w:rPr>
      </w:pPr>
      <w:r w:rsidRPr="00FD27B3">
        <w:rPr>
          <w:rFonts w:eastAsia="Times New Roman"/>
          <w:szCs w:val="22"/>
        </w:rPr>
        <w:t xml:space="preserve">DQC_0187 Property Plant and Equipment Calculation - </w:t>
      </w:r>
      <w:r w:rsidRPr="00FD27B3">
        <w:rPr>
          <w:color w:val="1F2328"/>
          <w:szCs w:val="22"/>
        </w:rPr>
        <w:t xml:space="preserve">This rule tests that the elements </w:t>
      </w:r>
      <w:r w:rsidRPr="00FD27B3">
        <w:rPr>
          <w:i/>
          <w:color w:val="1F2328"/>
          <w:szCs w:val="22"/>
        </w:rPr>
        <w:t>PropertyPlantAndEquipmentGross</w:t>
      </w:r>
      <w:r w:rsidRPr="00FD27B3">
        <w:rPr>
          <w:color w:val="1F2328"/>
          <w:szCs w:val="22"/>
        </w:rPr>
        <w:t xml:space="preserve"> and  </w:t>
      </w:r>
      <w:r w:rsidRPr="00FD27B3">
        <w:rPr>
          <w:i/>
          <w:color w:val="1F2328"/>
          <w:szCs w:val="22"/>
        </w:rPr>
        <w:t>PropertyPlantAndEquipmentAndFinanceLeaseRightOfUseAssetBeforeAccumulatedDepreciationAndAmortization</w:t>
      </w:r>
      <w:r w:rsidRPr="00FD27B3">
        <w:rPr>
          <w:color w:val="1F2328"/>
          <w:szCs w:val="22"/>
        </w:rPr>
        <w:t xml:space="preserve"> are recorded correctly.  Four components of the rule check calculations to determine these elements are recorded consistently.</w:t>
      </w:r>
    </w:p>
    <w:p w14:paraId="2104544F" w14:textId="6953DCF5" w:rsidR="0036702E" w:rsidRPr="00FD27B3" w:rsidRDefault="0036702E" w:rsidP="0036702E">
      <w:pPr>
        <w:pStyle w:val="ListParagraph"/>
        <w:numPr>
          <w:ilvl w:val="1"/>
          <w:numId w:val="1"/>
        </w:numPr>
        <w:rPr>
          <w:szCs w:val="22"/>
        </w:rPr>
      </w:pPr>
      <w:r w:rsidRPr="00FD27B3">
        <w:rPr>
          <w:szCs w:val="22"/>
        </w:rPr>
        <w:t xml:space="preserve">DQC_0015 NonNegative Rule - The </w:t>
      </w:r>
      <w:r w:rsidR="00494276">
        <w:rPr>
          <w:szCs w:val="22"/>
        </w:rPr>
        <w:t>nonnegative</w:t>
      </w:r>
      <w:r w:rsidRPr="00FD27B3">
        <w:rPr>
          <w:szCs w:val="22"/>
        </w:rPr>
        <w:t xml:space="preserve"> rules were updated for 2024 elements</w:t>
      </w:r>
      <w:r w:rsidR="00AD78FB" w:rsidRPr="00FD27B3">
        <w:rPr>
          <w:szCs w:val="22"/>
        </w:rPr>
        <w:t xml:space="preserve"> </w:t>
      </w:r>
      <w:r w:rsidR="001E3C6A">
        <w:rPr>
          <w:szCs w:val="22"/>
        </w:rPr>
        <w:t>including</w:t>
      </w:r>
      <w:r w:rsidR="00AD78FB" w:rsidRPr="00FD27B3">
        <w:rPr>
          <w:szCs w:val="22"/>
        </w:rPr>
        <w:t xml:space="preserve"> elements for </w:t>
      </w:r>
      <w:r w:rsidR="00854696" w:rsidRPr="00FD27B3">
        <w:rPr>
          <w:szCs w:val="22"/>
        </w:rPr>
        <w:t xml:space="preserve">the US GAAP </w:t>
      </w:r>
      <w:r w:rsidR="00AD78FB" w:rsidRPr="00FD27B3">
        <w:rPr>
          <w:szCs w:val="22"/>
        </w:rPr>
        <w:t xml:space="preserve">Employment Benefits Plan </w:t>
      </w:r>
      <w:r w:rsidR="001E3C6A">
        <w:rPr>
          <w:szCs w:val="22"/>
        </w:rPr>
        <w:t>t</w:t>
      </w:r>
      <w:r w:rsidR="00AD78FB" w:rsidRPr="00FD27B3">
        <w:rPr>
          <w:szCs w:val="22"/>
        </w:rPr>
        <w:t>axonomy (Form 11-K).</w:t>
      </w:r>
    </w:p>
    <w:p w14:paraId="0E91321B" w14:textId="2419A2B5" w:rsidR="00CC18A6" w:rsidRPr="00FD27B3" w:rsidRDefault="003F244B" w:rsidP="003F244B">
      <w:pPr>
        <w:pStyle w:val="ListParagraph"/>
        <w:numPr>
          <w:ilvl w:val="0"/>
          <w:numId w:val="1"/>
        </w:numPr>
        <w:spacing w:line="240" w:lineRule="auto"/>
        <w:contextualSpacing w:val="0"/>
        <w:rPr>
          <w:i/>
          <w:iCs/>
          <w:szCs w:val="22"/>
        </w:rPr>
      </w:pPr>
      <w:r w:rsidRPr="00FD27B3">
        <w:rPr>
          <w:i/>
          <w:iCs/>
          <w:szCs w:val="22"/>
        </w:rPr>
        <w:t xml:space="preserve">Reporting US GAAP Dividend Disclosures in XBRL </w:t>
      </w:r>
      <w:r w:rsidR="004B699A" w:rsidRPr="00FD27B3">
        <w:rPr>
          <w:i/>
          <w:iCs/>
          <w:szCs w:val="22"/>
        </w:rPr>
        <w:t>–</w:t>
      </w:r>
      <w:r w:rsidRPr="00FD27B3">
        <w:rPr>
          <w:i/>
          <w:iCs/>
          <w:szCs w:val="22"/>
        </w:rPr>
        <w:t xml:space="preserve"> FAQ</w:t>
      </w:r>
      <w:r w:rsidR="004B699A" w:rsidRPr="00FD27B3">
        <w:rPr>
          <w:szCs w:val="22"/>
        </w:rPr>
        <w:t xml:space="preserve"> – The guidance supports the rules for dividends.  The guidance will be presented to the FASB TAG </w:t>
      </w:r>
      <w:r w:rsidR="001E3C6A">
        <w:rPr>
          <w:szCs w:val="22"/>
        </w:rPr>
        <w:t xml:space="preserve">meeting </w:t>
      </w:r>
      <w:r w:rsidR="004B699A" w:rsidRPr="00FD27B3">
        <w:rPr>
          <w:szCs w:val="22"/>
        </w:rPr>
        <w:t>for feedback.</w:t>
      </w:r>
      <w:r w:rsidR="00CC18A6" w:rsidRPr="00FD27B3">
        <w:rPr>
          <w:szCs w:val="22"/>
        </w:rPr>
        <w:t xml:space="preserve"> The guidance has been written based on the current taxonomy.  Includes guidance on:</w:t>
      </w:r>
    </w:p>
    <w:p w14:paraId="451AD73E" w14:textId="77777777" w:rsidR="00DD308B" w:rsidRPr="00FD27B3" w:rsidRDefault="00203F06" w:rsidP="00DD308B">
      <w:pPr>
        <w:pStyle w:val="ListParagraph"/>
        <w:numPr>
          <w:ilvl w:val="1"/>
          <w:numId w:val="1"/>
        </w:numPr>
        <w:spacing w:line="240" w:lineRule="auto"/>
        <w:contextualSpacing w:val="0"/>
        <w:rPr>
          <w:szCs w:val="22"/>
        </w:rPr>
      </w:pPr>
      <w:hyperlink w:anchor="_4qx83sx4esz0">
        <w:r w:rsidR="00DD308B" w:rsidRPr="00FD27B3">
          <w:rPr>
            <w:szCs w:val="22"/>
          </w:rPr>
          <w:t>When should I use the dividend axis?</w:t>
        </w:r>
      </w:hyperlink>
    </w:p>
    <w:p w14:paraId="7E869C83" w14:textId="77777777" w:rsidR="00DD308B" w:rsidRPr="00FD27B3" w:rsidRDefault="00203F06" w:rsidP="00DD308B">
      <w:pPr>
        <w:pStyle w:val="ListParagraph"/>
        <w:numPr>
          <w:ilvl w:val="1"/>
          <w:numId w:val="1"/>
        </w:numPr>
        <w:spacing w:line="240" w:lineRule="auto"/>
        <w:contextualSpacing w:val="0"/>
        <w:rPr>
          <w:szCs w:val="22"/>
        </w:rPr>
      </w:pPr>
      <w:hyperlink w:anchor="_61kzmkkqcepq">
        <w:r w:rsidR="00DD308B" w:rsidRPr="00FD27B3">
          <w:rPr>
            <w:szCs w:val="22"/>
          </w:rPr>
          <w:t>How should members be named on the DividendsAxis?</w:t>
        </w:r>
      </w:hyperlink>
    </w:p>
    <w:p w14:paraId="0F94A922" w14:textId="77777777" w:rsidR="00DD308B" w:rsidRPr="00FD27B3" w:rsidRDefault="00203F06" w:rsidP="00DD308B">
      <w:pPr>
        <w:pStyle w:val="ListParagraph"/>
        <w:numPr>
          <w:ilvl w:val="1"/>
          <w:numId w:val="1"/>
        </w:numPr>
        <w:spacing w:line="240" w:lineRule="auto"/>
        <w:contextualSpacing w:val="0"/>
        <w:rPr>
          <w:szCs w:val="22"/>
        </w:rPr>
      </w:pPr>
      <w:hyperlink w:anchor="_p6463nmjzh3x">
        <w:r w:rsidR="00DD308B" w:rsidRPr="00FD27B3">
          <w:rPr>
            <w:szCs w:val="22"/>
          </w:rPr>
          <w:t>When should the members (Dividend Declared [Member] and Dividend Paid [Member]) be used?</w:t>
        </w:r>
      </w:hyperlink>
    </w:p>
    <w:p w14:paraId="0DE72E40" w14:textId="7A1DCFC6" w:rsidR="00DD308B" w:rsidRPr="00FD27B3" w:rsidRDefault="00203F06" w:rsidP="00DD308B">
      <w:pPr>
        <w:pStyle w:val="ListParagraph"/>
        <w:numPr>
          <w:ilvl w:val="1"/>
          <w:numId w:val="1"/>
        </w:numPr>
        <w:spacing w:line="240" w:lineRule="auto"/>
        <w:contextualSpacing w:val="0"/>
        <w:rPr>
          <w:szCs w:val="22"/>
        </w:rPr>
      </w:pPr>
      <w:hyperlink w:anchor="_3wsq164wtzh">
        <w:r w:rsidR="00DD308B" w:rsidRPr="00FD27B3">
          <w:rPr>
            <w:szCs w:val="22"/>
          </w:rPr>
          <w:t>Should the record date, payment date</w:t>
        </w:r>
        <w:r w:rsidR="005F5B30">
          <w:rPr>
            <w:szCs w:val="22"/>
          </w:rPr>
          <w:t>,</w:t>
        </w:r>
        <w:r w:rsidR="00DD308B" w:rsidRPr="00FD27B3">
          <w:rPr>
            <w:szCs w:val="22"/>
          </w:rPr>
          <w:t xml:space="preserve"> and declaration date associated with the dividend amount be tagged?</w:t>
        </w:r>
      </w:hyperlink>
    </w:p>
    <w:p w14:paraId="3F39B9C0" w14:textId="64B8C8A7" w:rsidR="00DD308B" w:rsidRPr="00FD27B3" w:rsidRDefault="00203F06" w:rsidP="00DD308B">
      <w:pPr>
        <w:pStyle w:val="ListParagraph"/>
        <w:numPr>
          <w:ilvl w:val="1"/>
          <w:numId w:val="1"/>
        </w:numPr>
        <w:spacing w:line="240" w:lineRule="auto"/>
        <w:contextualSpacing w:val="0"/>
        <w:rPr>
          <w:szCs w:val="22"/>
        </w:rPr>
      </w:pPr>
      <w:hyperlink w:anchor="_3p66zytf8026">
        <w:r w:rsidR="00DD308B" w:rsidRPr="00FD27B3">
          <w:rPr>
            <w:szCs w:val="22"/>
          </w:rPr>
          <w:t>What context should be used to tag the record date, payment date</w:t>
        </w:r>
        <w:r w:rsidR="005F5B30">
          <w:rPr>
            <w:szCs w:val="22"/>
          </w:rPr>
          <w:t>,</w:t>
        </w:r>
        <w:r w:rsidR="00DD308B" w:rsidRPr="00FD27B3">
          <w:rPr>
            <w:szCs w:val="22"/>
          </w:rPr>
          <w:t xml:space="preserve"> and declaration date associated with a dividend announcement?</w:t>
        </w:r>
      </w:hyperlink>
    </w:p>
    <w:p w14:paraId="2497CD53" w14:textId="77777777" w:rsidR="00DD308B" w:rsidRPr="00FD27B3" w:rsidRDefault="00203F06" w:rsidP="00DD308B">
      <w:pPr>
        <w:pStyle w:val="ListParagraph"/>
        <w:numPr>
          <w:ilvl w:val="1"/>
          <w:numId w:val="1"/>
        </w:numPr>
        <w:spacing w:line="240" w:lineRule="auto"/>
        <w:contextualSpacing w:val="0"/>
        <w:rPr>
          <w:szCs w:val="22"/>
        </w:rPr>
      </w:pPr>
      <w:hyperlink w:anchor="_xtc6vpsm4l3v">
        <w:r w:rsidR="00DD308B" w:rsidRPr="00FD27B3">
          <w:rPr>
            <w:szCs w:val="22"/>
          </w:rPr>
          <w:t>When are the DividendsPayableAmountPerShare and DividendsPayableCurrent used (or DividendsPayableCurrentAndNoncurrent for an unclassified Balance Sheet)?</w:t>
        </w:r>
      </w:hyperlink>
    </w:p>
    <w:p w14:paraId="48FCD854" w14:textId="77777777" w:rsidR="00DD308B" w:rsidRPr="00FD27B3" w:rsidRDefault="00203F06" w:rsidP="00DD308B">
      <w:pPr>
        <w:pStyle w:val="ListParagraph"/>
        <w:numPr>
          <w:ilvl w:val="1"/>
          <w:numId w:val="1"/>
        </w:numPr>
        <w:spacing w:line="240" w:lineRule="auto"/>
        <w:contextualSpacing w:val="0"/>
        <w:rPr>
          <w:szCs w:val="22"/>
        </w:rPr>
      </w:pPr>
      <w:hyperlink w:anchor="_7xmt4ctqruru">
        <w:r w:rsidR="00DD308B" w:rsidRPr="00FD27B3">
          <w:rPr>
            <w:szCs w:val="22"/>
          </w:rPr>
          <w:t>What date context and element should I use to tag the details of dividends declared after the period year end?</w:t>
        </w:r>
      </w:hyperlink>
    </w:p>
    <w:p w14:paraId="2703EF53" w14:textId="77777777" w:rsidR="00DD308B" w:rsidRPr="00FD27B3" w:rsidRDefault="00203F06" w:rsidP="00DD308B">
      <w:pPr>
        <w:pStyle w:val="ListParagraph"/>
        <w:numPr>
          <w:ilvl w:val="1"/>
          <w:numId w:val="1"/>
        </w:numPr>
        <w:spacing w:line="240" w:lineRule="auto"/>
        <w:contextualSpacing w:val="0"/>
        <w:rPr>
          <w:szCs w:val="22"/>
        </w:rPr>
      </w:pPr>
      <w:hyperlink w:anchor="_9jd8hvzgah56">
        <w:r w:rsidR="00DD308B" w:rsidRPr="00FD27B3">
          <w:rPr>
            <w:szCs w:val="22"/>
          </w:rPr>
          <w:t>When should CommonStockDividendsPerShareDeclared versus DividendsPayableAmountPerShare be used?</w:t>
        </w:r>
      </w:hyperlink>
    </w:p>
    <w:p w14:paraId="02A724EA" w14:textId="45A95CCC" w:rsidR="0031757F" w:rsidRPr="00FD27B3" w:rsidRDefault="0031757F" w:rsidP="0031757F">
      <w:pPr>
        <w:pStyle w:val="ListParagraph"/>
        <w:numPr>
          <w:ilvl w:val="1"/>
          <w:numId w:val="1"/>
        </w:numPr>
        <w:rPr>
          <w:szCs w:val="22"/>
        </w:rPr>
      </w:pPr>
      <w:r w:rsidRPr="00FD27B3">
        <w:rPr>
          <w:szCs w:val="22"/>
        </w:rPr>
        <w:t>What elements should be used to report dividends declared in the income statement?</w:t>
      </w:r>
    </w:p>
    <w:p w14:paraId="613FE3F2" w14:textId="1E982598" w:rsidR="0031757F" w:rsidRPr="00FD27B3" w:rsidRDefault="0031757F" w:rsidP="0031757F">
      <w:pPr>
        <w:pStyle w:val="ListParagraph"/>
        <w:numPr>
          <w:ilvl w:val="1"/>
          <w:numId w:val="1"/>
        </w:numPr>
        <w:rPr>
          <w:szCs w:val="22"/>
        </w:rPr>
      </w:pPr>
      <w:r w:rsidRPr="00FD27B3">
        <w:rPr>
          <w:szCs w:val="22"/>
        </w:rPr>
        <w:t>What element should be used to report dividends or distributions payable in the supplemental section of the cash flow statement?</w:t>
      </w:r>
    </w:p>
    <w:p w14:paraId="6B18AAEF" w14:textId="5160FC08" w:rsidR="0031757F" w:rsidRPr="00FD27B3" w:rsidRDefault="0031757F" w:rsidP="0031757F">
      <w:pPr>
        <w:pStyle w:val="ListParagraph"/>
        <w:numPr>
          <w:ilvl w:val="1"/>
          <w:numId w:val="1"/>
        </w:numPr>
        <w:rPr>
          <w:szCs w:val="22"/>
        </w:rPr>
      </w:pPr>
      <w:r w:rsidRPr="00FD27B3">
        <w:rPr>
          <w:szCs w:val="22"/>
        </w:rPr>
        <w:t>What element should be used if dividends are paid out of additional paid in capital?</w:t>
      </w:r>
    </w:p>
    <w:p w14:paraId="68DF837E" w14:textId="63B90C56" w:rsidR="0031757F" w:rsidRPr="00FD27B3" w:rsidRDefault="0031757F" w:rsidP="0031757F">
      <w:pPr>
        <w:pStyle w:val="ListParagraph"/>
        <w:numPr>
          <w:ilvl w:val="1"/>
          <w:numId w:val="1"/>
        </w:numPr>
        <w:spacing w:line="240" w:lineRule="auto"/>
        <w:contextualSpacing w:val="0"/>
        <w:rPr>
          <w:szCs w:val="22"/>
        </w:rPr>
      </w:pPr>
      <w:r w:rsidRPr="00FD27B3">
        <w:rPr>
          <w:szCs w:val="22"/>
        </w:rPr>
        <w:t>How are combined cash and stock dividends represented</w:t>
      </w:r>
      <w:r w:rsidR="00B33A42">
        <w:rPr>
          <w:szCs w:val="22"/>
        </w:rPr>
        <w:t xml:space="preserve"> </w:t>
      </w:r>
      <w:r w:rsidRPr="00FD27B3">
        <w:rPr>
          <w:szCs w:val="22"/>
        </w:rPr>
        <w:t>in the Statement of Changes in Shareholders Equity?</w:t>
      </w:r>
    </w:p>
    <w:p w14:paraId="574DE16B" w14:textId="2EB5C69D" w:rsidR="003F244B" w:rsidRPr="00FD27B3" w:rsidRDefault="00CC18A6" w:rsidP="00DD308B">
      <w:pPr>
        <w:pStyle w:val="ListParagraph"/>
        <w:spacing w:line="240" w:lineRule="auto"/>
        <w:contextualSpacing w:val="0"/>
        <w:rPr>
          <w:color w:val="1155CC"/>
          <w:szCs w:val="22"/>
          <w:u w:val="single"/>
        </w:rPr>
      </w:pPr>
      <w:r w:rsidRPr="00FD27B3">
        <w:rPr>
          <w:szCs w:val="22"/>
        </w:rPr>
        <w:t xml:space="preserve"> </w:t>
      </w:r>
    </w:p>
    <w:p w14:paraId="30886C29" w14:textId="77777777" w:rsidR="003D0CE6" w:rsidRPr="00FD27B3" w:rsidRDefault="003D0CE6" w:rsidP="003D0CE6">
      <w:pPr>
        <w:pStyle w:val="ListParagraph"/>
        <w:spacing w:line="240" w:lineRule="auto"/>
        <w:ind w:left="1440"/>
        <w:rPr>
          <w:rFonts w:eastAsia="Times New Roman"/>
          <w:szCs w:val="22"/>
        </w:rPr>
      </w:pPr>
    </w:p>
    <w:p w14:paraId="471E5B24" w14:textId="2A22F1B2" w:rsidR="003D0CE6" w:rsidRPr="00FD27B3" w:rsidRDefault="003D0CE6" w:rsidP="003D0CE6">
      <w:pPr>
        <w:pStyle w:val="ListParagraph"/>
        <w:numPr>
          <w:ilvl w:val="0"/>
          <w:numId w:val="1"/>
        </w:numPr>
        <w:spacing w:line="332" w:lineRule="auto"/>
        <w:rPr>
          <w:szCs w:val="22"/>
        </w:rPr>
      </w:pPr>
      <w:r w:rsidRPr="00FD27B3">
        <w:rPr>
          <w:szCs w:val="22"/>
        </w:rPr>
        <w:t xml:space="preserve">Motion to approve rules </w:t>
      </w:r>
      <w:r w:rsidR="00A83F69" w:rsidRPr="00FD27B3">
        <w:rPr>
          <w:szCs w:val="22"/>
        </w:rPr>
        <w:t>DQC_0</w:t>
      </w:r>
      <w:r w:rsidR="00C85B2D" w:rsidRPr="00FD27B3">
        <w:rPr>
          <w:szCs w:val="22"/>
        </w:rPr>
        <w:t>015</w:t>
      </w:r>
      <w:r w:rsidR="00A83F69" w:rsidRPr="00FD27B3">
        <w:rPr>
          <w:szCs w:val="22"/>
        </w:rPr>
        <w:t xml:space="preserve">, </w:t>
      </w:r>
      <w:r w:rsidR="008D58FC" w:rsidRPr="00FD27B3">
        <w:rPr>
          <w:szCs w:val="22"/>
        </w:rPr>
        <w:t>DQC_01</w:t>
      </w:r>
      <w:r w:rsidR="00C85B2D" w:rsidRPr="00FD27B3">
        <w:rPr>
          <w:szCs w:val="22"/>
        </w:rPr>
        <w:t>78, DQC_017</w:t>
      </w:r>
      <w:r w:rsidR="008D58FC" w:rsidRPr="00FD27B3">
        <w:rPr>
          <w:szCs w:val="22"/>
        </w:rPr>
        <w:t xml:space="preserve">9, </w:t>
      </w:r>
      <w:r w:rsidRPr="00FD27B3">
        <w:rPr>
          <w:szCs w:val="22"/>
        </w:rPr>
        <w:t>DQC_0</w:t>
      </w:r>
      <w:r w:rsidR="004C286E" w:rsidRPr="00FD27B3">
        <w:rPr>
          <w:szCs w:val="22"/>
        </w:rPr>
        <w:t>1</w:t>
      </w:r>
      <w:r w:rsidR="00C85B2D" w:rsidRPr="00FD27B3">
        <w:rPr>
          <w:szCs w:val="22"/>
        </w:rPr>
        <w:t>8</w:t>
      </w:r>
      <w:r w:rsidRPr="00FD27B3">
        <w:rPr>
          <w:szCs w:val="22"/>
        </w:rPr>
        <w:t>0, DQC_0</w:t>
      </w:r>
      <w:r w:rsidR="004C286E" w:rsidRPr="00FD27B3">
        <w:rPr>
          <w:szCs w:val="22"/>
        </w:rPr>
        <w:t>1</w:t>
      </w:r>
      <w:r w:rsidR="00C85B2D" w:rsidRPr="00FD27B3">
        <w:rPr>
          <w:szCs w:val="22"/>
        </w:rPr>
        <w:t>8</w:t>
      </w:r>
      <w:r w:rsidRPr="00FD27B3">
        <w:rPr>
          <w:szCs w:val="22"/>
        </w:rPr>
        <w:t>1, DQC_01</w:t>
      </w:r>
      <w:r w:rsidR="00C85B2D" w:rsidRPr="00FD27B3">
        <w:rPr>
          <w:szCs w:val="22"/>
        </w:rPr>
        <w:t>28</w:t>
      </w:r>
      <w:r w:rsidRPr="00FD27B3">
        <w:rPr>
          <w:szCs w:val="22"/>
        </w:rPr>
        <w:t>, DQC_01</w:t>
      </w:r>
      <w:r w:rsidR="00C85B2D" w:rsidRPr="00FD27B3">
        <w:rPr>
          <w:szCs w:val="22"/>
        </w:rPr>
        <w:t>8</w:t>
      </w:r>
      <w:r w:rsidRPr="00FD27B3">
        <w:rPr>
          <w:szCs w:val="22"/>
        </w:rPr>
        <w:t>3, DQC_01</w:t>
      </w:r>
      <w:r w:rsidR="00C85B2D" w:rsidRPr="00FD27B3">
        <w:rPr>
          <w:szCs w:val="22"/>
        </w:rPr>
        <w:t>8</w:t>
      </w:r>
      <w:r w:rsidRPr="00FD27B3">
        <w:rPr>
          <w:szCs w:val="22"/>
        </w:rPr>
        <w:t>4, DQC_01</w:t>
      </w:r>
      <w:r w:rsidR="00C85B2D" w:rsidRPr="00FD27B3">
        <w:rPr>
          <w:szCs w:val="22"/>
        </w:rPr>
        <w:t>8</w:t>
      </w:r>
      <w:r w:rsidRPr="00FD27B3">
        <w:rPr>
          <w:szCs w:val="22"/>
        </w:rPr>
        <w:t>5,</w:t>
      </w:r>
      <w:r w:rsidR="00F25C5E" w:rsidRPr="00FD27B3">
        <w:rPr>
          <w:szCs w:val="22"/>
        </w:rPr>
        <w:t xml:space="preserve"> </w:t>
      </w:r>
      <w:r w:rsidR="006C7707" w:rsidRPr="00FD27B3">
        <w:rPr>
          <w:szCs w:val="22"/>
        </w:rPr>
        <w:t>DQC_01</w:t>
      </w:r>
      <w:r w:rsidR="00C85B2D" w:rsidRPr="00FD27B3">
        <w:rPr>
          <w:szCs w:val="22"/>
        </w:rPr>
        <w:t>8</w:t>
      </w:r>
      <w:r w:rsidR="006C7707" w:rsidRPr="00FD27B3">
        <w:rPr>
          <w:szCs w:val="22"/>
        </w:rPr>
        <w:t xml:space="preserve">6, </w:t>
      </w:r>
      <w:r w:rsidR="00F25C5E" w:rsidRPr="00FD27B3">
        <w:rPr>
          <w:szCs w:val="22"/>
        </w:rPr>
        <w:t>and DQC_01</w:t>
      </w:r>
      <w:r w:rsidR="00C85B2D" w:rsidRPr="00FD27B3">
        <w:rPr>
          <w:szCs w:val="22"/>
        </w:rPr>
        <w:t>8</w:t>
      </w:r>
      <w:r w:rsidR="00F25C5E" w:rsidRPr="00FD27B3">
        <w:rPr>
          <w:szCs w:val="22"/>
        </w:rPr>
        <w:t>7</w:t>
      </w:r>
      <w:r w:rsidR="009220E8" w:rsidRPr="00FD27B3">
        <w:rPr>
          <w:szCs w:val="22"/>
        </w:rPr>
        <w:t>,</w:t>
      </w:r>
      <w:r w:rsidR="003F244B" w:rsidRPr="00FD27B3">
        <w:rPr>
          <w:szCs w:val="22"/>
        </w:rPr>
        <w:t xml:space="preserve"> and the Guidance </w:t>
      </w:r>
      <w:r w:rsidR="003F244B" w:rsidRPr="00FD27B3">
        <w:rPr>
          <w:i/>
          <w:iCs/>
          <w:szCs w:val="22"/>
        </w:rPr>
        <w:t>Reporting US GAAP Dividend Disclosures in XBRL FAQ</w:t>
      </w:r>
      <w:r w:rsidR="0031757F" w:rsidRPr="00FD27B3">
        <w:rPr>
          <w:i/>
          <w:iCs/>
          <w:szCs w:val="22"/>
        </w:rPr>
        <w:t xml:space="preserve"> (</w:t>
      </w:r>
      <w:r w:rsidR="0031757F" w:rsidRPr="00FD27B3">
        <w:rPr>
          <w:szCs w:val="22"/>
        </w:rPr>
        <w:t xml:space="preserve">subject to updates from FASB TAG </w:t>
      </w:r>
      <w:r w:rsidR="00B33A42">
        <w:rPr>
          <w:szCs w:val="22"/>
        </w:rPr>
        <w:t>review</w:t>
      </w:r>
      <w:r w:rsidR="0031757F" w:rsidRPr="00FD27B3">
        <w:rPr>
          <w:szCs w:val="22"/>
        </w:rPr>
        <w:t>)</w:t>
      </w:r>
      <w:r w:rsidR="00F25C5E" w:rsidRPr="00FD27B3">
        <w:rPr>
          <w:szCs w:val="22"/>
        </w:rPr>
        <w:t xml:space="preserve"> </w:t>
      </w:r>
      <w:r w:rsidR="0036702E" w:rsidRPr="00FD27B3">
        <w:rPr>
          <w:szCs w:val="22"/>
        </w:rPr>
        <w:t xml:space="preserve">for public review </w:t>
      </w:r>
      <w:r w:rsidRPr="00FD27B3">
        <w:rPr>
          <w:szCs w:val="22"/>
        </w:rPr>
        <w:t xml:space="preserve">by </w:t>
      </w:r>
      <w:r w:rsidR="0031757F" w:rsidRPr="00FD27B3">
        <w:rPr>
          <w:szCs w:val="22"/>
        </w:rPr>
        <w:t>Mohini Singh</w:t>
      </w:r>
      <w:r w:rsidRPr="00FD27B3">
        <w:rPr>
          <w:szCs w:val="22"/>
        </w:rPr>
        <w:t xml:space="preserve">, seconded by </w:t>
      </w:r>
      <w:r w:rsidR="0031757F" w:rsidRPr="00FD27B3">
        <w:rPr>
          <w:szCs w:val="22"/>
        </w:rPr>
        <w:t>Jennifer Liu</w:t>
      </w:r>
    </w:p>
    <w:p w14:paraId="729B5316" w14:textId="60C4BE88" w:rsidR="003D0CE6" w:rsidRPr="00FD27B3" w:rsidRDefault="003D0CE6" w:rsidP="003D0CE6">
      <w:pPr>
        <w:pStyle w:val="ListParagraph"/>
        <w:numPr>
          <w:ilvl w:val="0"/>
          <w:numId w:val="1"/>
        </w:numPr>
        <w:spacing w:line="332" w:lineRule="auto"/>
        <w:rPr>
          <w:szCs w:val="22"/>
        </w:rPr>
      </w:pPr>
      <w:r w:rsidRPr="00FD27B3">
        <w:rPr>
          <w:szCs w:val="22"/>
        </w:rPr>
        <w:t xml:space="preserve">Vote (For </w:t>
      </w:r>
      <w:r w:rsidR="00C31FC9" w:rsidRPr="00FD27B3">
        <w:rPr>
          <w:szCs w:val="22"/>
        </w:rPr>
        <w:t>8</w:t>
      </w:r>
      <w:r w:rsidRPr="00FD27B3">
        <w:rPr>
          <w:szCs w:val="22"/>
        </w:rPr>
        <w:t>, 0 Against)</w:t>
      </w:r>
    </w:p>
    <w:p w14:paraId="4BCF591E" w14:textId="1AEB6D37" w:rsidR="003D0CE6" w:rsidRPr="00FD27B3" w:rsidRDefault="003D0CE6" w:rsidP="003D0CE6">
      <w:pPr>
        <w:pStyle w:val="ListParagraph"/>
        <w:numPr>
          <w:ilvl w:val="0"/>
          <w:numId w:val="1"/>
        </w:numPr>
        <w:spacing w:line="332" w:lineRule="auto"/>
        <w:rPr>
          <w:szCs w:val="22"/>
        </w:rPr>
      </w:pPr>
      <w:r w:rsidRPr="00FD27B3">
        <w:rPr>
          <w:szCs w:val="22"/>
        </w:rPr>
        <w:lastRenderedPageBreak/>
        <w:t xml:space="preserve">Motion passed. </w:t>
      </w:r>
      <w:r w:rsidR="00C85B2D" w:rsidRPr="00FD27B3">
        <w:rPr>
          <w:szCs w:val="22"/>
        </w:rPr>
        <w:t>DQC_0015, DQC_0178, DQC_0179, DQC_0180, DQC_0181, DQC_0128, DQC_0183, DQC_0184, DQC_0185, DQC_0186, and DQC_0187</w:t>
      </w:r>
      <w:r w:rsidR="003F244B" w:rsidRPr="00FD27B3">
        <w:rPr>
          <w:szCs w:val="22"/>
        </w:rPr>
        <w:t xml:space="preserve">, and the Guidance </w:t>
      </w:r>
      <w:r w:rsidR="003F244B" w:rsidRPr="00FD27B3">
        <w:rPr>
          <w:i/>
          <w:iCs/>
          <w:szCs w:val="22"/>
        </w:rPr>
        <w:t>Reporting US GAAP Dividend Disclosures in XBRL FAQ</w:t>
      </w:r>
      <w:r w:rsidR="00C85B2D" w:rsidRPr="00FD27B3">
        <w:rPr>
          <w:szCs w:val="22"/>
        </w:rPr>
        <w:t xml:space="preserve"> </w:t>
      </w:r>
      <w:r w:rsidR="009452BC">
        <w:rPr>
          <w:szCs w:val="22"/>
        </w:rPr>
        <w:t xml:space="preserve">approved </w:t>
      </w:r>
      <w:r w:rsidR="004C286E" w:rsidRPr="00FD27B3">
        <w:rPr>
          <w:szCs w:val="22"/>
        </w:rPr>
        <w:t xml:space="preserve">for </w:t>
      </w:r>
      <w:r w:rsidR="0036702E" w:rsidRPr="00FD27B3">
        <w:rPr>
          <w:szCs w:val="22"/>
        </w:rPr>
        <w:t>public review</w:t>
      </w:r>
      <w:r w:rsidRPr="00FD27B3">
        <w:rPr>
          <w:szCs w:val="22"/>
        </w:rPr>
        <w:t xml:space="preserve">. </w:t>
      </w:r>
    </w:p>
    <w:p w14:paraId="1D2DB772" w14:textId="77777777" w:rsidR="003D0CE6" w:rsidRPr="00FD27B3" w:rsidRDefault="003D0CE6" w:rsidP="004C286E">
      <w:pPr>
        <w:pStyle w:val="ListParagraph"/>
        <w:spacing w:line="240" w:lineRule="auto"/>
        <w:rPr>
          <w:rFonts w:eastAsia="Times New Roman"/>
          <w:szCs w:val="22"/>
        </w:rPr>
      </w:pPr>
    </w:p>
    <w:p w14:paraId="08D063B0" w14:textId="77777777" w:rsidR="006D2EFE" w:rsidRPr="00FD27B3" w:rsidRDefault="006D2EFE" w:rsidP="003D5064">
      <w:pPr>
        <w:spacing w:line="332" w:lineRule="auto"/>
        <w:rPr>
          <w:rFonts w:ascii="Arial" w:eastAsia="Arial" w:hAnsi="Arial" w:cs="Arial"/>
          <w:sz w:val="22"/>
          <w:szCs w:val="22"/>
        </w:rPr>
      </w:pPr>
    </w:p>
    <w:p w14:paraId="0B75D610" w14:textId="7039A8FB" w:rsidR="0031757F" w:rsidRPr="00FD27B3" w:rsidRDefault="0031757F" w:rsidP="0031757F">
      <w:pPr>
        <w:spacing w:line="332" w:lineRule="auto"/>
        <w:rPr>
          <w:rFonts w:ascii="Arial" w:eastAsia="Arial" w:hAnsi="Arial" w:cs="Arial"/>
          <w:b/>
          <w:sz w:val="22"/>
          <w:szCs w:val="22"/>
        </w:rPr>
      </w:pPr>
      <w:r w:rsidRPr="00FD27B3">
        <w:rPr>
          <w:rFonts w:ascii="Arial" w:eastAsia="Arial" w:hAnsi="Arial" w:cs="Arial"/>
          <w:b/>
          <w:sz w:val="22"/>
          <w:szCs w:val="22"/>
        </w:rPr>
        <w:t>Other Business</w:t>
      </w:r>
    </w:p>
    <w:p w14:paraId="04EBC65F" w14:textId="0239BF37" w:rsidR="0031757F" w:rsidRPr="009452BC" w:rsidRDefault="0031757F" w:rsidP="009452BC">
      <w:pPr>
        <w:pStyle w:val="ListParagraph"/>
        <w:numPr>
          <w:ilvl w:val="0"/>
          <w:numId w:val="8"/>
        </w:numPr>
        <w:spacing w:line="332" w:lineRule="auto"/>
        <w:rPr>
          <w:bCs/>
          <w:szCs w:val="22"/>
        </w:rPr>
      </w:pPr>
      <w:r w:rsidRPr="009452BC">
        <w:rPr>
          <w:bCs/>
          <w:szCs w:val="22"/>
        </w:rPr>
        <w:t xml:space="preserve">There was a request </w:t>
      </w:r>
      <w:r w:rsidR="009452BC">
        <w:rPr>
          <w:bCs/>
          <w:szCs w:val="22"/>
        </w:rPr>
        <w:t>to extend</w:t>
      </w:r>
      <w:r w:rsidRPr="009452BC">
        <w:rPr>
          <w:bCs/>
          <w:szCs w:val="22"/>
        </w:rPr>
        <w:t xml:space="preserve"> the effective date for version 23</w:t>
      </w:r>
      <w:r w:rsidR="009452BC">
        <w:rPr>
          <w:bCs/>
          <w:szCs w:val="22"/>
        </w:rPr>
        <w:t xml:space="preserve"> rules (currently effective, May 1, 2024) because</w:t>
      </w:r>
      <w:r w:rsidRPr="009452BC">
        <w:rPr>
          <w:bCs/>
          <w:szCs w:val="22"/>
        </w:rPr>
        <w:t xml:space="preserve"> filers need additional time. </w:t>
      </w:r>
    </w:p>
    <w:p w14:paraId="15CB40AD" w14:textId="77777777" w:rsidR="0031757F" w:rsidRPr="00FD27B3" w:rsidRDefault="0031757F" w:rsidP="0031757F">
      <w:pPr>
        <w:spacing w:line="332" w:lineRule="auto"/>
        <w:rPr>
          <w:rFonts w:ascii="Arial" w:eastAsia="Arial" w:hAnsi="Arial" w:cs="Arial"/>
          <w:b/>
          <w:sz w:val="22"/>
          <w:szCs w:val="22"/>
        </w:rPr>
      </w:pPr>
    </w:p>
    <w:p w14:paraId="52754EB6" w14:textId="02CA897A" w:rsidR="009452BC" w:rsidRPr="004C18CA" w:rsidRDefault="0031757F" w:rsidP="00D07E62">
      <w:pPr>
        <w:pStyle w:val="ListParagraph"/>
        <w:numPr>
          <w:ilvl w:val="0"/>
          <w:numId w:val="8"/>
        </w:numPr>
        <w:spacing w:line="332" w:lineRule="auto"/>
        <w:rPr>
          <w:bCs/>
          <w:szCs w:val="22"/>
        </w:rPr>
      </w:pPr>
      <w:r w:rsidRPr="004C18CA">
        <w:rPr>
          <w:bCs/>
          <w:szCs w:val="22"/>
        </w:rPr>
        <w:t>Motion to approve the effective</w:t>
      </w:r>
      <w:r w:rsidR="009452BC" w:rsidRPr="004C18CA">
        <w:rPr>
          <w:bCs/>
          <w:szCs w:val="22"/>
        </w:rPr>
        <w:t xml:space="preserve"> date</w:t>
      </w:r>
      <w:r w:rsidRPr="004C18CA">
        <w:rPr>
          <w:bCs/>
          <w:szCs w:val="22"/>
        </w:rPr>
        <w:t xml:space="preserve"> of Version 23 to May 16, 2024</w:t>
      </w:r>
      <w:r w:rsidR="009452BC" w:rsidRPr="004C18CA">
        <w:rPr>
          <w:bCs/>
          <w:szCs w:val="22"/>
        </w:rPr>
        <w:t>,</w:t>
      </w:r>
      <w:r w:rsidRPr="004C18CA">
        <w:rPr>
          <w:bCs/>
          <w:szCs w:val="22"/>
        </w:rPr>
        <w:t xml:space="preserve"> by Campbell Pryde, seconded by Mohini Singh</w:t>
      </w:r>
    </w:p>
    <w:p w14:paraId="2C3331B1" w14:textId="77777777" w:rsidR="009452BC" w:rsidRPr="00FD27B3" w:rsidRDefault="009452BC" w:rsidP="009452BC">
      <w:pPr>
        <w:pStyle w:val="ListParagraph"/>
        <w:numPr>
          <w:ilvl w:val="0"/>
          <w:numId w:val="8"/>
        </w:numPr>
        <w:spacing w:line="332" w:lineRule="auto"/>
        <w:rPr>
          <w:szCs w:val="22"/>
        </w:rPr>
      </w:pPr>
      <w:r w:rsidRPr="00FD27B3">
        <w:rPr>
          <w:szCs w:val="22"/>
        </w:rPr>
        <w:t>Vote (For 8, 0 Against)</w:t>
      </w:r>
    </w:p>
    <w:p w14:paraId="2A63D1D3" w14:textId="5D8347F8" w:rsidR="009452BC" w:rsidRPr="009452BC" w:rsidRDefault="004C18CA" w:rsidP="009452BC">
      <w:pPr>
        <w:pStyle w:val="ListParagraph"/>
        <w:numPr>
          <w:ilvl w:val="0"/>
          <w:numId w:val="8"/>
        </w:numPr>
        <w:spacing w:line="332" w:lineRule="auto"/>
        <w:rPr>
          <w:bCs/>
          <w:szCs w:val="22"/>
        </w:rPr>
      </w:pPr>
      <w:r>
        <w:rPr>
          <w:bCs/>
          <w:szCs w:val="22"/>
        </w:rPr>
        <w:t xml:space="preserve">Motion passed.  Version 23 effective date </w:t>
      </w:r>
      <w:r w:rsidR="00203F06">
        <w:rPr>
          <w:bCs/>
          <w:szCs w:val="22"/>
        </w:rPr>
        <w:t xml:space="preserve">of Version 23 is </w:t>
      </w:r>
      <w:r>
        <w:rPr>
          <w:bCs/>
          <w:szCs w:val="22"/>
        </w:rPr>
        <w:t>extended to May 16, 2024.</w:t>
      </w:r>
    </w:p>
    <w:p w14:paraId="5417832D" w14:textId="77777777" w:rsidR="0031757F" w:rsidRPr="00FD27B3" w:rsidRDefault="0031757F" w:rsidP="0031757F">
      <w:pPr>
        <w:spacing w:line="332" w:lineRule="auto"/>
        <w:rPr>
          <w:rFonts w:ascii="Arial" w:eastAsia="Arial" w:hAnsi="Arial" w:cs="Arial"/>
          <w:b/>
          <w:sz w:val="22"/>
          <w:szCs w:val="22"/>
        </w:rPr>
      </w:pPr>
    </w:p>
    <w:p w14:paraId="7CEB8832" w14:textId="77777777" w:rsidR="0031757F" w:rsidRPr="00FD27B3" w:rsidRDefault="0031757F" w:rsidP="0031757F">
      <w:pPr>
        <w:spacing w:line="332" w:lineRule="auto"/>
        <w:rPr>
          <w:rFonts w:ascii="Arial" w:eastAsia="Arial" w:hAnsi="Arial" w:cs="Arial"/>
          <w:b/>
          <w:sz w:val="22"/>
          <w:szCs w:val="22"/>
        </w:rPr>
      </w:pPr>
    </w:p>
    <w:p w14:paraId="67BAA1EC" w14:textId="1235FDC1" w:rsidR="005A13E0" w:rsidRPr="00FD27B3" w:rsidRDefault="003D5064" w:rsidP="003D5064">
      <w:pPr>
        <w:spacing w:line="332" w:lineRule="auto"/>
        <w:rPr>
          <w:rFonts w:ascii="Arial" w:hAnsi="Arial" w:cs="Arial"/>
          <w:bCs/>
          <w:sz w:val="22"/>
          <w:szCs w:val="22"/>
        </w:rPr>
      </w:pPr>
      <w:r w:rsidRPr="00FD27B3">
        <w:rPr>
          <w:rFonts w:ascii="Arial" w:eastAsia="Arial" w:hAnsi="Arial" w:cs="Arial"/>
          <w:sz w:val="22"/>
          <w:szCs w:val="22"/>
        </w:rPr>
        <w:t>Meeting adjourned 1</w:t>
      </w:r>
      <w:r w:rsidR="0036702E" w:rsidRPr="00FD27B3">
        <w:rPr>
          <w:rFonts w:ascii="Arial" w:eastAsia="Arial" w:hAnsi="Arial" w:cs="Arial"/>
          <w:sz w:val="22"/>
          <w:szCs w:val="22"/>
        </w:rPr>
        <w:t>1</w:t>
      </w:r>
      <w:r w:rsidRPr="00FD27B3">
        <w:rPr>
          <w:rFonts w:ascii="Arial" w:eastAsia="Arial" w:hAnsi="Arial" w:cs="Arial"/>
          <w:sz w:val="22"/>
          <w:szCs w:val="22"/>
        </w:rPr>
        <w:t>:</w:t>
      </w:r>
      <w:r w:rsidR="00EE0024" w:rsidRPr="00FD27B3">
        <w:rPr>
          <w:rFonts w:ascii="Arial" w:eastAsia="Arial" w:hAnsi="Arial" w:cs="Arial"/>
          <w:sz w:val="22"/>
          <w:szCs w:val="22"/>
        </w:rPr>
        <w:t>0</w:t>
      </w:r>
      <w:r w:rsidR="0089799B" w:rsidRPr="00FD27B3">
        <w:rPr>
          <w:rFonts w:ascii="Arial" w:eastAsia="Arial" w:hAnsi="Arial" w:cs="Arial"/>
          <w:sz w:val="22"/>
          <w:szCs w:val="22"/>
        </w:rPr>
        <w:t>0</w:t>
      </w:r>
      <w:r w:rsidR="00650F01" w:rsidRPr="00FD27B3">
        <w:rPr>
          <w:rFonts w:ascii="Arial" w:eastAsia="Arial" w:hAnsi="Arial" w:cs="Arial"/>
          <w:sz w:val="22"/>
          <w:szCs w:val="22"/>
        </w:rPr>
        <w:t xml:space="preserve"> </w:t>
      </w:r>
      <w:r w:rsidR="0036702E" w:rsidRPr="00FD27B3">
        <w:rPr>
          <w:rFonts w:ascii="Arial" w:eastAsia="Arial" w:hAnsi="Arial" w:cs="Arial"/>
          <w:sz w:val="22"/>
          <w:szCs w:val="22"/>
        </w:rPr>
        <w:t>A</w:t>
      </w:r>
      <w:r w:rsidRPr="00FD27B3">
        <w:rPr>
          <w:rFonts w:ascii="Arial" w:eastAsia="Arial" w:hAnsi="Arial" w:cs="Arial"/>
          <w:sz w:val="22"/>
          <w:szCs w:val="22"/>
        </w:rPr>
        <w:t>M</w:t>
      </w:r>
      <w:r w:rsidR="00EE0024" w:rsidRPr="00FD27B3">
        <w:rPr>
          <w:rFonts w:ascii="Arial" w:eastAsia="Arial" w:hAnsi="Arial" w:cs="Arial"/>
          <w:sz w:val="22"/>
          <w:szCs w:val="22"/>
        </w:rPr>
        <w:t xml:space="preserve"> after which, DQC held a closed session</w:t>
      </w:r>
      <w:r w:rsidR="004C18CA">
        <w:rPr>
          <w:rFonts w:ascii="Arial" w:eastAsia="Arial" w:hAnsi="Arial" w:cs="Arial"/>
          <w:sz w:val="22"/>
          <w:szCs w:val="22"/>
        </w:rPr>
        <w:t>.</w:t>
      </w:r>
      <w:r w:rsidRPr="00FD27B3">
        <w:rPr>
          <w:rFonts w:ascii="Arial" w:eastAsia="Arial" w:hAnsi="Arial" w:cs="Arial"/>
          <w:sz w:val="22"/>
          <w:szCs w:val="22"/>
        </w:rPr>
        <w:t xml:space="preserve"> </w:t>
      </w:r>
    </w:p>
    <w:p w14:paraId="1E1C695A" w14:textId="39631C41" w:rsidR="002121E5" w:rsidRPr="00FD27B3" w:rsidRDefault="002121E5" w:rsidP="002121E5">
      <w:pPr>
        <w:spacing w:line="332" w:lineRule="auto"/>
        <w:ind w:left="1440"/>
        <w:rPr>
          <w:rFonts w:ascii="Arial" w:hAnsi="Arial" w:cs="Arial"/>
          <w:bCs/>
          <w:sz w:val="22"/>
          <w:szCs w:val="22"/>
        </w:rPr>
      </w:pPr>
      <w:bookmarkStart w:id="2" w:name="_jlfzh4shieuy" w:colFirst="0" w:colLast="0"/>
      <w:bookmarkEnd w:id="2"/>
    </w:p>
    <w:p w14:paraId="6BFEC3D6" w14:textId="1D132763" w:rsidR="00A33193" w:rsidRDefault="00A33193" w:rsidP="00A33193">
      <w:pPr>
        <w:spacing w:line="332" w:lineRule="auto"/>
        <w:rPr>
          <w:rFonts w:ascii="Arial" w:eastAsia="Arial" w:hAnsi="Arial" w:cs="Arial"/>
          <w:sz w:val="22"/>
        </w:rPr>
      </w:pP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DF4E" w14:textId="77777777" w:rsidR="008F1F3B" w:rsidRDefault="008F1F3B">
      <w:r>
        <w:separator/>
      </w:r>
    </w:p>
  </w:endnote>
  <w:endnote w:type="continuationSeparator" w:id="0">
    <w:p w14:paraId="275B1FFC" w14:textId="77777777" w:rsidR="008F1F3B" w:rsidRDefault="008F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2A9C" w14:textId="77777777" w:rsidR="008F1F3B" w:rsidRDefault="008F1F3B">
      <w:r>
        <w:separator/>
      </w:r>
    </w:p>
  </w:footnote>
  <w:footnote w:type="continuationSeparator" w:id="0">
    <w:p w14:paraId="16622B4B" w14:textId="77777777" w:rsidR="008F1F3B" w:rsidRDefault="008F1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789"/>
    <w:multiLevelType w:val="multilevel"/>
    <w:tmpl w:val="2DC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27D0"/>
    <w:multiLevelType w:val="hybridMultilevel"/>
    <w:tmpl w:val="A5DED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2F2CAA"/>
    <w:multiLevelType w:val="hybridMultilevel"/>
    <w:tmpl w:val="859C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035EA"/>
    <w:multiLevelType w:val="hybridMultilevel"/>
    <w:tmpl w:val="155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E4009"/>
    <w:multiLevelType w:val="multilevel"/>
    <w:tmpl w:val="A18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2371D"/>
    <w:multiLevelType w:val="hybridMultilevel"/>
    <w:tmpl w:val="6DEA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920933">
    <w:abstractNumId w:val="6"/>
  </w:num>
  <w:num w:numId="2" w16cid:durableId="1478912296">
    <w:abstractNumId w:val="5"/>
  </w:num>
  <w:num w:numId="3" w16cid:durableId="646208861">
    <w:abstractNumId w:val="1"/>
  </w:num>
  <w:num w:numId="4" w16cid:durableId="478347418">
    <w:abstractNumId w:val="2"/>
  </w:num>
  <w:num w:numId="5" w16cid:durableId="1289820612">
    <w:abstractNumId w:val="4"/>
  </w:num>
  <w:num w:numId="6" w16cid:durableId="485248736">
    <w:abstractNumId w:val="0"/>
  </w:num>
  <w:num w:numId="7" w16cid:durableId="283586087">
    <w:abstractNumId w:val="3"/>
  </w:num>
  <w:num w:numId="8" w16cid:durableId="36374975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8D5"/>
    <w:rsid w:val="00007E68"/>
    <w:rsid w:val="00007ED6"/>
    <w:rsid w:val="000127F5"/>
    <w:rsid w:val="000136DB"/>
    <w:rsid w:val="00014A38"/>
    <w:rsid w:val="00016AA4"/>
    <w:rsid w:val="00016F7E"/>
    <w:rsid w:val="000204AB"/>
    <w:rsid w:val="00020EA9"/>
    <w:rsid w:val="00020F2C"/>
    <w:rsid w:val="00021BB0"/>
    <w:rsid w:val="00024380"/>
    <w:rsid w:val="00025914"/>
    <w:rsid w:val="00026C18"/>
    <w:rsid w:val="000309CD"/>
    <w:rsid w:val="00034B1F"/>
    <w:rsid w:val="000413C8"/>
    <w:rsid w:val="00042FA3"/>
    <w:rsid w:val="00043834"/>
    <w:rsid w:val="00044F05"/>
    <w:rsid w:val="00046D37"/>
    <w:rsid w:val="000474C9"/>
    <w:rsid w:val="00047C0B"/>
    <w:rsid w:val="0005041A"/>
    <w:rsid w:val="00052B41"/>
    <w:rsid w:val="00054417"/>
    <w:rsid w:val="000548F4"/>
    <w:rsid w:val="000558DD"/>
    <w:rsid w:val="00055DF4"/>
    <w:rsid w:val="00056425"/>
    <w:rsid w:val="0005737B"/>
    <w:rsid w:val="00061E5A"/>
    <w:rsid w:val="00063061"/>
    <w:rsid w:val="00070F36"/>
    <w:rsid w:val="00070FA9"/>
    <w:rsid w:val="0007102A"/>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54E6"/>
    <w:rsid w:val="00096039"/>
    <w:rsid w:val="0009695E"/>
    <w:rsid w:val="00096B55"/>
    <w:rsid w:val="000A373D"/>
    <w:rsid w:val="000A40AB"/>
    <w:rsid w:val="000A67DF"/>
    <w:rsid w:val="000B19CB"/>
    <w:rsid w:val="000B1C9E"/>
    <w:rsid w:val="000B207C"/>
    <w:rsid w:val="000B3BF6"/>
    <w:rsid w:val="000B56BA"/>
    <w:rsid w:val="000B570D"/>
    <w:rsid w:val="000B62E1"/>
    <w:rsid w:val="000B7303"/>
    <w:rsid w:val="000C052A"/>
    <w:rsid w:val="000C4DBF"/>
    <w:rsid w:val="000C5EDD"/>
    <w:rsid w:val="000C7988"/>
    <w:rsid w:val="000D32C7"/>
    <w:rsid w:val="000D357F"/>
    <w:rsid w:val="000D521E"/>
    <w:rsid w:val="000D7CF8"/>
    <w:rsid w:val="000E1397"/>
    <w:rsid w:val="000E1FFC"/>
    <w:rsid w:val="000E2734"/>
    <w:rsid w:val="000E2D28"/>
    <w:rsid w:val="000E4451"/>
    <w:rsid w:val="000E66B1"/>
    <w:rsid w:val="000E7DCC"/>
    <w:rsid w:val="000F0026"/>
    <w:rsid w:val="000F10FC"/>
    <w:rsid w:val="000F21A0"/>
    <w:rsid w:val="000F2604"/>
    <w:rsid w:val="000F338E"/>
    <w:rsid w:val="000F4123"/>
    <w:rsid w:val="000F4B84"/>
    <w:rsid w:val="000F4BD5"/>
    <w:rsid w:val="000F59DE"/>
    <w:rsid w:val="00101903"/>
    <w:rsid w:val="0010306C"/>
    <w:rsid w:val="001046DD"/>
    <w:rsid w:val="001058C7"/>
    <w:rsid w:val="00112E9F"/>
    <w:rsid w:val="001147FB"/>
    <w:rsid w:val="00116D46"/>
    <w:rsid w:val="00122964"/>
    <w:rsid w:val="00124C90"/>
    <w:rsid w:val="00125B56"/>
    <w:rsid w:val="001262B6"/>
    <w:rsid w:val="001264C4"/>
    <w:rsid w:val="00126640"/>
    <w:rsid w:val="00126919"/>
    <w:rsid w:val="001318C6"/>
    <w:rsid w:val="00133A98"/>
    <w:rsid w:val="00133B2A"/>
    <w:rsid w:val="001359A2"/>
    <w:rsid w:val="00135A3A"/>
    <w:rsid w:val="00135D0E"/>
    <w:rsid w:val="001369D9"/>
    <w:rsid w:val="00137246"/>
    <w:rsid w:val="0013768C"/>
    <w:rsid w:val="001410BB"/>
    <w:rsid w:val="00143014"/>
    <w:rsid w:val="001431B0"/>
    <w:rsid w:val="001436D9"/>
    <w:rsid w:val="00144121"/>
    <w:rsid w:val="00144ADB"/>
    <w:rsid w:val="001469D0"/>
    <w:rsid w:val="0014700A"/>
    <w:rsid w:val="00147399"/>
    <w:rsid w:val="00150473"/>
    <w:rsid w:val="00151198"/>
    <w:rsid w:val="00151CA6"/>
    <w:rsid w:val="00152583"/>
    <w:rsid w:val="00153C9C"/>
    <w:rsid w:val="00154EEA"/>
    <w:rsid w:val="0015513D"/>
    <w:rsid w:val="0015637A"/>
    <w:rsid w:val="0015767B"/>
    <w:rsid w:val="00157ECE"/>
    <w:rsid w:val="00163718"/>
    <w:rsid w:val="00164E8B"/>
    <w:rsid w:val="00164F24"/>
    <w:rsid w:val="001666E4"/>
    <w:rsid w:val="00171E5B"/>
    <w:rsid w:val="00173232"/>
    <w:rsid w:val="00175155"/>
    <w:rsid w:val="001754CE"/>
    <w:rsid w:val="001816CA"/>
    <w:rsid w:val="00186CB3"/>
    <w:rsid w:val="00186CCB"/>
    <w:rsid w:val="00191752"/>
    <w:rsid w:val="00193771"/>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CF9"/>
    <w:rsid w:val="001B6EB8"/>
    <w:rsid w:val="001C0728"/>
    <w:rsid w:val="001C163B"/>
    <w:rsid w:val="001C175D"/>
    <w:rsid w:val="001C389D"/>
    <w:rsid w:val="001C59CC"/>
    <w:rsid w:val="001D0A77"/>
    <w:rsid w:val="001D193B"/>
    <w:rsid w:val="001D3459"/>
    <w:rsid w:val="001D383E"/>
    <w:rsid w:val="001D3B82"/>
    <w:rsid w:val="001D5D68"/>
    <w:rsid w:val="001D698D"/>
    <w:rsid w:val="001D6B1E"/>
    <w:rsid w:val="001E2606"/>
    <w:rsid w:val="001E3A76"/>
    <w:rsid w:val="001E3C6A"/>
    <w:rsid w:val="001F0134"/>
    <w:rsid w:val="001F186F"/>
    <w:rsid w:val="001F62ED"/>
    <w:rsid w:val="001F7ADF"/>
    <w:rsid w:val="00202510"/>
    <w:rsid w:val="00203F06"/>
    <w:rsid w:val="00204836"/>
    <w:rsid w:val="002074D6"/>
    <w:rsid w:val="00207514"/>
    <w:rsid w:val="00207F7C"/>
    <w:rsid w:val="002121E5"/>
    <w:rsid w:val="00212269"/>
    <w:rsid w:val="00212E84"/>
    <w:rsid w:val="00212FAB"/>
    <w:rsid w:val="0021499F"/>
    <w:rsid w:val="002163A6"/>
    <w:rsid w:val="00220D59"/>
    <w:rsid w:val="0022145D"/>
    <w:rsid w:val="00221EA4"/>
    <w:rsid w:val="0022274F"/>
    <w:rsid w:val="00230379"/>
    <w:rsid w:val="00230A9B"/>
    <w:rsid w:val="00230DA3"/>
    <w:rsid w:val="00231A2B"/>
    <w:rsid w:val="002324E3"/>
    <w:rsid w:val="00234097"/>
    <w:rsid w:val="0023482A"/>
    <w:rsid w:val="00234902"/>
    <w:rsid w:val="00235189"/>
    <w:rsid w:val="00235CE1"/>
    <w:rsid w:val="00235DD8"/>
    <w:rsid w:val="002400C8"/>
    <w:rsid w:val="00240C2F"/>
    <w:rsid w:val="0024118F"/>
    <w:rsid w:val="002411F8"/>
    <w:rsid w:val="0024289E"/>
    <w:rsid w:val="00242E5A"/>
    <w:rsid w:val="00242F97"/>
    <w:rsid w:val="00243158"/>
    <w:rsid w:val="002446AC"/>
    <w:rsid w:val="0024633D"/>
    <w:rsid w:val="0025063A"/>
    <w:rsid w:val="0025152A"/>
    <w:rsid w:val="00254C84"/>
    <w:rsid w:val="00256194"/>
    <w:rsid w:val="00256ED8"/>
    <w:rsid w:val="00261302"/>
    <w:rsid w:val="00263FE9"/>
    <w:rsid w:val="00264D70"/>
    <w:rsid w:val="00264EC9"/>
    <w:rsid w:val="00265145"/>
    <w:rsid w:val="00265E4E"/>
    <w:rsid w:val="002671C3"/>
    <w:rsid w:val="00267490"/>
    <w:rsid w:val="00270360"/>
    <w:rsid w:val="00272DBB"/>
    <w:rsid w:val="002773BA"/>
    <w:rsid w:val="00280A93"/>
    <w:rsid w:val="00280B44"/>
    <w:rsid w:val="00282F07"/>
    <w:rsid w:val="00283532"/>
    <w:rsid w:val="002841A0"/>
    <w:rsid w:val="00284D42"/>
    <w:rsid w:val="00286985"/>
    <w:rsid w:val="002878C8"/>
    <w:rsid w:val="002907ED"/>
    <w:rsid w:val="00290C62"/>
    <w:rsid w:val="00292588"/>
    <w:rsid w:val="00292838"/>
    <w:rsid w:val="00292B3F"/>
    <w:rsid w:val="002936F4"/>
    <w:rsid w:val="00295C0F"/>
    <w:rsid w:val="00295E54"/>
    <w:rsid w:val="00296DA6"/>
    <w:rsid w:val="0029757F"/>
    <w:rsid w:val="00297BFC"/>
    <w:rsid w:val="002A0601"/>
    <w:rsid w:val="002A09BF"/>
    <w:rsid w:val="002A14AA"/>
    <w:rsid w:val="002A2031"/>
    <w:rsid w:val="002A411B"/>
    <w:rsid w:val="002A6581"/>
    <w:rsid w:val="002A6C2E"/>
    <w:rsid w:val="002A70CC"/>
    <w:rsid w:val="002B3CE6"/>
    <w:rsid w:val="002B49CC"/>
    <w:rsid w:val="002B64DB"/>
    <w:rsid w:val="002C0324"/>
    <w:rsid w:val="002C0A20"/>
    <w:rsid w:val="002C18B0"/>
    <w:rsid w:val="002C1B18"/>
    <w:rsid w:val="002C352D"/>
    <w:rsid w:val="002C52D1"/>
    <w:rsid w:val="002C5C6A"/>
    <w:rsid w:val="002C7013"/>
    <w:rsid w:val="002C763D"/>
    <w:rsid w:val="002C77AA"/>
    <w:rsid w:val="002D0471"/>
    <w:rsid w:val="002D226D"/>
    <w:rsid w:val="002D3AC5"/>
    <w:rsid w:val="002D5CA0"/>
    <w:rsid w:val="002E2269"/>
    <w:rsid w:val="002E3DEA"/>
    <w:rsid w:val="002E4B3A"/>
    <w:rsid w:val="002E5EFC"/>
    <w:rsid w:val="002E653F"/>
    <w:rsid w:val="002F2803"/>
    <w:rsid w:val="002F4A59"/>
    <w:rsid w:val="002F4E92"/>
    <w:rsid w:val="002F62D7"/>
    <w:rsid w:val="002F65FE"/>
    <w:rsid w:val="002F6BD0"/>
    <w:rsid w:val="002F74D5"/>
    <w:rsid w:val="00300401"/>
    <w:rsid w:val="00300474"/>
    <w:rsid w:val="0030377A"/>
    <w:rsid w:val="00303B93"/>
    <w:rsid w:val="0030404C"/>
    <w:rsid w:val="00305DAD"/>
    <w:rsid w:val="003071CC"/>
    <w:rsid w:val="00310738"/>
    <w:rsid w:val="0031170D"/>
    <w:rsid w:val="0031179F"/>
    <w:rsid w:val="00312759"/>
    <w:rsid w:val="00312FC5"/>
    <w:rsid w:val="0031488F"/>
    <w:rsid w:val="003160F4"/>
    <w:rsid w:val="00317120"/>
    <w:rsid w:val="0031757F"/>
    <w:rsid w:val="0032066D"/>
    <w:rsid w:val="00321548"/>
    <w:rsid w:val="00321839"/>
    <w:rsid w:val="00323A87"/>
    <w:rsid w:val="00323C14"/>
    <w:rsid w:val="003240C0"/>
    <w:rsid w:val="003257E3"/>
    <w:rsid w:val="003271F6"/>
    <w:rsid w:val="0033130D"/>
    <w:rsid w:val="003318D8"/>
    <w:rsid w:val="003324E1"/>
    <w:rsid w:val="00332634"/>
    <w:rsid w:val="00333B54"/>
    <w:rsid w:val="003342FE"/>
    <w:rsid w:val="00335D46"/>
    <w:rsid w:val="00337674"/>
    <w:rsid w:val="003429CB"/>
    <w:rsid w:val="003431C2"/>
    <w:rsid w:val="00344B86"/>
    <w:rsid w:val="00346E12"/>
    <w:rsid w:val="0035018E"/>
    <w:rsid w:val="00354148"/>
    <w:rsid w:val="00354581"/>
    <w:rsid w:val="00354E57"/>
    <w:rsid w:val="00355950"/>
    <w:rsid w:val="0035624A"/>
    <w:rsid w:val="003567FE"/>
    <w:rsid w:val="00357675"/>
    <w:rsid w:val="00362D8A"/>
    <w:rsid w:val="003643AF"/>
    <w:rsid w:val="0036487D"/>
    <w:rsid w:val="003652FE"/>
    <w:rsid w:val="0036531D"/>
    <w:rsid w:val="00365707"/>
    <w:rsid w:val="00366C60"/>
    <w:rsid w:val="00366E6F"/>
    <w:rsid w:val="0036702E"/>
    <w:rsid w:val="0036731F"/>
    <w:rsid w:val="003709C0"/>
    <w:rsid w:val="003723BB"/>
    <w:rsid w:val="0037353E"/>
    <w:rsid w:val="00373919"/>
    <w:rsid w:val="003744B1"/>
    <w:rsid w:val="00375BB8"/>
    <w:rsid w:val="003767EB"/>
    <w:rsid w:val="00377959"/>
    <w:rsid w:val="00377FB7"/>
    <w:rsid w:val="0038190C"/>
    <w:rsid w:val="003830A0"/>
    <w:rsid w:val="00384588"/>
    <w:rsid w:val="00390AD5"/>
    <w:rsid w:val="003911CD"/>
    <w:rsid w:val="003939B9"/>
    <w:rsid w:val="003959DA"/>
    <w:rsid w:val="00395EA4"/>
    <w:rsid w:val="003A0C0B"/>
    <w:rsid w:val="003A2B6F"/>
    <w:rsid w:val="003B3014"/>
    <w:rsid w:val="003B3597"/>
    <w:rsid w:val="003B3B44"/>
    <w:rsid w:val="003C058E"/>
    <w:rsid w:val="003C1124"/>
    <w:rsid w:val="003C312A"/>
    <w:rsid w:val="003C5EEA"/>
    <w:rsid w:val="003D0C27"/>
    <w:rsid w:val="003D0CE6"/>
    <w:rsid w:val="003D122A"/>
    <w:rsid w:val="003D4A46"/>
    <w:rsid w:val="003D5064"/>
    <w:rsid w:val="003D5BBE"/>
    <w:rsid w:val="003E24CB"/>
    <w:rsid w:val="003E351D"/>
    <w:rsid w:val="003E723C"/>
    <w:rsid w:val="003E7453"/>
    <w:rsid w:val="003E791C"/>
    <w:rsid w:val="003E7925"/>
    <w:rsid w:val="003E79E3"/>
    <w:rsid w:val="003F1A04"/>
    <w:rsid w:val="003F2105"/>
    <w:rsid w:val="003F2197"/>
    <w:rsid w:val="003F244B"/>
    <w:rsid w:val="003F435A"/>
    <w:rsid w:val="004024FB"/>
    <w:rsid w:val="00402D47"/>
    <w:rsid w:val="00403596"/>
    <w:rsid w:val="00403FF5"/>
    <w:rsid w:val="00404CE0"/>
    <w:rsid w:val="00407010"/>
    <w:rsid w:val="00412052"/>
    <w:rsid w:val="0041795C"/>
    <w:rsid w:val="0041796E"/>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264A"/>
    <w:rsid w:val="004438F0"/>
    <w:rsid w:val="004445B5"/>
    <w:rsid w:val="00445B21"/>
    <w:rsid w:val="004462ED"/>
    <w:rsid w:val="00450438"/>
    <w:rsid w:val="00450E6C"/>
    <w:rsid w:val="00451C7C"/>
    <w:rsid w:val="00452126"/>
    <w:rsid w:val="0045636D"/>
    <w:rsid w:val="004563D8"/>
    <w:rsid w:val="00456B4F"/>
    <w:rsid w:val="0045745A"/>
    <w:rsid w:val="00461F61"/>
    <w:rsid w:val="0046231F"/>
    <w:rsid w:val="00464692"/>
    <w:rsid w:val="00465976"/>
    <w:rsid w:val="00465FA4"/>
    <w:rsid w:val="00466105"/>
    <w:rsid w:val="00467BC4"/>
    <w:rsid w:val="00470FA7"/>
    <w:rsid w:val="0047139A"/>
    <w:rsid w:val="00472478"/>
    <w:rsid w:val="0047313A"/>
    <w:rsid w:val="004748A1"/>
    <w:rsid w:val="00475CE3"/>
    <w:rsid w:val="00476B5C"/>
    <w:rsid w:val="004778EF"/>
    <w:rsid w:val="00482CDA"/>
    <w:rsid w:val="00483820"/>
    <w:rsid w:val="00483A54"/>
    <w:rsid w:val="004928B6"/>
    <w:rsid w:val="00494276"/>
    <w:rsid w:val="0049458D"/>
    <w:rsid w:val="0049465B"/>
    <w:rsid w:val="00494A56"/>
    <w:rsid w:val="00494D94"/>
    <w:rsid w:val="0049524E"/>
    <w:rsid w:val="00495CB2"/>
    <w:rsid w:val="00495E9C"/>
    <w:rsid w:val="00497187"/>
    <w:rsid w:val="004A1956"/>
    <w:rsid w:val="004A1E93"/>
    <w:rsid w:val="004A2BEB"/>
    <w:rsid w:val="004A32D5"/>
    <w:rsid w:val="004A4A08"/>
    <w:rsid w:val="004B09A2"/>
    <w:rsid w:val="004B11F3"/>
    <w:rsid w:val="004B21A7"/>
    <w:rsid w:val="004B325A"/>
    <w:rsid w:val="004B3352"/>
    <w:rsid w:val="004B4BD3"/>
    <w:rsid w:val="004B699A"/>
    <w:rsid w:val="004B734D"/>
    <w:rsid w:val="004B7B08"/>
    <w:rsid w:val="004C18CA"/>
    <w:rsid w:val="004C286E"/>
    <w:rsid w:val="004C40B0"/>
    <w:rsid w:val="004C45CF"/>
    <w:rsid w:val="004C4DF0"/>
    <w:rsid w:val="004C4EBA"/>
    <w:rsid w:val="004C6609"/>
    <w:rsid w:val="004C6EF7"/>
    <w:rsid w:val="004C7E7D"/>
    <w:rsid w:val="004D031B"/>
    <w:rsid w:val="004D0930"/>
    <w:rsid w:val="004D144E"/>
    <w:rsid w:val="004D1C8E"/>
    <w:rsid w:val="004D4C5E"/>
    <w:rsid w:val="004D5E7D"/>
    <w:rsid w:val="004D65A1"/>
    <w:rsid w:val="004E1A8B"/>
    <w:rsid w:val="004E4435"/>
    <w:rsid w:val="004E51FF"/>
    <w:rsid w:val="004E6621"/>
    <w:rsid w:val="004E7BDD"/>
    <w:rsid w:val="004F0BBD"/>
    <w:rsid w:val="004F3856"/>
    <w:rsid w:val="004F471A"/>
    <w:rsid w:val="00500040"/>
    <w:rsid w:val="005005A2"/>
    <w:rsid w:val="0050070D"/>
    <w:rsid w:val="0050255E"/>
    <w:rsid w:val="00502AE5"/>
    <w:rsid w:val="005036DF"/>
    <w:rsid w:val="00511AAD"/>
    <w:rsid w:val="005121E7"/>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45ED0"/>
    <w:rsid w:val="00550A3E"/>
    <w:rsid w:val="00554605"/>
    <w:rsid w:val="00556956"/>
    <w:rsid w:val="00557603"/>
    <w:rsid w:val="0056142E"/>
    <w:rsid w:val="005624D6"/>
    <w:rsid w:val="00562743"/>
    <w:rsid w:val="00562E16"/>
    <w:rsid w:val="00566B81"/>
    <w:rsid w:val="005721D8"/>
    <w:rsid w:val="0057264D"/>
    <w:rsid w:val="00572F1C"/>
    <w:rsid w:val="005741AD"/>
    <w:rsid w:val="0057530B"/>
    <w:rsid w:val="00575753"/>
    <w:rsid w:val="00577246"/>
    <w:rsid w:val="005810F4"/>
    <w:rsid w:val="0058420C"/>
    <w:rsid w:val="00584B79"/>
    <w:rsid w:val="00586647"/>
    <w:rsid w:val="005868F2"/>
    <w:rsid w:val="00590126"/>
    <w:rsid w:val="00591B7D"/>
    <w:rsid w:val="005920B1"/>
    <w:rsid w:val="0059243D"/>
    <w:rsid w:val="00593811"/>
    <w:rsid w:val="00593C09"/>
    <w:rsid w:val="005947A8"/>
    <w:rsid w:val="00595485"/>
    <w:rsid w:val="00595979"/>
    <w:rsid w:val="00595A84"/>
    <w:rsid w:val="005A13E0"/>
    <w:rsid w:val="005A1F09"/>
    <w:rsid w:val="005A412A"/>
    <w:rsid w:val="005A46B3"/>
    <w:rsid w:val="005A48C2"/>
    <w:rsid w:val="005A6B5B"/>
    <w:rsid w:val="005A6E7E"/>
    <w:rsid w:val="005A73C5"/>
    <w:rsid w:val="005B1ACA"/>
    <w:rsid w:val="005B3345"/>
    <w:rsid w:val="005C11E3"/>
    <w:rsid w:val="005C15BE"/>
    <w:rsid w:val="005C1851"/>
    <w:rsid w:val="005C5A47"/>
    <w:rsid w:val="005C5B78"/>
    <w:rsid w:val="005C63B8"/>
    <w:rsid w:val="005C693B"/>
    <w:rsid w:val="005D009B"/>
    <w:rsid w:val="005D0922"/>
    <w:rsid w:val="005D0D31"/>
    <w:rsid w:val="005D223A"/>
    <w:rsid w:val="005D2C29"/>
    <w:rsid w:val="005D3FB4"/>
    <w:rsid w:val="005D5C7A"/>
    <w:rsid w:val="005D6513"/>
    <w:rsid w:val="005D6DA8"/>
    <w:rsid w:val="005E49C3"/>
    <w:rsid w:val="005E5673"/>
    <w:rsid w:val="005F4F3C"/>
    <w:rsid w:val="005F53B4"/>
    <w:rsid w:val="005F5B30"/>
    <w:rsid w:val="006005D5"/>
    <w:rsid w:val="00602A4E"/>
    <w:rsid w:val="00604143"/>
    <w:rsid w:val="0060525F"/>
    <w:rsid w:val="00605935"/>
    <w:rsid w:val="00606EBA"/>
    <w:rsid w:val="00607430"/>
    <w:rsid w:val="00610047"/>
    <w:rsid w:val="006106B8"/>
    <w:rsid w:val="006114BA"/>
    <w:rsid w:val="00611DA0"/>
    <w:rsid w:val="006132FE"/>
    <w:rsid w:val="006153B8"/>
    <w:rsid w:val="006161D6"/>
    <w:rsid w:val="006163A9"/>
    <w:rsid w:val="00620724"/>
    <w:rsid w:val="00621C66"/>
    <w:rsid w:val="00625218"/>
    <w:rsid w:val="00630028"/>
    <w:rsid w:val="00634F4C"/>
    <w:rsid w:val="0063559C"/>
    <w:rsid w:val="00636361"/>
    <w:rsid w:val="00636EB5"/>
    <w:rsid w:val="00641115"/>
    <w:rsid w:val="0064182C"/>
    <w:rsid w:val="00641B08"/>
    <w:rsid w:val="00643706"/>
    <w:rsid w:val="00644FD0"/>
    <w:rsid w:val="006467C5"/>
    <w:rsid w:val="00646A65"/>
    <w:rsid w:val="00646C7E"/>
    <w:rsid w:val="00650F01"/>
    <w:rsid w:val="006554CE"/>
    <w:rsid w:val="00656A75"/>
    <w:rsid w:val="00656CDF"/>
    <w:rsid w:val="00657D8E"/>
    <w:rsid w:val="00660283"/>
    <w:rsid w:val="006608D3"/>
    <w:rsid w:val="0066162A"/>
    <w:rsid w:val="0066246C"/>
    <w:rsid w:val="00663B29"/>
    <w:rsid w:val="00667591"/>
    <w:rsid w:val="00672194"/>
    <w:rsid w:val="00674D5F"/>
    <w:rsid w:val="006764A8"/>
    <w:rsid w:val="00677476"/>
    <w:rsid w:val="00677CBA"/>
    <w:rsid w:val="0068060D"/>
    <w:rsid w:val="00681E2B"/>
    <w:rsid w:val="00685191"/>
    <w:rsid w:val="00686044"/>
    <w:rsid w:val="006860F0"/>
    <w:rsid w:val="006864A3"/>
    <w:rsid w:val="00687EF8"/>
    <w:rsid w:val="006906F8"/>
    <w:rsid w:val="0069141C"/>
    <w:rsid w:val="00691A1D"/>
    <w:rsid w:val="00692982"/>
    <w:rsid w:val="00692DC8"/>
    <w:rsid w:val="00693256"/>
    <w:rsid w:val="00696C4F"/>
    <w:rsid w:val="006A1F47"/>
    <w:rsid w:val="006A35E1"/>
    <w:rsid w:val="006A4008"/>
    <w:rsid w:val="006A6E5A"/>
    <w:rsid w:val="006B5247"/>
    <w:rsid w:val="006B59ED"/>
    <w:rsid w:val="006B7294"/>
    <w:rsid w:val="006C1FC4"/>
    <w:rsid w:val="006C2843"/>
    <w:rsid w:val="006C2D2C"/>
    <w:rsid w:val="006C47F9"/>
    <w:rsid w:val="006C4F0F"/>
    <w:rsid w:val="006C7707"/>
    <w:rsid w:val="006D180D"/>
    <w:rsid w:val="006D2EFE"/>
    <w:rsid w:val="006D3CDC"/>
    <w:rsid w:val="006D4F61"/>
    <w:rsid w:val="006D6E32"/>
    <w:rsid w:val="006D72AB"/>
    <w:rsid w:val="006E19F4"/>
    <w:rsid w:val="006E2D09"/>
    <w:rsid w:val="006E4844"/>
    <w:rsid w:val="006E4D73"/>
    <w:rsid w:val="006E5E2F"/>
    <w:rsid w:val="006E6393"/>
    <w:rsid w:val="006E6865"/>
    <w:rsid w:val="006E7395"/>
    <w:rsid w:val="006F11E4"/>
    <w:rsid w:val="006F29C3"/>
    <w:rsid w:val="006F3DDC"/>
    <w:rsid w:val="006F58F9"/>
    <w:rsid w:val="007011F3"/>
    <w:rsid w:val="00702128"/>
    <w:rsid w:val="00702AAF"/>
    <w:rsid w:val="00703F48"/>
    <w:rsid w:val="00705294"/>
    <w:rsid w:val="00705B84"/>
    <w:rsid w:val="0071319A"/>
    <w:rsid w:val="00714C1D"/>
    <w:rsid w:val="007166C7"/>
    <w:rsid w:val="007173C9"/>
    <w:rsid w:val="00722683"/>
    <w:rsid w:val="007249A3"/>
    <w:rsid w:val="00727879"/>
    <w:rsid w:val="00732D00"/>
    <w:rsid w:val="00733567"/>
    <w:rsid w:val="0073483D"/>
    <w:rsid w:val="0073629B"/>
    <w:rsid w:val="00736A8C"/>
    <w:rsid w:val="0073741E"/>
    <w:rsid w:val="0074061A"/>
    <w:rsid w:val="007413F1"/>
    <w:rsid w:val="00741737"/>
    <w:rsid w:val="00741D3D"/>
    <w:rsid w:val="00743520"/>
    <w:rsid w:val="007439E4"/>
    <w:rsid w:val="007450ED"/>
    <w:rsid w:val="007464E0"/>
    <w:rsid w:val="0074756D"/>
    <w:rsid w:val="00747CB1"/>
    <w:rsid w:val="00750B0E"/>
    <w:rsid w:val="007544F4"/>
    <w:rsid w:val="00754952"/>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363A"/>
    <w:rsid w:val="00775A03"/>
    <w:rsid w:val="007811A3"/>
    <w:rsid w:val="00782FF2"/>
    <w:rsid w:val="00783308"/>
    <w:rsid w:val="00784969"/>
    <w:rsid w:val="007855EC"/>
    <w:rsid w:val="007863AC"/>
    <w:rsid w:val="0079101C"/>
    <w:rsid w:val="00794C46"/>
    <w:rsid w:val="00794C86"/>
    <w:rsid w:val="00794D7E"/>
    <w:rsid w:val="0079728F"/>
    <w:rsid w:val="007A3873"/>
    <w:rsid w:val="007A5966"/>
    <w:rsid w:val="007B13A8"/>
    <w:rsid w:val="007B31DC"/>
    <w:rsid w:val="007B3D98"/>
    <w:rsid w:val="007B648F"/>
    <w:rsid w:val="007B68BE"/>
    <w:rsid w:val="007B69F6"/>
    <w:rsid w:val="007B7561"/>
    <w:rsid w:val="007C13B3"/>
    <w:rsid w:val="007C1682"/>
    <w:rsid w:val="007C42AF"/>
    <w:rsid w:val="007C531C"/>
    <w:rsid w:val="007C62CC"/>
    <w:rsid w:val="007C7A0B"/>
    <w:rsid w:val="007C7A6A"/>
    <w:rsid w:val="007D070E"/>
    <w:rsid w:val="007D0B53"/>
    <w:rsid w:val="007D11E7"/>
    <w:rsid w:val="007D168D"/>
    <w:rsid w:val="007D35FB"/>
    <w:rsid w:val="007D3D4B"/>
    <w:rsid w:val="007D4F9D"/>
    <w:rsid w:val="007E0633"/>
    <w:rsid w:val="007E4393"/>
    <w:rsid w:val="007E6554"/>
    <w:rsid w:val="007E7591"/>
    <w:rsid w:val="007F0A81"/>
    <w:rsid w:val="007F0EF4"/>
    <w:rsid w:val="007F180F"/>
    <w:rsid w:val="007F1C8C"/>
    <w:rsid w:val="007F3FC6"/>
    <w:rsid w:val="007F4185"/>
    <w:rsid w:val="007F4645"/>
    <w:rsid w:val="007F46DE"/>
    <w:rsid w:val="007F4AE0"/>
    <w:rsid w:val="0080165B"/>
    <w:rsid w:val="0080213C"/>
    <w:rsid w:val="008023BA"/>
    <w:rsid w:val="00803468"/>
    <w:rsid w:val="008052AA"/>
    <w:rsid w:val="00810966"/>
    <w:rsid w:val="00810A10"/>
    <w:rsid w:val="00811793"/>
    <w:rsid w:val="008117E2"/>
    <w:rsid w:val="008122A8"/>
    <w:rsid w:val="00812562"/>
    <w:rsid w:val="00812690"/>
    <w:rsid w:val="00813A6D"/>
    <w:rsid w:val="00816455"/>
    <w:rsid w:val="00816C8F"/>
    <w:rsid w:val="00817CA9"/>
    <w:rsid w:val="00821F2A"/>
    <w:rsid w:val="008223B5"/>
    <w:rsid w:val="008279FD"/>
    <w:rsid w:val="00831CB3"/>
    <w:rsid w:val="0083365D"/>
    <w:rsid w:val="008348B6"/>
    <w:rsid w:val="00834B41"/>
    <w:rsid w:val="00835F86"/>
    <w:rsid w:val="0083745E"/>
    <w:rsid w:val="00840DF6"/>
    <w:rsid w:val="00842C06"/>
    <w:rsid w:val="00843F7B"/>
    <w:rsid w:val="0084755C"/>
    <w:rsid w:val="00847BC4"/>
    <w:rsid w:val="00847CA6"/>
    <w:rsid w:val="00847D0F"/>
    <w:rsid w:val="00847EF2"/>
    <w:rsid w:val="00850812"/>
    <w:rsid w:val="00854696"/>
    <w:rsid w:val="00855605"/>
    <w:rsid w:val="008568FE"/>
    <w:rsid w:val="00856BF6"/>
    <w:rsid w:val="00862AD6"/>
    <w:rsid w:val="00862DC9"/>
    <w:rsid w:val="00863977"/>
    <w:rsid w:val="008646D3"/>
    <w:rsid w:val="00864FE0"/>
    <w:rsid w:val="0086682E"/>
    <w:rsid w:val="008676DC"/>
    <w:rsid w:val="00870FA7"/>
    <w:rsid w:val="008716E1"/>
    <w:rsid w:val="00871BF2"/>
    <w:rsid w:val="008724A6"/>
    <w:rsid w:val="00872ADC"/>
    <w:rsid w:val="0087480B"/>
    <w:rsid w:val="00874CB4"/>
    <w:rsid w:val="008764AD"/>
    <w:rsid w:val="00877891"/>
    <w:rsid w:val="00877CAB"/>
    <w:rsid w:val="00882229"/>
    <w:rsid w:val="008832AA"/>
    <w:rsid w:val="00883931"/>
    <w:rsid w:val="00883D13"/>
    <w:rsid w:val="00885777"/>
    <w:rsid w:val="008859AF"/>
    <w:rsid w:val="0088690D"/>
    <w:rsid w:val="00891F8B"/>
    <w:rsid w:val="00893502"/>
    <w:rsid w:val="0089799B"/>
    <w:rsid w:val="00897BAC"/>
    <w:rsid w:val="008A00BB"/>
    <w:rsid w:val="008A1ACA"/>
    <w:rsid w:val="008A34BC"/>
    <w:rsid w:val="008A63E8"/>
    <w:rsid w:val="008A6C30"/>
    <w:rsid w:val="008A7AA3"/>
    <w:rsid w:val="008B0414"/>
    <w:rsid w:val="008B2AF7"/>
    <w:rsid w:val="008B2E0E"/>
    <w:rsid w:val="008B2E67"/>
    <w:rsid w:val="008B3A60"/>
    <w:rsid w:val="008B5D15"/>
    <w:rsid w:val="008C01E5"/>
    <w:rsid w:val="008C113A"/>
    <w:rsid w:val="008C739C"/>
    <w:rsid w:val="008C7D4A"/>
    <w:rsid w:val="008D0024"/>
    <w:rsid w:val="008D0531"/>
    <w:rsid w:val="008D07A7"/>
    <w:rsid w:val="008D2197"/>
    <w:rsid w:val="008D21B3"/>
    <w:rsid w:val="008D23F7"/>
    <w:rsid w:val="008D4DA1"/>
    <w:rsid w:val="008D53F5"/>
    <w:rsid w:val="008D58FC"/>
    <w:rsid w:val="008D6FA6"/>
    <w:rsid w:val="008E3E5C"/>
    <w:rsid w:val="008E4914"/>
    <w:rsid w:val="008E4B4F"/>
    <w:rsid w:val="008E78B7"/>
    <w:rsid w:val="008E7CE9"/>
    <w:rsid w:val="008F1DF5"/>
    <w:rsid w:val="008F1F3B"/>
    <w:rsid w:val="008F48FC"/>
    <w:rsid w:val="008F5512"/>
    <w:rsid w:val="008F761F"/>
    <w:rsid w:val="0090041A"/>
    <w:rsid w:val="00900815"/>
    <w:rsid w:val="00901172"/>
    <w:rsid w:val="00902FEA"/>
    <w:rsid w:val="00903A18"/>
    <w:rsid w:val="00905256"/>
    <w:rsid w:val="009119BA"/>
    <w:rsid w:val="00911C1E"/>
    <w:rsid w:val="009123CB"/>
    <w:rsid w:val="00912646"/>
    <w:rsid w:val="009142B4"/>
    <w:rsid w:val="009179C5"/>
    <w:rsid w:val="00917E38"/>
    <w:rsid w:val="009220E8"/>
    <w:rsid w:val="00922577"/>
    <w:rsid w:val="00923E79"/>
    <w:rsid w:val="00923F18"/>
    <w:rsid w:val="009256ED"/>
    <w:rsid w:val="00926A1A"/>
    <w:rsid w:val="009275BC"/>
    <w:rsid w:val="00927A85"/>
    <w:rsid w:val="0093537C"/>
    <w:rsid w:val="009361C7"/>
    <w:rsid w:val="0093673C"/>
    <w:rsid w:val="00936A8B"/>
    <w:rsid w:val="00940ADB"/>
    <w:rsid w:val="00942C6A"/>
    <w:rsid w:val="009435E6"/>
    <w:rsid w:val="0094465B"/>
    <w:rsid w:val="009452BC"/>
    <w:rsid w:val="00947A01"/>
    <w:rsid w:val="00953A3F"/>
    <w:rsid w:val="00953E7F"/>
    <w:rsid w:val="0095418A"/>
    <w:rsid w:val="00954A9F"/>
    <w:rsid w:val="00954BE3"/>
    <w:rsid w:val="009550BB"/>
    <w:rsid w:val="00957520"/>
    <w:rsid w:val="00957B72"/>
    <w:rsid w:val="009609D9"/>
    <w:rsid w:val="009614AD"/>
    <w:rsid w:val="00961E9C"/>
    <w:rsid w:val="00962EF8"/>
    <w:rsid w:val="009631D2"/>
    <w:rsid w:val="00971C4F"/>
    <w:rsid w:val="00972326"/>
    <w:rsid w:val="00973E9A"/>
    <w:rsid w:val="0097424B"/>
    <w:rsid w:val="00974DF1"/>
    <w:rsid w:val="00975A9E"/>
    <w:rsid w:val="00975C14"/>
    <w:rsid w:val="009761A2"/>
    <w:rsid w:val="00980CFB"/>
    <w:rsid w:val="009816AC"/>
    <w:rsid w:val="009817CB"/>
    <w:rsid w:val="00981FF6"/>
    <w:rsid w:val="00982A9C"/>
    <w:rsid w:val="0098685A"/>
    <w:rsid w:val="009869A3"/>
    <w:rsid w:val="00992A29"/>
    <w:rsid w:val="0099362B"/>
    <w:rsid w:val="0099457E"/>
    <w:rsid w:val="0099615B"/>
    <w:rsid w:val="009971EE"/>
    <w:rsid w:val="009A0E5C"/>
    <w:rsid w:val="009A1674"/>
    <w:rsid w:val="009A18D3"/>
    <w:rsid w:val="009A1FCE"/>
    <w:rsid w:val="009A25DB"/>
    <w:rsid w:val="009A4869"/>
    <w:rsid w:val="009B0668"/>
    <w:rsid w:val="009B23D6"/>
    <w:rsid w:val="009B263A"/>
    <w:rsid w:val="009B296F"/>
    <w:rsid w:val="009B33E8"/>
    <w:rsid w:val="009B3D47"/>
    <w:rsid w:val="009B3E6C"/>
    <w:rsid w:val="009B4C60"/>
    <w:rsid w:val="009C3630"/>
    <w:rsid w:val="009C490D"/>
    <w:rsid w:val="009C4BCA"/>
    <w:rsid w:val="009C60B2"/>
    <w:rsid w:val="009C65AA"/>
    <w:rsid w:val="009D10F6"/>
    <w:rsid w:val="009D3535"/>
    <w:rsid w:val="009D7B81"/>
    <w:rsid w:val="009E12DB"/>
    <w:rsid w:val="009E236D"/>
    <w:rsid w:val="009E29F0"/>
    <w:rsid w:val="009E503D"/>
    <w:rsid w:val="009E7533"/>
    <w:rsid w:val="009E7547"/>
    <w:rsid w:val="009F07E4"/>
    <w:rsid w:val="009F1393"/>
    <w:rsid w:val="009F2418"/>
    <w:rsid w:val="009F25B0"/>
    <w:rsid w:val="009F2B3D"/>
    <w:rsid w:val="009F3723"/>
    <w:rsid w:val="00A019FB"/>
    <w:rsid w:val="00A02814"/>
    <w:rsid w:val="00A02FB6"/>
    <w:rsid w:val="00A02FFE"/>
    <w:rsid w:val="00A032C7"/>
    <w:rsid w:val="00A04748"/>
    <w:rsid w:val="00A0505C"/>
    <w:rsid w:val="00A05B7D"/>
    <w:rsid w:val="00A06EF4"/>
    <w:rsid w:val="00A107E0"/>
    <w:rsid w:val="00A10BA5"/>
    <w:rsid w:val="00A12853"/>
    <w:rsid w:val="00A13CFF"/>
    <w:rsid w:val="00A15D6E"/>
    <w:rsid w:val="00A205AE"/>
    <w:rsid w:val="00A23AEE"/>
    <w:rsid w:val="00A259F1"/>
    <w:rsid w:val="00A26D74"/>
    <w:rsid w:val="00A278E0"/>
    <w:rsid w:val="00A33193"/>
    <w:rsid w:val="00A33373"/>
    <w:rsid w:val="00A3387D"/>
    <w:rsid w:val="00A36487"/>
    <w:rsid w:val="00A36CDE"/>
    <w:rsid w:val="00A36ECD"/>
    <w:rsid w:val="00A37881"/>
    <w:rsid w:val="00A379AF"/>
    <w:rsid w:val="00A40011"/>
    <w:rsid w:val="00A431D6"/>
    <w:rsid w:val="00A44813"/>
    <w:rsid w:val="00A44E7F"/>
    <w:rsid w:val="00A4523B"/>
    <w:rsid w:val="00A461FD"/>
    <w:rsid w:val="00A46277"/>
    <w:rsid w:val="00A467F0"/>
    <w:rsid w:val="00A47E8D"/>
    <w:rsid w:val="00A5025E"/>
    <w:rsid w:val="00A50C95"/>
    <w:rsid w:val="00A512FD"/>
    <w:rsid w:val="00A51C0F"/>
    <w:rsid w:val="00A52136"/>
    <w:rsid w:val="00A5660C"/>
    <w:rsid w:val="00A56EBF"/>
    <w:rsid w:val="00A60611"/>
    <w:rsid w:val="00A6084E"/>
    <w:rsid w:val="00A60B39"/>
    <w:rsid w:val="00A61324"/>
    <w:rsid w:val="00A62117"/>
    <w:rsid w:val="00A63631"/>
    <w:rsid w:val="00A65ABD"/>
    <w:rsid w:val="00A668AC"/>
    <w:rsid w:val="00A67D7D"/>
    <w:rsid w:val="00A71E48"/>
    <w:rsid w:val="00A72464"/>
    <w:rsid w:val="00A747D1"/>
    <w:rsid w:val="00A75DF9"/>
    <w:rsid w:val="00A76301"/>
    <w:rsid w:val="00A77C0F"/>
    <w:rsid w:val="00A80339"/>
    <w:rsid w:val="00A818F2"/>
    <w:rsid w:val="00A82D10"/>
    <w:rsid w:val="00A83F69"/>
    <w:rsid w:val="00A842C9"/>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B1688"/>
    <w:rsid w:val="00AB39A6"/>
    <w:rsid w:val="00AB49F7"/>
    <w:rsid w:val="00AB4B2A"/>
    <w:rsid w:val="00AB5F8C"/>
    <w:rsid w:val="00AB6C75"/>
    <w:rsid w:val="00AB7D41"/>
    <w:rsid w:val="00AC10E4"/>
    <w:rsid w:val="00AC1268"/>
    <w:rsid w:val="00AC5CAF"/>
    <w:rsid w:val="00AC6171"/>
    <w:rsid w:val="00AC6198"/>
    <w:rsid w:val="00AD0202"/>
    <w:rsid w:val="00AD2163"/>
    <w:rsid w:val="00AD4B62"/>
    <w:rsid w:val="00AD5A71"/>
    <w:rsid w:val="00AD78FB"/>
    <w:rsid w:val="00AE3367"/>
    <w:rsid w:val="00AE3A04"/>
    <w:rsid w:val="00AE5C58"/>
    <w:rsid w:val="00AE6122"/>
    <w:rsid w:val="00AF06E1"/>
    <w:rsid w:val="00AF117B"/>
    <w:rsid w:val="00AF1555"/>
    <w:rsid w:val="00AF3976"/>
    <w:rsid w:val="00AF511A"/>
    <w:rsid w:val="00AF7882"/>
    <w:rsid w:val="00B051B8"/>
    <w:rsid w:val="00B054B5"/>
    <w:rsid w:val="00B05761"/>
    <w:rsid w:val="00B11D9E"/>
    <w:rsid w:val="00B1364A"/>
    <w:rsid w:val="00B1378C"/>
    <w:rsid w:val="00B15B6F"/>
    <w:rsid w:val="00B162D1"/>
    <w:rsid w:val="00B177BA"/>
    <w:rsid w:val="00B20B3A"/>
    <w:rsid w:val="00B21073"/>
    <w:rsid w:val="00B21115"/>
    <w:rsid w:val="00B22906"/>
    <w:rsid w:val="00B22AAE"/>
    <w:rsid w:val="00B22CB2"/>
    <w:rsid w:val="00B25CBE"/>
    <w:rsid w:val="00B26966"/>
    <w:rsid w:val="00B269C6"/>
    <w:rsid w:val="00B312FC"/>
    <w:rsid w:val="00B33A42"/>
    <w:rsid w:val="00B343A9"/>
    <w:rsid w:val="00B40040"/>
    <w:rsid w:val="00B4120F"/>
    <w:rsid w:val="00B41261"/>
    <w:rsid w:val="00B42B26"/>
    <w:rsid w:val="00B435C4"/>
    <w:rsid w:val="00B43796"/>
    <w:rsid w:val="00B43F06"/>
    <w:rsid w:val="00B452FC"/>
    <w:rsid w:val="00B457FD"/>
    <w:rsid w:val="00B46039"/>
    <w:rsid w:val="00B517EC"/>
    <w:rsid w:val="00B53BD3"/>
    <w:rsid w:val="00B540E5"/>
    <w:rsid w:val="00B54FE9"/>
    <w:rsid w:val="00B57360"/>
    <w:rsid w:val="00B62989"/>
    <w:rsid w:val="00B65088"/>
    <w:rsid w:val="00B65744"/>
    <w:rsid w:val="00B65C7C"/>
    <w:rsid w:val="00B675EB"/>
    <w:rsid w:val="00B67FBA"/>
    <w:rsid w:val="00B70243"/>
    <w:rsid w:val="00B71195"/>
    <w:rsid w:val="00B71DD8"/>
    <w:rsid w:val="00B721B1"/>
    <w:rsid w:val="00B75ABD"/>
    <w:rsid w:val="00B77316"/>
    <w:rsid w:val="00B83606"/>
    <w:rsid w:val="00B87D1B"/>
    <w:rsid w:val="00B903EC"/>
    <w:rsid w:val="00B91AAC"/>
    <w:rsid w:val="00B92849"/>
    <w:rsid w:val="00B94386"/>
    <w:rsid w:val="00B95364"/>
    <w:rsid w:val="00B958EB"/>
    <w:rsid w:val="00B96227"/>
    <w:rsid w:val="00B9665D"/>
    <w:rsid w:val="00B977F0"/>
    <w:rsid w:val="00BA040C"/>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D6854"/>
    <w:rsid w:val="00BD7EE3"/>
    <w:rsid w:val="00BE1CBA"/>
    <w:rsid w:val="00BE27EC"/>
    <w:rsid w:val="00BE2FE1"/>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06C2C"/>
    <w:rsid w:val="00C12268"/>
    <w:rsid w:val="00C15982"/>
    <w:rsid w:val="00C168CD"/>
    <w:rsid w:val="00C200A7"/>
    <w:rsid w:val="00C20C85"/>
    <w:rsid w:val="00C20DD0"/>
    <w:rsid w:val="00C2279F"/>
    <w:rsid w:val="00C2341B"/>
    <w:rsid w:val="00C238C0"/>
    <w:rsid w:val="00C24C4E"/>
    <w:rsid w:val="00C24CB9"/>
    <w:rsid w:val="00C255BB"/>
    <w:rsid w:val="00C26383"/>
    <w:rsid w:val="00C26CA9"/>
    <w:rsid w:val="00C27F01"/>
    <w:rsid w:val="00C30553"/>
    <w:rsid w:val="00C30558"/>
    <w:rsid w:val="00C31B06"/>
    <w:rsid w:val="00C31FC9"/>
    <w:rsid w:val="00C33392"/>
    <w:rsid w:val="00C3446A"/>
    <w:rsid w:val="00C346F1"/>
    <w:rsid w:val="00C37488"/>
    <w:rsid w:val="00C41023"/>
    <w:rsid w:val="00C41B94"/>
    <w:rsid w:val="00C43538"/>
    <w:rsid w:val="00C444A4"/>
    <w:rsid w:val="00C449B2"/>
    <w:rsid w:val="00C44C4A"/>
    <w:rsid w:val="00C4584C"/>
    <w:rsid w:val="00C470E9"/>
    <w:rsid w:val="00C5005B"/>
    <w:rsid w:val="00C52CD9"/>
    <w:rsid w:val="00C53B72"/>
    <w:rsid w:val="00C5411F"/>
    <w:rsid w:val="00C5662D"/>
    <w:rsid w:val="00C60A1F"/>
    <w:rsid w:val="00C60FC7"/>
    <w:rsid w:val="00C61062"/>
    <w:rsid w:val="00C61189"/>
    <w:rsid w:val="00C628E9"/>
    <w:rsid w:val="00C63285"/>
    <w:rsid w:val="00C64465"/>
    <w:rsid w:val="00C65CE8"/>
    <w:rsid w:val="00C65FB1"/>
    <w:rsid w:val="00C662E5"/>
    <w:rsid w:val="00C72EDA"/>
    <w:rsid w:val="00C733CB"/>
    <w:rsid w:val="00C7439A"/>
    <w:rsid w:val="00C7646A"/>
    <w:rsid w:val="00C776D8"/>
    <w:rsid w:val="00C806B7"/>
    <w:rsid w:val="00C814E0"/>
    <w:rsid w:val="00C83061"/>
    <w:rsid w:val="00C83632"/>
    <w:rsid w:val="00C83C29"/>
    <w:rsid w:val="00C842C4"/>
    <w:rsid w:val="00C85B2D"/>
    <w:rsid w:val="00C87BE7"/>
    <w:rsid w:val="00C87ECB"/>
    <w:rsid w:val="00C87F34"/>
    <w:rsid w:val="00C900DA"/>
    <w:rsid w:val="00C90334"/>
    <w:rsid w:val="00C93845"/>
    <w:rsid w:val="00C967BC"/>
    <w:rsid w:val="00C97484"/>
    <w:rsid w:val="00C97D1E"/>
    <w:rsid w:val="00CA06B9"/>
    <w:rsid w:val="00CA0C24"/>
    <w:rsid w:val="00CA19A4"/>
    <w:rsid w:val="00CA42B5"/>
    <w:rsid w:val="00CA6386"/>
    <w:rsid w:val="00CA689E"/>
    <w:rsid w:val="00CB0F59"/>
    <w:rsid w:val="00CB688B"/>
    <w:rsid w:val="00CC039A"/>
    <w:rsid w:val="00CC0943"/>
    <w:rsid w:val="00CC18A6"/>
    <w:rsid w:val="00CC37D4"/>
    <w:rsid w:val="00CC4283"/>
    <w:rsid w:val="00CC4A96"/>
    <w:rsid w:val="00CC4BFD"/>
    <w:rsid w:val="00CC668E"/>
    <w:rsid w:val="00CC7AAD"/>
    <w:rsid w:val="00CD1EB4"/>
    <w:rsid w:val="00CD32C0"/>
    <w:rsid w:val="00CD44A5"/>
    <w:rsid w:val="00CD5059"/>
    <w:rsid w:val="00CD6364"/>
    <w:rsid w:val="00CD7EFA"/>
    <w:rsid w:val="00CE00F7"/>
    <w:rsid w:val="00CE030F"/>
    <w:rsid w:val="00CE063F"/>
    <w:rsid w:val="00CE08E3"/>
    <w:rsid w:val="00CE1215"/>
    <w:rsid w:val="00CE31D0"/>
    <w:rsid w:val="00CE3535"/>
    <w:rsid w:val="00CE5592"/>
    <w:rsid w:val="00CE73AA"/>
    <w:rsid w:val="00CF06A5"/>
    <w:rsid w:val="00CF2499"/>
    <w:rsid w:val="00CF39B3"/>
    <w:rsid w:val="00CF42CC"/>
    <w:rsid w:val="00CF688D"/>
    <w:rsid w:val="00D00A9C"/>
    <w:rsid w:val="00D01948"/>
    <w:rsid w:val="00D024F1"/>
    <w:rsid w:val="00D05AD3"/>
    <w:rsid w:val="00D11365"/>
    <w:rsid w:val="00D11C8C"/>
    <w:rsid w:val="00D1429A"/>
    <w:rsid w:val="00D15DB3"/>
    <w:rsid w:val="00D16017"/>
    <w:rsid w:val="00D16116"/>
    <w:rsid w:val="00D16C06"/>
    <w:rsid w:val="00D1797E"/>
    <w:rsid w:val="00D20983"/>
    <w:rsid w:val="00D21925"/>
    <w:rsid w:val="00D21B83"/>
    <w:rsid w:val="00D224D8"/>
    <w:rsid w:val="00D224DC"/>
    <w:rsid w:val="00D2548B"/>
    <w:rsid w:val="00D31522"/>
    <w:rsid w:val="00D31C27"/>
    <w:rsid w:val="00D32CF2"/>
    <w:rsid w:val="00D33DCD"/>
    <w:rsid w:val="00D36F4D"/>
    <w:rsid w:val="00D403F1"/>
    <w:rsid w:val="00D42C7A"/>
    <w:rsid w:val="00D434A6"/>
    <w:rsid w:val="00D4383B"/>
    <w:rsid w:val="00D4416C"/>
    <w:rsid w:val="00D45304"/>
    <w:rsid w:val="00D458F8"/>
    <w:rsid w:val="00D46330"/>
    <w:rsid w:val="00D5012E"/>
    <w:rsid w:val="00D50358"/>
    <w:rsid w:val="00D50975"/>
    <w:rsid w:val="00D51CE1"/>
    <w:rsid w:val="00D548D4"/>
    <w:rsid w:val="00D54B34"/>
    <w:rsid w:val="00D54F43"/>
    <w:rsid w:val="00D554F5"/>
    <w:rsid w:val="00D56432"/>
    <w:rsid w:val="00D5668F"/>
    <w:rsid w:val="00D56A10"/>
    <w:rsid w:val="00D57D77"/>
    <w:rsid w:val="00D62F80"/>
    <w:rsid w:val="00D6384C"/>
    <w:rsid w:val="00D65797"/>
    <w:rsid w:val="00D67616"/>
    <w:rsid w:val="00D72ECD"/>
    <w:rsid w:val="00D73839"/>
    <w:rsid w:val="00D73A2F"/>
    <w:rsid w:val="00D74899"/>
    <w:rsid w:val="00D749F7"/>
    <w:rsid w:val="00D74FAA"/>
    <w:rsid w:val="00D820AF"/>
    <w:rsid w:val="00D82434"/>
    <w:rsid w:val="00D82462"/>
    <w:rsid w:val="00D843AE"/>
    <w:rsid w:val="00D85383"/>
    <w:rsid w:val="00D85972"/>
    <w:rsid w:val="00D85F7A"/>
    <w:rsid w:val="00D863FD"/>
    <w:rsid w:val="00D867F7"/>
    <w:rsid w:val="00D91EDB"/>
    <w:rsid w:val="00D922D1"/>
    <w:rsid w:val="00D9270E"/>
    <w:rsid w:val="00D92A18"/>
    <w:rsid w:val="00D93AF9"/>
    <w:rsid w:val="00D94DCC"/>
    <w:rsid w:val="00D96A10"/>
    <w:rsid w:val="00D97345"/>
    <w:rsid w:val="00DA0A6F"/>
    <w:rsid w:val="00DA293E"/>
    <w:rsid w:val="00DA37E0"/>
    <w:rsid w:val="00DA4B02"/>
    <w:rsid w:val="00DA56B5"/>
    <w:rsid w:val="00DA7CE9"/>
    <w:rsid w:val="00DB13CC"/>
    <w:rsid w:val="00DB13DA"/>
    <w:rsid w:val="00DB3210"/>
    <w:rsid w:val="00DB5C83"/>
    <w:rsid w:val="00DB666C"/>
    <w:rsid w:val="00DC2946"/>
    <w:rsid w:val="00DC4648"/>
    <w:rsid w:val="00DC5CCC"/>
    <w:rsid w:val="00DC6B57"/>
    <w:rsid w:val="00DC6F3B"/>
    <w:rsid w:val="00DC7174"/>
    <w:rsid w:val="00DD1867"/>
    <w:rsid w:val="00DD308B"/>
    <w:rsid w:val="00DD375E"/>
    <w:rsid w:val="00DD4015"/>
    <w:rsid w:val="00DD42F7"/>
    <w:rsid w:val="00DD4AE3"/>
    <w:rsid w:val="00DD5353"/>
    <w:rsid w:val="00DE0265"/>
    <w:rsid w:val="00DE0CF3"/>
    <w:rsid w:val="00DE2A58"/>
    <w:rsid w:val="00DE5282"/>
    <w:rsid w:val="00DE58C5"/>
    <w:rsid w:val="00DE5E0D"/>
    <w:rsid w:val="00DE7074"/>
    <w:rsid w:val="00DF0ADF"/>
    <w:rsid w:val="00DF0E14"/>
    <w:rsid w:val="00DF10B7"/>
    <w:rsid w:val="00DF2830"/>
    <w:rsid w:val="00DF2CF4"/>
    <w:rsid w:val="00DF32D0"/>
    <w:rsid w:val="00E021A8"/>
    <w:rsid w:val="00E06B6F"/>
    <w:rsid w:val="00E074E1"/>
    <w:rsid w:val="00E07CAD"/>
    <w:rsid w:val="00E114E3"/>
    <w:rsid w:val="00E16336"/>
    <w:rsid w:val="00E168ED"/>
    <w:rsid w:val="00E2095D"/>
    <w:rsid w:val="00E23A33"/>
    <w:rsid w:val="00E2477A"/>
    <w:rsid w:val="00E30681"/>
    <w:rsid w:val="00E3133C"/>
    <w:rsid w:val="00E31548"/>
    <w:rsid w:val="00E31573"/>
    <w:rsid w:val="00E31C76"/>
    <w:rsid w:val="00E322B0"/>
    <w:rsid w:val="00E3282E"/>
    <w:rsid w:val="00E33295"/>
    <w:rsid w:val="00E35A9D"/>
    <w:rsid w:val="00E35E87"/>
    <w:rsid w:val="00E35ECB"/>
    <w:rsid w:val="00E36483"/>
    <w:rsid w:val="00E401C1"/>
    <w:rsid w:val="00E40707"/>
    <w:rsid w:val="00E40FC4"/>
    <w:rsid w:val="00E42F09"/>
    <w:rsid w:val="00E430E3"/>
    <w:rsid w:val="00E43BB4"/>
    <w:rsid w:val="00E43EDE"/>
    <w:rsid w:val="00E448AB"/>
    <w:rsid w:val="00E448C5"/>
    <w:rsid w:val="00E45A54"/>
    <w:rsid w:val="00E45A5B"/>
    <w:rsid w:val="00E45F5E"/>
    <w:rsid w:val="00E4604F"/>
    <w:rsid w:val="00E525B9"/>
    <w:rsid w:val="00E52D69"/>
    <w:rsid w:val="00E53D7C"/>
    <w:rsid w:val="00E54D40"/>
    <w:rsid w:val="00E55AC1"/>
    <w:rsid w:val="00E61700"/>
    <w:rsid w:val="00E660BE"/>
    <w:rsid w:val="00E669EE"/>
    <w:rsid w:val="00E67D56"/>
    <w:rsid w:val="00E7085B"/>
    <w:rsid w:val="00E70EDC"/>
    <w:rsid w:val="00E712F3"/>
    <w:rsid w:val="00E7140A"/>
    <w:rsid w:val="00E727F1"/>
    <w:rsid w:val="00E739B0"/>
    <w:rsid w:val="00E74610"/>
    <w:rsid w:val="00E75780"/>
    <w:rsid w:val="00E7657C"/>
    <w:rsid w:val="00E77621"/>
    <w:rsid w:val="00E77783"/>
    <w:rsid w:val="00E82FB6"/>
    <w:rsid w:val="00E838E5"/>
    <w:rsid w:val="00E84D07"/>
    <w:rsid w:val="00E85441"/>
    <w:rsid w:val="00E86886"/>
    <w:rsid w:val="00E868AD"/>
    <w:rsid w:val="00E871B8"/>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8A5"/>
    <w:rsid w:val="00EC4F78"/>
    <w:rsid w:val="00EC5326"/>
    <w:rsid w:val="00EC7282"/>
    <w:rsid w:val="00ED105A"/>
    <w:rsid w:val="00ED16AE"/>
    <w:rsid w:val="00ED1C32"/>
    <w:rsid w:val="00ED37D7"/>
    <w:rsid w:val="00ED45CC"/>
    <w:rsid w:val="00ED4C80"/>
    <w:rsid w:val="00ED7CB1"/>
    <w:rsid w:val="00EE0024"/>
    <w:rsid w:val="00EE0FEE"/>
    <w:rsid w:val="00EE1E30"/>
    <w:rsid w:val="00EE24F9"/>
    <w:rsid w:val="00EE2C03"/>
    <w:rsid w:val="00EE32D5"/>
    <w:rsid w:val="00EE39AF"/>
    <w:rsid w:val="00EE3E9B"/>
    <w:rsid w:val="00EE4E65"/>
    <w:rsid w:val="00EE5E84"/>
    <w:rsid w:val="00EE74AB"/>
    <w:rsid w:val="00EE7D91"/>
    <w:rsid w:val="00EF0CE1"/>
    <w:rsid w:val="00EF18D7"/>
    <w:rsid w:val="00EF227F"/>
    <w:rsid w:val="00EF3417"/>
    <w:rsid w:val="00F04404"/>
    <w:rsid w:val="00F04AC0"/>
    <w:rsid w:val="00F05BA1"/>
    <w:rsid w:val="00F0716E"/>
    <w:rsid w:val="00F110D7"/>
    <w:rsid w:val="00F125A6"/>
    <w:rsid w:val="00F1330D"/>
    <w:rsid w:val="00F13F3F"/>
    <w:rsid w:val="00F16DBB"/>
    <w:rsid w:val="00F17250"/>
    <w:rsid w:val="00F20275"/>
    <w:rsid w:val="00F20D36"/>
    <w:rsid w:val="00F21534"/>
    <w:rsid w:val="00F2187C"/>
    <w:rsid w:val="00F224F1"/>
    <w:rsid w:val="00F22BB6"/>
    <w:rsid w:val="00F23F75"/>
    <w:rsid w:val="00F2573E"/>
    <w:rsid w:val="00F25C5E"/>
    <w:rsid w:val="00F25E29"/>
    <w:rsid w:val="00F266B0"/>
    <w:rsid w:val="00F27226"/>
    <w:rsid w:val="00F33E1A"/>
    <w:rsid w:val="00F36CCB"/>
    <w:rsid w:val="00F36FBC"/>
    <w:rsid w:val="00F37847"/>
    <w:rsid w:val="00F37FDA"/>
    <w:rsid w:val="00F407A7"/>
    <w:rsid w:val="00F40A0D"/>
    <w:rsid w:val="00F40E07"/>
    <w:rsid w:val="00F42147"/>
    <w:rsid w:val="00F42AA1"/>
    <w:rsid w:val="00F43B77"/>
    <w:rsid w:val="00F442D3"/>
    <w:rsid w:val="00F46AB6"/>
    <w:rsid w:val="00F46B41"/>
    <w:rsid w:val="00F50B79"/>
    <w:rsid w:val="00F528BC"/>
    <w:rsid w:val="00F53187"/>
    <w:rsid w:val="00F54DFB"/>
    <w:rsid w:val="00F5567D"/>
    <w:rsid w:val="00F563A2"/>
    <w:rsid w:val="00F57E20"/>
    <w:rsid w:val="00F63E84"/>
    <w:rsid w:val="00F66231"/>
    <w:rsid w:val="00F678A3"/>
    <w:rsid w:val="00F70ADA"/>
    <w:rsid w:val="00F73B78"/>
    <w:rsid w:val="00F73E7E"/>
    <w:rsid w:val="00F75710"/>
    <w:rsid w:val="00F759AE"/>
    <w:rsid w:val="00F76181"/>
    <w:rsid w:val="00F76594"/>
    <w:rsid w:val="00F77A92"/>
    <w:rsid w:val="00F8103D"/>
    <w:rsid w:val="00F862C7"/>
    <w:rsid w:val="00F866DD"/>
    <w:rsid w:val="00F87A49"/>
    <w:rsid w:val="00F87F2E"/>
    <w:rsid w:val="00F903B1"/>
    <w:rsid w:val="00F90BF2"/>
    <w:rsid w:val="00F90EA8"/>
    <w:rsid w:val="00F90F12"/>
    <w:rsid w:val="00F91862"/>
    <w:rsid w:val="00F93BE5"/>
    <w:rsid w:val="00FA1698"/>
    <w:rsid w:val="00FA2B0A"/>
    <w:rsid w:val="00FA4194"/>
    <w:rsid w:val="00FA4FB3"/>
    <w:rsid w:val="00FA5479"/>
    <w:rsid w:val="00FA6E7C"/>
    <w:rsid w:val="00FB0208"/>
    <w:rsid w:val="00FB0CF8"/>
    <w:rsid w:val="00FB264D"/>
    <w:rsid w:val="00FB2C20"/>
    <w:rsid w:val="00FB31C3"/>
    <w:rsid w:val="00FB32A6"/>
    <w:rsid w:val="00FB3D4F"/>
    <w:rsid w:val="00FB40AA"/>
    <w:rsid w:val="00FB420B"/>
    <w:rsid w:val="00FB4EFB"/>
    <w:rsid w:val="00FC0B9E"/>
    <w:rsid w:val="00FC5FD9"/>
    <w:rsid w:val="00FD0BAE"/>
    <w:rsid w:val="00FD128C"/>
    <w:rsid w:val="00FD1D03"/>
    <w:rsid w:val="00FD27B3"/>
    <w:rsid w:val="00FD2846"/>
    <w:rsid w:val="00FD2E0D"/>
    <w:rsid w:val="00FD386C"/>
    <w:rsid w:val="00FD4FC0"/>
    <w:rsid w:val="00FD6102"/>
    <w:rsid w:val="00FE07C6"/>
    <w:rsid w:val="00FE0B36"/>
    <w:rsid w:val="00FE1E1A"/>
    <w:rsid w:val="00FE2563"/>
    <w:rsid w:val="00FE293A"/>
    <w:rsid w:val="00FE35FE"/>
    <w:rsid w:val="00FE6EE5"/>
    <w:rsid w:val="00FF1B5F"/>
    <w:rsid w:val="00FF1FC7"/>
    <w:rsid w:val="00FF269B"/>
    <w:rsid w:val="00FF3C71"/>
    <w:rsid w:val="00FF4468"/>
    <w:rsid w:val="00FF46ED"/>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1B1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1B1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1B1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uiPriority w:val="10"/>
    <w:qFormat/>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7353E"/>
    <w:rPr>
      <w:b/>
      <w:bCs/>
    </w:rPr>
  </w:style>
  <w:style w:type="paragraph" w:styleId="FootnoteText">
    <w:name w:val="footnote text"/>
    <w:basedOn w:val="Normal"/>
    <w:link w:val="FootnoteTextChar"/>
    <w:uiPriority w:val="99"/>
    <w:semiHidden/>
    <w:unhideWhenUsed/>
    <w:rsid w:val="00230DA3"/>
  </w:style>
  <w:style w:type="character" w:customStyle="1" w:styleId="FootnoteTextChar">
    <w:name w:val="Footnote Text Char"/>
    <w:basedOn w:val="DefaultParagraphFont"/>
    <w:link w:val="FootnoteText"/>
    <w:uiPriority w:val="99"/>
    <w:semiHidden/>
    <w:rsid w:val="00230DA3"/>
  </w:style>
  <w:style w:type="character" w:styleId="FootnoteReference">
    <w:name w:val="footnote reference"/>
    <w:basedOn w:val="DefaultParagraphFont"/>
    <w:uiPriority w:val="99"/>
    <w:semiHidden/>
    <w:unhideWhenUsed/>
    <w:rsid w:val="00230DA3"/>
    <w:rPr>
      <w:vertAlign w:val="superscript"/>
    </w:rPr>
  </w:style>
  <w:style w:type="character" w:customStyle="1" w:styleId="Heading4Char">
    <w:name w:val="Heading 4 Char"/>
    <w:basedOn w:val="DefaultParagraphFont"/>
    <w:link w:val="Heading4"/>
    <w:uiPriority w:val="9"/>
    <w:semiHidden/>
    <w:rsid w:val="002C1B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C1B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1B1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05843713">
      <w:bodyDiv w:val="1"/>
      <w:marLeft w:val="0"/>
      <w:marRight w:val="0"/>
      <w:marTop w:val="0"/>
      <w:marBottom w:val="0"/>
      <w:divBdr>
        <w:top w:val="none" w:sz="0" w:space="0" w:color="auto"/>
        <w:left w:val="none" w:sz="0" w:space="0" w:color="auto"/>
        <w:bottom w:val="none" w:sz="0" w:space="0" w:color="auto"/>
        <w:right w:val="none" w:sz="0" w:space="0" w:color="auto"/>
      </w:divBdr>
      <w:divsChild>
        <w:div w:id="152722730">
          <w:marLeft w:val="274"/>
          <w:marRight w:val="0"/>
          <w:marTop w:val="0"/>
          <w:marBottom w:val="0"/>
          <w:divBdr>
            <w:top w:val="none" w:sz="0" w:space="0" w:color="auto"/>
            <w:left w:val="none" w:sz="0" w:space="0" w:color="auto"/>
            <w:bottom w:val="none" w:sz="0" w:space="0" w:color="auto"/>
            <w:right w:val="none" w:sz="0" w:space="0" w:color="auto"/>
          </w:divBdr>
        </w:div>
        <w:div w:id="2081711359">
          <w:marLeft w:val="274"/>
          <w:marRight w:val="0"/>
          <w:marTop w:val="0"/>
          <w:marBottom w:val="0"/>
          <w:divBdr>
            <w:top w:val="none" w:sz="0" w:space="0" w:color="auto"/>
            <w:left w:val="none" w:sz="0" w:space="0" w:color="auto"/>
            <w:bottom w:val="none" w:sz="0" w:space="0" w:color="auto"/>
            <w:right w:val="none" w:sz="0" w:space="0" w:color="auto"/>
          </w:divBdr>
        </w:div>
        <w:div w:id="638271487">
          <w:marLeft w:val="274"/>
          <w:marRight w:val="0"/>
          <w:marTop w:val="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283607327">
      <w:bodyDiv w:val="1"/>
      <w:marLeft w:val="0"/>
      <w:marRight w:val="0"/>
      <w:marTop w:val="0"/>
      <w:marBottom w:val="0"/>
      <w:divBdr>
        <w:top w:val="none" w:sz="0" w:space="0" w:color="auto"/>
        <w:left w:val="none" w:sz="0" w:space="0" w:color="auto"/>
        <w:bottom w:val="none" w:sz="0" w:space="0" w:color="auto"/>
        <w:right w:val="none" w:sz="0" w:space="0" w:color="auto"/>
      </w:divBdr>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2294677">
      <w:bodyDiv w:val="1"/>
      <w:marLeft w:val="0"/>
      <w:marRight w:val="0"/>
      <w:marTop w:val="0"/>
      <w:marBottom w:val="0"/>
      <w:divBdr>
        <w:top w:val="none" w:sz="0" w:space="0" w:color="auto"/>
        <w:left w:val="none" w:sz="0" w:space="0" w:color="auto"/>
        <w:bottom w:val="none" w:sz="0" w:space="0" w:color="auto"/>
        <w:right w:val="none" w:sz="0" w:space="0" w:color="auto"/>
      </w:divBdr>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12053384">
      <w:bodyDiv w:val="1"/>
      <w:marLeft w:val="0"/>
      <w:marRight w:val="0"/>
      <w:marTop w:val="0"/>
      <w:marBottom w:val="0"/>
      <w:divBdr>
        <w:top w:val="none" w:sz="0" w:space="0" w:color="auto"/>
        <w:left w:val="none" w:sz="0" w:space="0" w:color="auto"/>
        <w:bottom w:val="none" w:sz="0" w:space="0" w:color="auto"/>
        <w:right w:val="none" w:sz="0" w:space="0" w:color="auto"/>
      </w:divBdr>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xbrl.org/2021/arcrole/concept-dimensional-equivale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customXml/itemProps4.xml><?xml version="1.0" encoding="utf-8"?>
<ds:datastoreItem xmlns:ds="http://schemas.openxmlformats.org/officeDocument/2006/customXml" ds:itemID="{1CEC15CA-225C-4BEB-9F7A-E3734072FB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1102</Words>
  <Characters>6806</Characters>
  <Application>Microsoft Office Word</Application>
  <DocSecurity>0</DocSecurity>
  <Lines>158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38</cp:revision>
  <dcterms:created xsi:type="dcterms:W3CDTF">2024-03-14T13:24:00Z</dcterms:created>
  <dcterms:modified xsi:type="dcterms:W3CDTF">2024-03-20T22:51:00Z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y fmtid="{D5CDD505-2E9C-101B-9397-08002B2CF9AE}" pid="4" name="GrammarlyDocumentId">
    <vt:lpwstr>326ee6cef9763cfb4b557bbd9ce62e6ba2bfeb7a573438841cab707174f1d4f7</vt:lpwstr>
  </property>
</Properties>
</file>