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both"/>
        <w:rPr/>
      </w:pPr>
      <w:bookmarkStart w:colFirst="0" w:colLast="0" w:name="_1hr0zyhtp02v" w:id="0"/>
      <w:bookmarkEnd w:id="0"/>
      <w:r w:rsidDel="00000000" w:rsidR="00000000" w:rsidRPr="00000000">
        <w:rPr>
          <w:rtl w:val="0"/>
        </w:rPr>
        <w:t xml:space="preserve">Version 6 DQC Release</w:t>
      </w:r>
      <w:r w:rsidDel="00000000" w:rsidR="00000000" w:rsidRPr="00000000">
        <w:rPr>
          <w:rtl w:val="0"/>
        </w:rPr>
      </w:r>
    </w:p>
    <w:p w:rsidR="00000000" w:rsidDel="00000000" w:rsidP="00000000" w:rsidRDefault="00000000" w:rsidRPr="00000000" w14:paraId="00000001">
      <w:pPr>
        <w:pStyle w:val="Heading1"/>
        <w:contextualSpacing w:val="0"/>
        <w:jc w:val="both"/>
        <w:rPr/>
      </w:pPr>
      <w:bookmarkStart w:colFirst="0" w:colLast="0" w:name="_cn6x3y9gfqzh" w:id="1"/>
      <w:bookmarkEnd w:id="1"/>
      <w:r w:rsidDel="00000000" w:rsidR="00000000" w:rsidRPr="00000000">
        <w:rPr>
          <w:rtl w:val="0"/>
        </w:rPr>
        <w:t xml:space="preserve">Overview</w:t>
      </w:r>
    </w:p>
    <w:p w:rsidR="00000000" w:rsidDel="00000000" w:rsidP="00000000" w:rsidRDefault="00000000" w:rsidRPr="00000000" w14:paraId="00000002">
      <w:pPr>
        <w:contextualSpacing w:val="0"/>
        <w:jc w:val="both"/>
        <w:rPr/>
      </w:pPr>
      <w:r w:rsidDel="00000000" w:rsidR="00000000" w:rsidRPr="00000000">
        <w:rPr>
          <w:rtl w:val="0"/>
        </w:rPr>
        <w:t xml:space="preserve">The version 6 release of the DQC rules covers  the following changes:</w:t>
      </w:r>
    </w:p>
    <w:p w:rsidR="00000000" w:rsidDel="00000000" w:rsidP="00000000" w:rsidRDefault="00000000" w:rsidRPr="00000000" w14:paraId="00000003">
      <w:pPr>
        <w:numPr>
          <w:ilvl w:val="0"/>
          <w:numId w:val="3"/>
        </w:numPr>
        <w:ind w:left="720" w:hanging="360"/>
        <w:contextualSpacing w:val="1"/>
        <w:jc w:val="both"/>
        <w:rPr>
          <w:u w:val="none"/>
        </w:rPr>
      </w:pPr>
      <w:r w:rsidDel="00000000" w:rsidR="00000000" w:rsidRPr="00000000">
        <w:rPr>
          <w:rtl w:val="0"/>
        </w:rPr>
        <w:t xml:space="preserve">An update to an initial set of DQC rules to support IFRS taxonomies accepted and supported by the US SEC</w:t>
      </w:r>
    </w:p>
    <w:p w:rsidR="00000000" w:rsidDel="00000000" w:rsidP="00000000" w:rsidRDefault="00000000" w:rsidRPr="00000000" w14:paraId="00000004">
      <w:pPr>
        <w:numPr>
          <w:ilvl w:val="0"/>
          <w:numId w:val="3"/>
        </w:numPr>
        <w:ind w:left="720" w:hanging="360"/>
        <w:contextualSpacing w:val="1"/>
        <w:jc w:val="both"/>
        <w:rPr>
          <w:u w:val="none"/>
        </w:rPr>
      </w:pPr>
      <w:r w:rsidDel="00000000" w:rsidR="00000000" w:rsidRPr="00000000">
        <w:rPr>
          <w:rtl w:val="0"/>
        </w:rPr>
        <w:t xml:space="preserve">Updates to rules necessary to support changes resulting from the creation of the SRT</w:t>
      </w:r>
    </w:p>
    <w:p w:rsidR="00000000" w:rsidDel="00000000" w:rsidP="00000000" w:rsidRDefault="00000000" w:rsidRPr="00000000" w14:paraId="00000005">
      <w:pPr>
        <w:numPr>
          <w:ilvl w:val="0"/>
          <w:numId w:val="3"/>
        </w:numPr>
        <w:ind w:left="720" w:hanging="360"/>
        <w:contextualSpacing w:val="1"/>
        <w:jc w:val="both"/>
        <w:rPr>
          <w:u w:val="none"/>
        </w:rPr>
      </w:pPr>
      <w:r w:rsidDel="00000000" w:rsidR="00000000" w:rsidRPr="00000000">
        <w:rPr>
          <w:rtl w:val="0"/>
        </w:rPr>
        <w:t xml:space="preserve">Updating the “allowable use of” axis resulting from SRT </w:t>
      </w:r>
      <w:r w:rsidDel="00000000" w:rsidR="00000000" w:rsidRPr="00000000">
        <w:rPr>
          <w:rtl w:val="0"/>
        </w:rPr>
        <w:t xml:space="preserve">changes</w:t>
      </w:r>
      <w:r w:rsidDel="00000000" w:rsidR="00000000" w:rsidRPr="00000000">
        <w:rPr>
          <w:rtl w:val="0"/>
        </w:rPr>
        <w:t xml:space="preserve"> which moved dimensions from US GAAP to the SRT taxonomy.</w:t>
      </w:r>
      <w:r w:rsidDel="00000000" w:rsidR="00000000" w:rsidRPr="00000000">
        <w:rPr>
          <w:rtl w:val="0"/>
        </w:rPr>
      </w:r>
    </w:p>
    <w:p w:rsidR="00000000" w:rsidDel="00000000" w:rsidP="00000000" w:rsidRDefault="00000000" w:rsidRPr="00000000" w14:paraId="00000006">
      <w:pPr>
        <w:numPr>
          <w:ilvl w:val="0"/>
          <w:numId w:val="3"/>
        </w:numPr>
        <w:ind w:left="720" w:hanging="360"/>
        <w:contextualSpacing w:val="1"/>
        <w:jc w:val="both"/>
        <w:rPr>
          <w:u w:val="none"/>
        </w:rPr>
      </w:pPr>
      <w:r w:rsidDel="00000000" w:rsidR="00000000" w:rsidRPr="00000000">
        <w:rPr>
          <w:rtl w:val="0"/>
        </w:rPr>
        <w:t xml:space="preserve">Additional non-negative items to support US GAAP 2018</w:t>
      </w:r>
      <w:r w:rsidDel="00000000" w:rsidR="00000000" w:rsidRPr="00000000">
        <w:rPr>
          <w:rtl w:val="0"/>
        </w:rPr>
      </w:r>
    </w:p>
    <w:p w:rsidR="00000000" w:rsidDel="00000000" w:rsidP="00000000" w:rsidRDefault="00000000" w:rsidRPr="00000000" w14:paraId="00000007">
      <w:pPr>
        <w:numPr>
          <w:ilvl w:val="0"/>
          <w:numId w:val="3"/>
        </w:numPr>
        <w:ind w:left="720" w:hanging="360"/>
        <w:contextualSpacing w:val="1"/>
        <w:jc w:val="both"/>
        <w:rPr>
          <w:u w:val="none"/>
        </w:rPr>
      </w:pPr>
      <w:r w:rsidDel="00000000" w:rsidR="00000000" w:rsidRPr="00000000">
        <w:rPr>
          <w:rtl w:val="0"/>
        </w:rPr>
        <w:t xml:space="preserve">Minor fixes to issues in previously-released rules</w:t>
      </w:r>
    </w:p>
    <w:p w:rsidR="00000000" w:rsidDel="00000000" w:rsidP="00000000" w:rsidRDefault="00000000" w:rsidRPr="00000000" w14:paraId="00000008">
      <w:pPr>
        <w:numPr>
          <w:ilvl w:val="0"/>
          <w:numId w:val="3"/>
        </w:numPr>
        <w:ind w:left="720" w:hanging="360"/>
        <w:contextualSpacing w:val="1"/>
        <w:jc w:val="both"/>
        <w:rPr>
          <w:u w:val="none"/>
        </w:rPr>
      </w:pPr>
      <w:r w:rsidDel="00000000" w:rsidR="00000000" w:rsidRPr="00000000">
        <w:rPr>
          <w:rtl w:val="0"/>
        </w:rPr>
        <w:t xml:space="preserve">New rule for default members DQC_0066</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pStyle w:val="Heading2"/>
        <w:numPr>
          <w:ilvl w:val="0"/>
          <w:numId w:val="2"/>
        </w:numPr>
        <w:spacing w:after="80" w:before="80" w:lineRule="auto"/>
        <w:ind w:left="360" w:hanging="360"/>
        <w:contextualSpacing w:val="1"/>
        <w:jc w:val="both"/>
        <w:rPr>
          <w:u w:val="none"/>
        </w:rPr>
      </w:pPr>
      <w:bookmarkStart w:colFirst="0" w:colLast="0" w:name="_ffu1ibyn0rym" w:id="2"/>
      <w:bookmarkEnd w:id="2"/>
      <w:r w:rsidDel="00000000" w:rsidR="00000000" w:rsidRPr="00000000">
        <w:rPr>
          <w:rtl w:val="0"/>
        </w:rPr>
        <w:t xml:space="preserve">DQC Rules for IFRS Filings</w:t>
      </w:r>
    </w:p>
    <w:p w:rsidR="00000000" w:rsidDel="00000000" w:rsidP="00000000" w:rsidRDefault="00000000" w:rsidRPr="00000000" w14:paraId="0000000B">
      <w:pPr>
        <w:spacing w:after="80" w:before="80" w:lineRule="auto"/>
        <w:contextualSpacing w:val="0"/>
        <w:jc w:val="both"/>
        <w:rPr/>
      </w:pPr>
      <w:r w:rsidDel="00000000" w:rsidR="00000000" w:rsidRPr="00000000">
        <w:rPr>
          <w:rtl w:val="0"/>
        </w:rPr>
        <w:t xml:space="preserve">The following DQC rules have been amended to support IFRS filings:</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160" w:lineRule="auto"/>
        <w:ind w:left="720" w:hanging="360"/>
        <w:contextualSpacing w:val="1"/>
        <w:jc w:val="both"/>
        <w:rPr>
          <w:color w:val="333333"/>
          <w:sz w:val="21"/>
          <w:szCs w:val="21"/>
        </w:rPr>
      </w:pPr>
      <w:r w:rsidDel="00000000" w:rsidR="00000000" w:rsidRPr="00000000">
        <w:rPr>
          <w:color w:val="333333"/>
          <w:sz w:val="21"/>
          <w:szCs w:val="21"/>
          <w:rtl w:val="0"/>
        </w:rPr>
        <w:t xml:space="preserve">DQC_0006 – DEI and Block Tag Date Contexts</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160" w:lineRule="auto"/>
        <w:ind w:left="720" w:hanging="360"/>
        <w:contextualSpacing w:val="1"/>
        <w:jc w:val="both"/>
        <w:rPr>
          <w:color w:val="333333"/>
          <w:sz w:val="21"/>
          <w:szCs w:val="21"/>
        </w:rPr>
      </w:pPr>
      <w:r w:rsidDel="00000000" w:rsidR="00000000" w:rsidRPr="00000000">
        <w:rPr>
          <w:color w:val="333333"/>
          <w:sz w:val="21"/>
          <w:szCs w:val="21"/>
          <w:rtl w:val="0"/>
        </w:rPr>
        <w:t xml:space="preserve">DQC_0008 – Reversed Calculations</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160" w:lineRule="auto"/>
        <w:ind w:left="720" w:hanging="360"/>
        <w:contextualSpacing w:val="1"/>
        <w:jc w:val="both"/>
        <w:rPr>
          <w:color w:val="333333"/>
          <w:sz w:val="21"/>
          <w:szCs w:val="21"/>
        </w:rPr>
      </w:pPr>
      <w:r w:rsidDel="00000000" w:rsidR="00000000" w:rsidRPr="00000000">
        <w:rPr>
          <w:color w:val="333333"/>
          <w:sz w:val="21"/>
          <w:szCs w:val="21"/>
          <w:rtl w:val="0"/>
        </w:rPr>
        <w:t xml:space="preserve">DQC_0033 – Document Period End Date Context</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160" w:lineRule="auto"/>
        <w:ind w:left="720" w:hanging="360"/>
        <w:contextualSpacing w:val="1"/>
        <w:jc w:val="both"/>
        <w:rPr>
          <w:color w:val="333333"/>
          <w:sz w:val="21"/>
          <w:szCs w:val="21"/>
        </w:rPr>
      </w:pPr>
      <w:r w:rsidDel="00000000" w:rsidR="00000000" w:rsidRPr="00000000">
        <w:rPr>
          <w:color w:val="333333"/>
          <w:sz w:val="21"/>
          <w:szCs w:val="21"/>
          <w:rtl w:val="0"/>
        </w:rPr>
        <w:t xml:space="preserve">DQC_0036 – Document Period End Date Context/Fact Value Check</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before="160" w:lineRule="auto"/>
        <w:ind w:left="720" w:hanging="360"/>
        <w:contextualSpacing w:val="1"/>
        <w:jc w:val="both"/>
        <w:rPr>
          <w:color w:val="333333"/>
          <w:sz w:val="21"/>
          <w:szCs w:val="21"/>
        </w:rPr>
      </w:pPr>
      <w:r w:rsidDel="00000000" w:rsidR="00000000" w:rsidRPr="00000000">
        <w:rPr>
          <w:color w:val="333333"/>
          <w:sz w:val="21"/>
          <w:szCs w:val="21"/>
          <w:rtl w:val="0"/>
        </w:rPr>
        <w:t xml:space="preserve">DQC_0041 – Axis with a Default Member that Differs from the Taxonomy</w:t>
      </w:r>
    </w:p>
    <w:p w:rsidR="00000000" w:rsidDel="00000000" w:rsidP="00000000" w:rsidRDefault="00000000" w:rsidRPr="00000000" w14:paraId="00000011">
      <w:pPr>
        <w:pStyle w:val="Heading3"/>
        <w:pBdr>
          <w:top w:color="auto" w:space="0" w:sz="0" w:val="none"/>
          <w:left w:color="auto" w:space="0" w:sz="0" w:val="none"/>
          <w:bottom w:color="auto" w:space="0" w:sz="0" w:val="none"/>
          <w:right w:color="auto" w:space="0" w:sz="0" w:val="none"/>
          <w:between w:color="auto" w:space="0" w:sz="0" w:val="none"/>
        </w:pBdr>
        <w:shd w:fill="ffffff" w:val="clear"/>
        <w:spacing w:before="160" w:lineRule="auto"/>
        <w:contextualSpacing w:val="0"/>
        <w:jc w:val="both"/>
        <w:rPr/>
      </w:pPr>
      <w:bookmarkStart w:colFirst="0" w:colLast="0" w:name="_m7q6fdqibz3d" w:id="3"/>
      <w:bookmarkEnd w:id="3"/>
      <w:r w:rsidDel="00000000" w:rsidR="00000000" w:rsidRPr="00000000">
        <w:rPr>
          <w:rtl w:val="0"/>
        </w:rPr>
        <w:t xml:space="preserve">Changes Made:</w:t>
      </w:r>
    </w:p>
    <w:p w:rsidR="00000000" w:rsidDel="00000000" w:rsidP="00000000" w:rsidRDefault="00000000" w:rsidRPr="00000000" w14:paraId="00000012">
      <w:pPr>
        <w:spacing w:after="80" w:before="80" w:lineRule="auto"/>
        <w:contextualSpacing w:val="0"/>
        <w:jc w:val="both"/>
        <w:rPr/>
      </w:pPr>
      <w:r w:rsidDel="00000000" w:rsidR="00000000" w:rsidRPr="00000000">
        <w:rPr>
          <w:rtl w:val="0"/>
        </w:rPr>
        <w:t xml:space="preserve">The proposed IFRS rules will run separately from US GAAP Rules as a set of IFRS rules that can be expanded over time. The rules will run using the same plugin code.</w:t>
      </w:r>
    </w:p>
    <w:p w:rsidR="00000000" w:rsidDel="00000000" w:rsidP="00000000" w:rsidRDefault="00000000" w:rsidRPr="00000000" w14:paraId="00000013">
      <w:pPr>
        <w:spacing w:after="80" w:before="80" w:lineRule="auto"/>
        <w:contextualSpacing w:val="0"/>
        <w:jc w:val="both"/>
        <w:rPr/>
      </w:pPr>
      <w:r w:rsidDel="00000000" w:rsidR="00000000" w:rsidRPr="00000000">
        <w:rPr>
          <w:rtl w:val="0"/>
        </w:rPr>
        <w:t xml:space="preserve">The rules have been update to support the FASB Shared Reporting Taxonomy (SRT)</w:t>
      </w:r>
    </w:p>
    <w:p w:rsidR="00000000" w:rsidDel="00000000" w:rsidP="00000000" w:rsidRDefault="00000000" w:rsidRPr="00000000" w14:paraId="00000014">
      <w:pPr>
        <w:spacing w:after="80" w:before="80" w:lineRule="auto"/>
        <w:contextualSpacing w:val="0"/>
        <w:jc w:val="both"/>
        <w:rPr>
          <w:sz w:val="22"/>
          <w:szCs w:val="22"/>
        </w:rPr>
      </w:pPr>
      <w:r w:rsidDel="00000000" w:rsidR="00000000" w:rsidRPr="00000000">
        <w:rPr>
          <w:sz w:val="22"/>
          <w:szCs w:val="22"/>
          <w:rtl w:val="0"/>
        </w:rPr>
        <w:t xml:space="preserve">For rule DQC_0041,  an exception has been added to account for the change to the axis for Continuing Operations and Discontinued Operations. The default member was changed from the total of continuing and discontinued operations member to continuing operations member in the 2018 taxonomy.  DQC_0041 for IFRS allows either to be used as a default member using the 2017 taxonomy. </w:t>
      </w:r>
    </w:p>
    <w:p w:rsidR="00000000" w:rsidDel="00000000" w:rsidP="00000000" w:rsidRDefault="00000000" w:rsidRPr="00000000" w14:paraId="00000015">
      <w:pPr>
        <w:pStyle w:val="Heading2"/>
        <w:contextualSpacing w:val="0"/>
        <w:jc w:val="both"/>
        <w:rPr/>
      </w:pPr>
      <w:bookmarkStart w:colFirst="0" w:colLast="0" w:name="_vkspk4x6vqb9" w:id="4"/>
      <w:bookmarkEnd w:id="4"/>
      <w:r w:rsidDel="00000000" w:rsidR="00000000" w:rsidRPr="00000000">
        <w:rPr>
          <w:rtl w:val="0"/>
        </w:rPr>
        <w:t xml:space="preserve">2. SRT-Related Changes</w:t>
      </w:r>
    </w:p>
    <w:p w:rsidR="00000000" w:rsidDel="00000000" w:rsidP="00000000" w:rsidRDefault="00000000" w:rsidRPr="00000000" w14:paraId="00000016">
      <w:pPr>
        <w:pStyle w:val="Heading3"/>
        <w:contextualSpacing w:val="0"/>
        <w:jc w:val="both"/>
        <w:rPr/>
      </w:pPr>
      <w:bookmarkStart w:colFirst="0" w:colLast="0" w:name="_swkxhz2241uj" w:id="5"/>
      <w:bookmarkEnd w:id="5"/>
      <w:r w:rsidDel="00000000" w:rsidR="00000000" w:rsidRPr="00000000">
        <w:rPr>
          <w:rtl w:val="0"/>
        </w:rPr>
        <w:t xml:space="preserve">Taxonomy Specific Lists</w:t>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t xml:space="preserve">Previously the non neg list was a single list that applied to all taxonomies. This meant there would be items in the non-negative list that had been deprecated years ago. With this release there is a distinct non-negative list that is specific to a given taxonomy version. This means each non-negative list will only include items that are actually included in the associated version of the taxonomy.</w:t>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t xml:space="preserve">When users run the rules, the ruleset used will be determined based on the taxonomy used for the filing.  For example, if the filing uses the 2018 taxonomy, then the US-GAAP non-negative list for 2018 will be used as well as the SRT non-negative list and the dei non-negative list.</w:t>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t xml:space="preserve">Alternatively, if the 2017 taxonomy is used by a filer, the US-GAAP non-negative list for 2017 will be used as well as the  dei non-negative list. The SRT list is not used, as this can only be used for 2018 taxonomies and thereafter.</w:t>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t xml:space="preserve">In the reference implementation this is all handled automatically and requires no interaction from the user.</w:t>
      </w:r>
    </w:p>
    <w:p w:rsidR="00000000" w:rsidDel="00000000" w:rsidP="00000000" w:rsidRDefault="00000000" w:rsidRPr="00000000" w14:paraId="0000001F">
      <w:pPr>
        <w:pStyle w:val="Heading3"/>
        <w:contextualSpacing w:val="0"/>
        <w:jc w:val="both"/>
        <w:rPr/>
      </w:pPr>
      <w:bookmarkStart w:colFirst="0" w:colLast="0" w:name="_rt397w7fl5es" w:id="6"/>
      <w:bookmarkEnd w:id="6"/>
      <w:r w:rsidDel="00000000" w:rsidR="00000000" w:rsidRPr="00000000">
        <w:rPr>
          <w:rtl w:val="0"/>
        </w:rPr>
        <w:t xml:space="preserve">Non-negative Items</w:t>
      </w:r>
    </w:p>
    <w:p w:rsidR="00000000" w:rsidDel="00000000" w:rsidP="00000000" w:rsidRDefault="00000000" w:rsidRPr="00000000" w14:paraId="00000020">
      <w:pPr>
        <w:contextualSpacing w:val="0"/>
        <w:jc w:val="both"/>
        <w:rPr/>
      </w:pPr>
      <w:r w:rsidDel="00000000" w:rsidR="00000000" w:rsidRPr="00000000">
        <w:rPr>
          <w:rtl w:val="0"/>
        </w:rPr>
        <w:t xml:space="preserve">Previously, a single list of non negative elements was provided that couldn't have a negative value. These were provided as a csv list. However, with the addition of the SRT taxonomy, items that were previously identified as non-negatives got moved from the US-GAAP taxonomy to the SRT taxonomy.  In addition, these non-negative items now also apply to IFRS filings.  Accordingly, this list of non-negative items has been separated into 3 files with the V6 release which correspond to each of the taxonomies. </w:t>
      </w:r>
    </w:p>
    <w:p w:rsidR="00000000" w:rsidDel="00000000" w:rsidP="00000000" w:rsidRDefault="00000000" w:rsidRPr="00000000" w14:paraId="00000021">
      <w:pPr>
        <w:numPr>
          <w:ilvl w:val="0"/>
          <w:numId w:val="4"/>
        </w:numPr>
        <w:ind w:left="720" w:hanging="360"/>
        <w:contextualSpacing w:val="1"/>
        <w:jc w:val="both"/>
        <w:rPr>
          <w:u w:val="none"/>
        </w:rPr>
      </w:pPr>
      <w:r w:rsidDel="00000000" w:rsidR="00000000" w:rsidRPr="00000000">
        <w:rPr>
          <w:rtl w:val="0"/>
        </w:rPr>
        <w:t xml:space="preserve">US GAAP non negs</w:t>
      </w:r>
    </w:p>
    <w:p w:rsidR="00000000" w:rsidDel="00000000" w:rsidP="00000000" w:rsidRDefault="00000000" w:rsidRPr="00000000" w14:paraId="00000022">
      <w:pPr>
        <w:numPr>
          <w:ilvl w:val="0"/>
          <w:numId w:val="4"/>
        </w:numPr>
        <w:ind w:left="720" w:hanging="360"/>
        <w:contextualSpacing w:val="1"/>
        <w:jc w:val="both"/>
        <w:rPr>
          <w:u w:val="none"/>
        </w:rPr>
      </w:pPr>
      <w:r w:rsidDel="00000000" w:rsidR="00000000" w:rsidRPr="00000000">
        <w:rPr>
          <w:rtl w:val="0"/>
        </w:rPr>
        <w:t xml:space="preserve">SRT non negs</w:t>
      </w:r>
    </w:p>
    <w:p w:rsidR="00000000" w:rsidDel="00000000" w:rsidP="00000000" w:rsidRDefault="00000000" w:rsidRPr="00000000" w14:paraId="00000023">
      <w:pPr>
        <w:numPr>
          <w:ilvl w:val="0"/>
          <w:numId w:val="4"/>
        </w:numPr>
        <w:ind w:left="720" w:hanging="360"/>
        <w:contextualSpacing w:val="1"/>
        <w:jc w:val="both"/>
        <w:rPr>
          <w:u w:val="none"/>
        </w:rPr>
      </w:pPr>
      <w:r w:rsidDel="00000000" w:rsidR="00000000" w:rsidRPr="00000000">
        <w:rPr>
          <w:rtl w:val="0"/>
        </w:rPr>
        <w:t xml:space="preserve">DEI non negs</w:t>
      </w:r>
    </w:p>
    <w:p w:rsidR="00000000" w:rsidDel="00000000" w:rsidP="00000000" w:rsidRDefault="00000000" w:rsidRPr="00000000" w14:paraId="00000024">
      <w:pPr>
        <w:contextualSpacing w:val="0"/>
        <w:jc w:val="both"/>
        <w:rPr/>
      </w:pPr>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w:rtl w:val="0"/>
        </w:rPr>
        <w:t xml:space="preserve">In a future release, non-negatives will also be added for IFRS taxonomy elements.</w:t>
      </w:r>
    </w:p>
    <w:p w:rsidR="00000000" w:rsidDel="00000000" w:rsidP="00000000" w:rsidRDefault="00000000" w:rsidRPr="00000000" w14:paraId="00000026">
      <w:pPr>
        <w:contextualSpacing w:val="0"/>
        <w:jc w:val="both"/>
        <w:rPr/>
      </w:pPr>
      <w:r w:rsidDel="00000000" w:rsidR="00000000" w:rsidRPr="00000000">
        <w:rPr>
          <w:rtl w:val="0"/>
        </w:rPr>
      </w:r>
    </w:p>
    <w:p w:rsidR="00000000" w:rsidDel="00000000" w:rsidP="00000000" w:rsidRDefault="00000000" w:rsidRPr="00000000" w14:paraId="00000027">
      <w:pPr>
        <w:contextualSpacing w:val="0"/>
        <w:jc w:val="both"/>
        <w:rPr/>
      </w:pPr>
      <w:r w:rsidDel="00000000" w:rsidR="00000000" w:rsidRPr="00000000">
        <w:rPr>
          <w:rtl w:val="0"/>
        </w:rPr>
        <w:t xml:space="preserve">For the DEI and SRT list, a prefix of dei or srt is used, whereas the US GAAP does not have a prefix.  If no prefix is used it is assumed to be US GAAP. In a future version, IFRS non-negatives will also have no prefix as it is not expected that IFRS and US GAAP taxonomies would ever be filed together as they are today.</w:t>
      </w:r>
    </w:p>
    <w:p w:rsidR="00000000" w:rsidDel="00000000" w:rsidP="00000000" w:rsidRDefault="00000000" w:rsidRPr="00000000" w14:paraId="00000028">
      <w:pPr>
        <w:pStyle w:val="Heading2"/>
        <w:contextualSpacing w:val="0"/>
        <w:jc w:val="both"/>
        <w:rPr/>
      </w:pPr>
      <w:bookmarkStart w:colFirst="0" w:colLast="0" w:name="_8goadi967cjp" w:id="7"/>
      <w:bookmarkEnd w:id="7"/>
      <w:r w:rsidDel="00000000" w:rsidR="00000000" w:rsidRPr="00000000">
        <w:rPr>
          <w:rtl w:val="0"/>
        </w:rPr>
        <w:t xml:space="preserve">3. Updated Namespaces on Axis and Members - DQC_0001</w:t>
      </w:r>
    </w:p>
    <w:p w:rsidR="00000000" w:rsidDel="00000000" w:rsidP="00000000" w:rsidRDefault="00000000" w:rsidRPr="00000000" w14:paraId="00000029">
      <w:pPr>
        <w:contextualSpacing w:val="0"/>
        <w:jc w:val="both"/>
        <w:rPr/>
      </w:pPr>
      <w:r w:rsidDel="00000000" w:rsidR="00000000" w:rsidRPr="00000000">
        <w:rPr>
          <w:rtl w:val="0"/>
        </w:rPr>
        <w:t xml:space="preserve">DQC_0001 has been updated for 2018 for those axes that were moved from US GAAP to the SRT taxonomy. For example, the range axis was moved with its associated members. We have updated the namespace to be consistent with the 2018 release of the US GAAP taxonomy.</w:t>
      </w:r>
    </w:p>
    <w:p w:rsidR="00000000" w:rsidDel="00000000" w:rsidP="00000000" w:rsidRDefault="00000000" w:rsidRPr="00000000" w14:paraId="0000002A">
      <w:pPr>
        <w:pStyle w:val="Heading2"/>
        <w:contextualSpacing w:val="0"/>
        <w:jc w:val="both"/>
        <w:rPr/>
      </w:pPr>
      <w:bookmarkStart w:colFirst="0" w:colLast="0" w:name="_fic709nrdbnm" w:id="8"/>
      <w:bookmarkEnd w:id="8"/>
      <w:r w:rsidDel="00000000" w:rsidR="00000000" w:rsidRPr="00000000">
        <w:rPr>
          <w:rtl w:val="0"/>
        </w:rPr>
        <w:t xml:space="preserve">4. Additional Non Negative Rules for 2018 US GAAP Taxonomy - DQC_0015</w:t>
      </w:r>
    </w:p>
    <w:p w:rsidR="00000000" w:rsidDel="00000000" w:rsidP="00000000" w:rsidRDefault="00000000" w:rsidRPr="00000000" w14:paraId="0000002B">
      <w:pPr>
        <w:contextualSpacing w:val="0"/>
        <w:rPr/>
      </w:pPr>
      <w:r w:rsidDel="00000000" w:rsidR="00000000" w:rsidRPr="00000000">
        <w:rPr>
          <w:rtl w:val="0"/>
        </w:rPr>
        <w:t xml:space="preserve">See attached excel file list of additional elements from the 2018 US GAAP Taxonomy to be added to DQC_0015</w:t>
      </w:r>
    </w:p>
    <w:p w:rsidR="00000000" w:rsidDel="00000000" w:rsidP="00000000" w:rsidRDefault="00000000" w:rsidRPr="00000000" w14:paraId="0000002C">
      <w:pPr>
        <w:pStyle w:val="Heading2"/>
        <w:contextualSpacing w:val="0"/>
        <w:jc w:val="both"/>
        <w:rPr/>
      </w:pPr>
      <w:bookmarkStart w:colFirst="0" w:colLast="0" w:name="_91b1cxw6jfhi" w:id="9"/>
      <w:bookmarkEnd w:id="9"/>
      <w:r w:rsidDel="00000000" w:rsidR="00000000" w:rsidRPr="00000000">
        <w:rPr>
          <w:rtl w:val="0"/>
        </w:rPr>
        <w:t xml:space="preserve">5. Fixes to Previously-Released Rules</w:t>
      </w:r>
    </w:p>
    <w:p w:rsidR="00000000" w:rsidDel="00000000" w:rsidP="00000000" w:rsidRDefault="00000000" w:rsidRPr="00000000" w14:paraId="0000002D">
      <w:pPr>
        <w:pStyle w:val="Heading3"/>
        <w:spacing w:before="80" w:lineRule="auto"/>
        <w:contextualSpacing w:val="0"/>
        <w:jc w:val="both"/>
        <w:rPr/>
      </w:pPr>
      <w:bookmarkStart w:colFirst="0" w:colLast="0" w:name="_d5zbm42611ba" w:id="10"/>
      <w:bookmarkEnd w:id="10"/>
      <w:r w:rsidDel="00000000" w:rsidR="00000000" w:rsidRPr="00000000">
        <w:rPr>
          <w:rtl w:val="0"/>
        </w:rPr>
        <w:t xml:space="preserve">Updates to DQC_0015 - Non Negative items </w:t>
      </w:r>
    </w:p>
    <w:p w:rsidR="00000000" w:rsidDel="00000000" w:rsidP="00000000" w:rsidRDefault="00000000" w:rsidRPr="00000000" w14:paraId="0000002E">
      <w:pPr>
        <w:spacing w:after="80" w:before="80" w:lineRule="auto"/>
        <w:contextualSpacing w:val="0"/>
        <w:jc w:val="both"/>
        <w:rPr/>
      </w:pPr>
      <w:r w:rsidDel="00000000" w:rsidR="00000000" w:rsidRPr="00000000">
        <w:rPr>
          <w:rtl w:val="0"/>
        </w:rPr>
        <w:t xml:space="preserve">The element </w:t>
      </w:r>
      <w:r w:rsidDel="00000000" w:rsidR="00000000" w:rsidRPr="00000000">
        <w:rPr>
          <w:color w:val="333333"/>
          <w:sz w:val="21"/>
          <w:szCs w:val="21"/>
          <w:highlight w:val="white"/>
          <w:rtl w:val="0"/>
        </w:rPr>
        <w:t xml:space="preserve">EquityMethodInvestmentSummarizedFinancialInformationMinorityInterest was removed from the non neg list as this can be negative in limited cases.</w:t>
      </w:r>
      <w:r w:rsidDel="00000000" w:rsidR="00000000" w:rsidRPr="00000000">
        <w:rPr>
          <w:rtl w:val="0"/>
        </w:rPr>
      </w:r>
    </w:p>
    <w:p w:rsidR="00000000" w:rsidDel="00000000" w:rsidP="00000000" w:rsidRDefault="00000000" w:rsidRPr="00000000" w14:paraId="0000002F">
      <w:pPr>
        <w:pStyle w:val="Heading3"/>
        <w:contextualSpacing w:val="0"/>
        <w:jc w:val="both"/>
        <w:rPr/>
      </w:pPr>
      <w:bookmarkStart w:colFirst="0" w:colLast="0" w:name="_rjoeqt56r4m5" w:id="11"/>
      <w:bookmarkEnd w:id="11"/>
      <w:r w:rsidDel="00000000" w:rsidR="00000000" w:rsidRPr="00000000">
        <w:rPr>
          <w:rtl w:val="0"/>
        </w:rPr>
        <w:t xml:space="preserve">Dimension Members</w:t>
      </w:r>
    </w:p>
    <w:p w:rsidR="00000000" w:rsidDel="00000000" w:rsidP="00000000" w:rsidRDefault="00000000" w:rsidRPr="00000000" w14:paraId="00000030">
      <w:pPr>
        <w:pStyle w:val="Heading4"/>
        <w:contextualSpacing w:val="0"/>
        <w:jc w:val="both"/>
        <w:rPr/>
      </w:pPr>
      <w:bookmarkStart w:colFirst="0" w:colLast="0" w:name="_p0kviy5dke11" w:id="12"/>
      <w:bookmarkEnd w:id="12"/>
      <w:r w:rsidDel="00000000" w:rsidR="00000000" w:rsidRPr="00000000">
        <w:rPr>
          <w:rtl w:val="0"/>
        </w:rPr>
        <w:t xml:space="preserve">DQC_0001 - Axis with Inappropriate Members</w:t>
      </w:r>
    </w:p>
    <w:p w:rsidR="00000000" w:rsidDel="00000000" w:rsidP="00000000" w:rsidRDefault="00000000" w:rsidRPr="00000000" w14:paraId="00000031">
      <w:pPr>
        <w:contextualSpacing w:val="0"/>
        <w:jc w:val="both"/>
        <w:rPr/>
      </w:pPr>
      <w:r w:rsidDel="00000000" w:rsidR="00000000" w:rsidRPr="00000000">
        <w:rPr>
          <w:rtl w:val="0"/>
        </w:rPr>
        <w:t xml:space="preserve">Updated for the 2017 and 2016 rule set to allow an extension for the element </w:t>
      </w:r>
      <w:r w:rsidDel="00000000" w:rsidR="00000000" w:rsidRPr="00000000">
        <w:rPr>
          <w:color w:val="333333"/>
          <w:sz w:val="21"/>
          <w:szCs w:val="21"/>
          <w:highlight w:val="white"/>
          <w:rtl w:val="0"/>
        </w:rPr>
        <w:t xml:space="preserve">FairValueInputsLevel12And3Member as this was added to the 2018 taxonomy.</w:t>
      </w:r>
      <w:r w:rsidDel="00000000" w:rsidR="00000000" w:rsidRPr="00000000">
        <w:rPr>
          <w:rtl w:val="0"/>
        </w:rPr>
      </w:r>
    </w:p>
    <w:p w:rsidR="00000000" w:rsidDel="00000000" w:rsidP="00000000" w:rsidRDefault="00000000" w:rsidRPr="00000000" w14:paraId="00000032">
      <w:pPr>
        <w:contextualSpacing w:val="0"/>
        <w:jc w:val="both"/>
        <w:rPr/>
      </w:pPr>
      <w:r w:rsidDel="00000000" w:rsidR="00000000" w:rsidRPr="00000000">
        <w:rPr>
          <w:rtl w:val="0"/>
        </w:rPr>
      </w:r>
    </w:p>
    <w:p w:rsidR="00000000" w:rsidDel="00000000" w:rsidP="00000000" w:rsidRDefault="00000000" w:rsidRPr="00000000" w14:paraId="00000033">
      <w:pPr>
        <w:contextualSpacing w:val="0"/>
        <w:jc w:val="both"/>
        <w:rPr/>
      </w:pPr>
      <w:r w:rsidDel="00000000" w:rsidR="00000000" w:rsidRPr="00000000">
        <w:rPr>
          <w:rtl w:val="0"/>
        </w:rPr>
        <w:t xml:space="preserve">Previously the following domain members were on the legal entities axis for the 2017 taxonomy ConsolidatedEntitiesMember and EquityMethodInvesteeMember. These now will generate errors as they are no longer in the US GAAP taxonomy as children of the Legal Entity Axis.</w:t>
      </w:r>
    </w:p>
    <w:p w:rsidR="00000000" w:rsidDel="00000000" w:rsidP="00000000" w:rsidRDefault="00000000" w:rsidRPr="00000000" w14:paraId="00000034">
      <w:pPr>
        <w:contextualSpacing w:val="0"/>
        <w:jc w:val="both"/>
        <w:rPr/>
      </w:pPr>
      <w:r w:rsidDel="00000000" w:rsidR="00000000" w:rsidRPr="00000000">
        <w:rPr>
          <w:rtl w:val="0"/>
        </w:rPr>
      </w:r>
    </w:p>
    <w:p w:rsidR="00000000" w:rsidDel="00000000" w:rsidP="00000000" w:rsidRDefault="00000000" w:rsidRPr="00000000" w14:paraId="00000035">
      <w:pPr>
        <w:contextualSpacing w:val="0"/>
        <w:jc w:val="both"/>
        <w:rPr/>
      </w:pPr>
      <w:r w:rsidDel="00000000" w:rsidR="00000000" w:rsidRPr="00000000">
        <w:rPr>
          <w:rtl w:val="0"/>
        </w:rPr>
        <w:t xml:space="preserve">Added the extension element </w:t>
      </w:r>
      <w:r w:rsidDel="00000000" w:rsidR="00000000" w:rsidRPr="00000000">
        <w:rPr>
          <w:i w:val="1"/>
          <w:rtl w:val="0"/>
        </w:rPr>
        <w:t xml:space="preserve">OperatingSegmentsExcludingIntersegmentEliminationMember</w:t>
      </w:r>
      <w:r w:rsidDel="00000000" w:rsidR="00000000" w:rsidRPr="00000000">
        <w:rPr>
          <w:rtl w:val="0"/>
        </w:rPr>
        <w:t xml:space="preserve"> to the </w:t>
      </w:r>
      <w:r w:rsidDel="00000000" w:rsidR="00000000" w:rsidRPr="00000000">
        <w:rPr>
          <w:i w:val="1"/>
          <w:rtl w:val="0"/>
        </w:rPr>
        <w:t xml:space="preserve">ConsolidationItemsAxis</w:t>
      </w:r>
      <w:r w:rsidDel="00000000" w:rsidR="00000000" w:rsidRPr="00000000">
        <w:rPr>
          <w:rtl w:val="0"/>
        </w:rPr>
        <w:t xml:space="preserve"> on 2016, 2017 &amp; 2018 taxonomies as an allowable extension to capture the situation where you have a total of operating segments prior to intercompany elimination and reconciling differences. The operating segment member includes internal revenue whereas this excludes it. It is not the default because it it excludes reconciling amounts. If you add reconciling revenue you get the default value of revenues for example. </w:t>
      </w:r>
    </w:p>
    <w:p w:rsidR="00000000" w:rsidDel="00000000" w:rsidP="00000000" w:rsidRDefault="00000000" w:rsidRPr="00000000" w14:paraId="00000036">
      <w:pPr>
        <w:pStyle w:val="Heading2"/>
        <w:contextualSpacing w:val="0"/>
        <w:jc w:val="both"/>
        <w:rPr/>
      </w:pPr>
      <w:bookmarkStart w:colFirst="0" w:colLast="0" w:name="_ikl2orw0y7oz" w:id="13"/>
      <w:bookmarkEnd w:id="13"/>
      <w:r w:rsidDel="00000000" w:rsidR="00000000" w:rsidRPr="00000000">
        <w:rPr>
          <w:rtl w:val="0"/>
        </w:rPr>
        <w:t xml:space="preserve">Cash Flow </w:t>
      </w:r>
      <w:r w:rsidDel="00000000" w:rsidR="00000000" w:rsidRPr="00000000">
        <w:rPr>
          <w:rtl w:val="0"/>
        </w:rPr>
        <w:t xml:space="preserve">Rules</w:t>
      </w:r>
      <w:r w:rsidDel="00000000" w:rsidR="00000000" w:rsidRPr="00000000">
        <w:rPr>
          <w:rtl w:val="0"/>
        </w:rPr>
        <w:t xml:space="preserve"> DQC-0048 and DQC_0049</w:t>
      </w:r>
    </w:p>
    <w:p w:rsidR="00000000" w:rsidDel="00000000" w:rsidP="00000000" w:rsidRDefault="00000000" w:rsidRPr="00000000" w14:paraId="00000037">
      <w:pPr>
        <w:contextualSpacing w:val="0"/>
        <w:jc w:val="both"/>
        <w:rPr/>
      </w:pPr>
      <w:r w:rsidDel="00000000" w:rsidR="00000000" w:rsidRPr="00000000">
        <w:rPr>
          <w:rtl w:val="0"/>
        </w:rPr>
        <w:t xml:space="preserve">Updated the cashflow rules to be more restrictive when identifying which tree represents the cash flow. The logic to identify the cash flow statement will be updated to the following:</w:t>
      </w:r>
    </w:p>
    <w:p w:rsidR="00000000" w:rsidDel="00000000" w:rsidP="00000000" w:rsidRDefault="00000000" w:rsidRPr="00000000" w14:paraId="00000038">
      <w:pPr>
        <w:contextualSpacing w:val="0"/>
        <w:jc w:val="both"/>
        <w:rPr/>
      </w:pPr>
      <w:r w:rsidDel="00000000" w:rsidR="00000000" w:rsidRPr="00000000">
        <w:rPr>
          <w:rtl w:val="0"/>
        </w:rPr>
      </w:r>
    </w:p>
    <w:p w:rsidR="00000000" w:rsidDel="00000000" w:rsidP="00000000" w:rsidRDefault="00000000" w:rsidRPr="00000000" w14:paraId="00000039">
      <w:pPr>
        <w:numPr>
          <w:ilvl w:val="0"/>
          <w:numId w:val="5"/>
        </w:numPr>
        <w:spacing w:after="80" w:before="80" w:lineRule="auto"/>
        <w:ind w:left="720" w:hanging="360"/>
        <w:contextualSpacing w:val="1"/>
        <w:jc w:val="both"/>
        <w:rPr/>
      </w:pPr>
      <w:r w:rsidDel="00000000" w:rsidR="00000000" w:rsidRPr="00000000">
        <w:rPr>
          <w:rFonts w:ascii="Roboto" w:cs="Roboto" w:eastAsia="Roboto" w:hAnsi="Roboto"/>
          <w:color w:val="231f20"/>
          <w:rtl w:val="0"/>
        </w:rPr>
        <w:t xml:space="preserve">The link role definition includes the string “- Statement” and</w:t>
      </w:r>
    </w:p>
    <w:p w:rsidR="00000000" w:rsidDel="00000000" w:rsidP="00000000" w:rsidRDefault="00000000" w:rsidRPr="00000000" w14:paraId="0000003A">
      <w:pPr>
        <w:numPr>
          <w:ilvl w:val="0"/>
          <w:numId w:val="5"/>
        </w:numPr>
        <w:spacing w:after="80" w:before="80" w:lineRule="auto"/>
        <w:ind w:left="720" w:hanging="360"/>
        <w:contextualSpacing w:val="1"/>
        <w:jc w:val="both"/>
        <w:rPr/>
      </w:pPr>
      <w:r w:rsidDel="00000000" w:rsidR="00000000" w:rsidRPr="00000000">
        <w:rPr>
          <w:rFonts w:ascii="Roboto" w:cs="Roboto" w:eastAsia="Roboto" w:hAnsi="Roboto"/>
          <w:color w:val="231f20"/>
          <w:rtl w:val="0"/>
        </w:rPr>
        <w:t xml:space="preserve">The presentation link role uri excludes the case insensitive string “parenthetical” and</w:t>
      </w:r>
    </w:p>
    <w:p w:rsidR="00000000" w:rsidDel="00000000" w:rsidP="00000000" w:rsidRDefault="00000000" w:rsidRPr="00000000" w14:paraId="0000003B">
      <w:pPr>
        <w:numPr>
          <w:ilvl w:val="0"/>
          <w:numId w:val="5"/>
        </w:numPr>
        <w:spacing w:after="80" w:before="80" w:lineRule="auto"/>
        <w:ind w:left="720" w:hanging="360"/>
        <w:contextualSpacing w:val="1"/>
        <w:jc w:val="both"/>
        <w:rPr/>
      </w:pPr>
      <w:r w:rsidDel="00000000" w:rsidR="00000000" w:rsidRPr="00000000">
        <w:rPr>
          <w:rFonts w:ascii="Roboto" w:cs="Roboto" w:eastAsia="Roboto" w:hAnsi="Roboto"/>
          <w:color w:val="231f20"/>
          <w:rtl w:val="0"/>
        </w:rPr>
        <w:t xml:space="preserve">The extended link role for the presentation tree contains the abstract element StatementOfCashFlowsAbstract </w:t>
      </w:r>
      <w:r w:rsidDel="00000000" w:rsidR="00000000" w:rsidRPr="00000000">
        <w:rPr>
          <w:rFonts w:ascii="Roboto" w:cs="Roboto" w:eastAsia="Roboto" w:hAnsi="Roboto"/>
          <w:strike w:val="1"/>
          <w:color w:val="ff0000"/>
          <w:rtl w:val="0"/>
        </w:rPr>
        <w:t xml:space="preserve">or if this is absent</w:t>
      </w:r>
      <w:r w:rsidDel="00000000" w:rsidR="00000000" w:rsidRPr="00000000">
        <w:rPr>
          <w:rFonts w:ascii="Roboto" w:cs="Roboto" w:eastAsia="Roboto" w:hAnsi="Roboto"/>
          <w:strike w:val="1"/>
          <w:color w:val="231f20"/>
          <w:rtl w:val="0"/>
        </w:rPr>
        <w:t xml:space="preserve"> </w:t>
      </w:r>
      <w:r w:rsidDel="00000000" w:rsidR="00000000" w:rsidRPr="00000000">
        <w:rPr>
          <w:rFonts w:ascii="Roboto" w:cs="Roboto" w:eastAsia="Roboto" w:hAnsi="Roboto"/>
          <w:color w:val="38761d"/>
          <w:u w:val="single"/>
          <w:rtl w:val="0"/>
        </w:rPr>
        <w:t xml:space="preserve">and</w:t>
      </w:r>
    </w:p>
    <w:p w:rsidR="00000000" w:rsidDel="00000000" w:rsidP="00000000" w:rsidRDefault="00000000" w:rsidRPr="00000000" w14:paraId="0000003C">
      <w:pPr>
        <w:numPr>
          <w:ilvl w:val="0"/>
          <w:numId w:val="5"/>
        </w:numPr>
        <w:spacing w:after="80" w:before="80" w:lineRule="auto"/>
        <w:ind w:left="720" w:hanging="360"/>
        <w:contextualSpacing w:val="1"/>
        <w:jc w:val="both"/>
        <w:rPr/>
      </w:pPr>
      <w:r w:rsidDel="00000000" w:rsidR="00000000" w:rsidRPr="00000000">
        <w:rPr>
          <w:rFonts w:ascii="Roboto" w:cs="Roboto" w:eastAsia="Roboto" w:hAnsi="Roboto"/>
          <w:color w:val="231f20"/>
          <w:rtl w:val="0"/>
        </w:rPr>
        <w:t xml:space="preserve">The presentation extended link role uri contains the case insensitive string “cashflow”. I.e., “</w:t>
      </w:r>
      <w:hyperlink r:id="rId6">
        <w:r w:rsidDel="00000000" w:rsidR="00000000" w:rsidRPr="00000000">
          <w:rPr>
            <w:rFonts w:ascii="Roboto" w:cs="Roboto" w:eastAsia="Roboto" w:hAnsi="Roboto"/>
            <w:color w:val="1155cc"/>
            <w:u w:val="single"/>
            <w:rtl w:val="0"/>
          </w:rPr>
          <w:t xml:space="preserve">http://abc.com/role/StatementOfCashFlows</w:t>
        </w:r>
      </w:hyperlink>
      <w:r w:rsidDel="00000000" w:rsidR="00000000" w:rsidRPr="00000000">
        <w:rPr>
          <w:rFonts w:ascii="Roboto" w:cs="Roboto" w:eastAsia="Roboto" w:hAnsi="Roboto"/>
          <w:color w:val="231f20"/>
          <w:rtl w:val="0"/>
        </w:rPr>
        <w:t xml:space="preserve">”</w:t>
      </w:r>
      <w:r w:rsidDel="00000000" w:rsidR="00000000" w:rsidRPr="00000000">
        <w:rPr>
          <w:rtl w:val="0"/>
        </w:rPr>
      </w:r>
    </w:p>
    <w:p w:rsidR="00000000" w:rsidDel="00000000" w:rsidP="00000000" w:rsidRDefault="00000000" w:rsidRPr="00000000" w14:paraId="0000003D">
      <w:pPr>
        <w:pStyle w:val="Heading2"/>
        <w:contextualSpacing w:val="0"/>
        <w:jc w:val="both"/>
        <w:rPr/>
      </w:pPr>
      <w:bookmarkStart w:colFirst="0" w:colLast="0" w:name="_1pvxix1w9pn8" w:id="14"/>
      <w:bookmarkEnd w:id="14"/>
      <w:r w:rsidDel="00000000" w:rsidR="00000000" w:rsidRPr="00000000">
        <w:rPr>
          <w:rtl w:val="0"/>
        </w:rPr>
        <w:t xml:space="preserve">6. New Rule Default Members Tagged with </w:t>
      </w:r>
      <w:r w:rsidDel="00000000" w:rsidR="00000000" w:rsidRPr="00000000">
        <w:rPr>
          <w:rtl w:val="0"/>
        </w:rPr>
        <w:t xml:space="preserve">Values</w:t>
      </w:r>
      <w:r w:rsidDel="00000000" w:rsidR="00000000" w:rsidRPr="00000000">
        <w:rPr>
          <w:rtl w:val="0"/>
        </w:rPr>
        <w:t xml:space="preserve"> DQC_0066</w:t>
      </w:r>
    </w:p>
    <w:p w:rsidR="00000000" w:rsidDel="00000000" w:rsidP="00000000" w:rsidRDefault="00000000" w:rsidRPr="00000000" w14:paraId="0000003E">
      <w:pPr>
        <w:contextualSpacing w:val="0"/>
        <w:jc w:val="both"/>
        <w:rPr/>
      </w:pPr>
      <w:r w:rsidDel="00000000" w:rsidR="00000000" w:rsidRPr="00000000">
        <w:rPr>
          <w:rtl w:val="0"/>
        </w:rPr>
        <w:t xml:space="preserve">A new rule has been added to identify those instances where a value is tagged with the default member of the axis in the US GAAP taxonomy. This will be rule </w:t>
      </w:r>
      <w:r w:rsidDel="00000000" w:rsidR="00000000" w:rsidRPr="00000000">
        <w:rPr>
          <w:rtl w:val="0"/>
        </w:rPr>
        <w:t xml:space="preserve">DQC_0066</w:t>
      </w:r>
      <w:r w:rsidDel="00000000" w:rsidR="00000000" w:rsidRPr="00000000">
        <w:rPr>
          <w:rtl w:val="0"/>
        </w:rPr>
      </w:r>
    </w:p>
    <w:p w:rsidR="00000000" w:rsidDel="00000000" w:rsidP="00000000" w:rsidRDefault="00000000" w:rsidRPr="00000000" w14:paraId="0000003F">
      <w:pPr>
        <w:pStyle w:val="Heading3"/>
        <w:contextualSpacing w:val="0"/>
        <w:jc w:val="both"/>
        <w:rPr/>
      </w:pPr>
      <w:bookmarkStart w:colFirst="0" w:colLast="0" w:name="_2n7w6kdi91mr" w:id="15"/>
      <w:bookmarkEnd w:id="15"/>
      <w:r w:rsidDel="00000000" w:rsidR="00000000" w:rsidRPr="00000000">
        <w:rPr>
          <w:rtl w:val="0"/>
        </w:rPr>
        <w:t xml:space="preserve">Impact</w:t>
      </w:r>
    </w:p>
    <w:p w:rsidR="00000000" w:rsidDel="00000000" w:rsidP="00000000" w:rsidRDefault="00000000" w:rsidRPr="00000000" w14:paraId="00000040">
      <w:pPr>
        <w:contextualSpacing w:val="0"/>
        <w:jc w:val="both"/>
        <w:rPr/>
      </w:pPr>
      <w:r w:rsidDel="00000000" w:rsidR="00000000" w:rsidRPr="00000000">
        <w:rPr>
          <w:rtl w:val="0"/>
        </w:rPr>
        <w:t xml:space="preserve">This impacts over 5,000 facts reported in the last year. This includes the portion at fair value that is defined as the default but is not the domain. Excluding this item there are 2,793 facts impacted for 173 companies.</w:t>
      </w:r>
    </w:p>
    <w:p w:rsidR="00000000" w:rsidDel="00000000" w:rsidP="00000000" w:rsidRDefault="00000000" w:rsidRPr="00000000" w14:paraId="00000041">
      <w:pPr>
        <w:contextualSpacing w:val="0"/>
        <w:jc w:val="both"/>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231f2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bc.com/role/StatementOfCashFlo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