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08965F41" w:rsidR="00354581" w:rsidRDefault="008D21B3">
      <w:pPr>
        <w:spacing w:line="288" w:lineRule="auto"/>
        <w:jc w:val="center"/>
        <w:rPr>
          <w:rFonts w:ascii="Arial" w:eastAsia="Arial" w:hAnsi="Arial" w:cs="Arial"/>
          <w:b/>
          <w:sz w:val="24"/>
        </w:rPr>
      </w:pPr>
      <w:r>
        <w:rPr>
          <w:rFonts w:ascii="Arial" w:eastAsia="Arial" w:hAnsi="Arial" w:cs="Arial"/>
          <w:b/>
          <w:sz w:val="24"/>
        </w:rPr>
        <w:t>January 19, 2022</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289BA5A4"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F37FDA">
        <w:rPr>
          <w:rFonts w:ascii="Arial" w:eastAsia="Arial" w:hAnsi="Arial" w:cs="Arial"/>
          <w:sz w:val="22"/>
        </w:rPr>
        <w:t>Shelly Wavrin</w:t>
      </w:r>
      <w:r w:rsidRPr="00026C18">
        <w:rPr>
          <w:rFonts w:ascii="Arial" w:eastAsia="Arial" w:hAnsi="Arial" w:cs="Arial"/>
          <w:sz w:val="22"/>
        </w:rPr>
        <w:t>,</w:t>
      </w:r>
      <w:r w:rsidR="006132FE">
        <w:rPr>
          <w:rFonts w:ascii="Arial" w:eastAsia="Arial" w:hAnsi="Arial" w:cs="Arial"/>
          <w:sz w:val="22"/>
        </w:rPr>
        <w:t xml:space="preserve"> Jennifer Liu</w:t>
      </w:r>
      <w:r w:rsidR="00234097">
        <w:rPr>
          <w:rFonts w:ascii="Arial" w:eastAsia="Arial" w:hAnsi="Arial" w:cs="Arial"/>
          <w:sz w:val="22"/>
        </w:rPr>
        <w:t>,</w:t>
      </w:r>
      <w:r w:rsidR="00234097" w:rsidRPr="0030404C">
        <w:rPr>
          <w:rFonts w:ascii="Arial" w:eastAsia="Arial" w:hAnsi="Arial" w:cs="Arial"/>
          <w:sz w:val="22"/>
        </w:rPr>
        <w:t xml:space="preserve"> </w:t>
      </w:r>
      <w:r w:rsidR="00E61700">
        <w:rPr>
          <w:rFonts w:ascii="Arial" w:eastAsia="Arial" w:hAnsi="Arial" w:cs="Arial"/>
          <w:sz w:val="22"/>
        </w:rPr>
        <w:t>Mohini Singh, Charles Kessler</w:t>
      </w:r>
      <w:r w:rsidR="00E61700">
        <w:rPr>
          <w:rFonts w:ascii="Arial" w:eastAsia="Arial" w:hAnsi="Arial" w:cs="Arial"/>
          <w:sz w:val="22"/>
        </w:rPr>
        <w:t xml:space="preserve"> </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140089E3" w:rsidR="00A5025E" w:rsidRDefault="00BF6D3C">
      <w:pPr>
        <w:spacing w:line="332" w:lineRule="auto"/>
        <w:rPr>
          <w:rFonts w:ascii="Arial" w:eastAsia="Arial" w:hAnsi="Arial" w:cs="Arial"/>
          <w:sz w:val="22"/>
        </w:rPr>
      </w:pPr>
      <w:r>
        <w:rPr>
          <w:rFonts w:ascii="Arial" w:eastAsia="Arial" w:hAnsi="Arial" w:cs="Arial"/>
          <w:sz w:val="22"/>
        </w:rPr>
        <w:t>Adrian Cloutier</w:t>
      </w:r>
      <w:r w:rsidR="00357675">
        <w:rPr>
          <w:rFonts w:ascii="Arial" w:eastAsia="Arial" w:hAnsi="Arial" w:cs="Arial"/>
          <w:sz w:val="22"/>
        </w:rPr>
        <w:t>,</w:t>
      </w:r>
      <w:r w:rsidR="00357675" w:rsidRPr="00357675">
        <w:rPr>
          <w:rFonts w:ascii="Arial" w:eastAsia="Arial" w:hAnsi="Arial" w:cs="Arial"/>
          <w:sz w:val="22"/>
        </w:rPr>
        <w:t xml:space="preserve"> </w:t>
      </w:r>
      <w:r w:rsidR="00357675">
        <w:rPr>
          <w:rFonts w:ascii="Arial" w:eastAsia="Arial" w:hAnsi="Arial" w:cs="Arial"/>
          <w:sz w:val="22"/>
        </w:rPr>
        <w:t>Heather Krupa</w:t>
      </w:r>
      <w:r w:rsidR="00C61189">
        <w:rPr>
          <w:rFonts w:ascii="Arial" w:eastAsia="Arial" w:hAnsi="Arial" w:cs="Arial"/>
          <w:sz w:val="22"/>
        </w:rPr>
        <w:t>,</w:t>
      </w:r>
      <w:r w:rsidR="00163718">
        <w:rPr>
          <w:rFonts w:ascii="Arial" w:eastAsia="Arial" w:hAnsi="Arial" w:cs="Arial"/>
          <w:sz w:val="22"/>
        </w:rPr>
        <w:t xml:space="preserve"> </w:t>
      </w:r>
      <w:r w:rsidR="00E61700">
        <w:rPr>
          <w:rFonts w:ascii="Arial" w:eastAsia="Arial" w:hAnsi="Arial" w:cs="Arial"/>
          <w:sz w:val="22"/>
        </w:rPr>
        <w:t>Amit Varshney,</w:t>
      </w:r>
      <w:r w:rsidR="00E61700" w:rsidRPr="00B57360">
        <w:rPr>
          <w:rFonts w:ascii="Arial" w:eastAsia="Arial" w:hAnsi="Arial" w:cs="Arial"/>
          <w:sz w:val="22"/>
        </w:rPr>
        <w:t xml:space="preserve"> </w:t>
      </w:r>
      <w:r w:rsidR="00E61700">
        <w:rPr>
          <w:rFonts w:ascii="Arial" w:eastAsia="Arial" w:hAnsi="Arial" w:cs="Arial"/>
          <w:sz w:val="22"/>
        </w:rPr>
        <w:t>Pranav Ghai</w:t>
      </w:r>
      <w:r w:rsidR="00E61700">
        <w:rPr>
          <w:rFonts w:ascii="Arial" w:eastAsia="Arial" w:hAnsi="Arial" w:cs="Arial"/>
          <w:sz w:val="22"/>
        </w:rPr>
        <w:t>,</w:t>
      </w:r>
      <w:r w:rsidR="00E61700" w:rsidRPr="00E61700">
        <w:rPr>
          <w:rFonts w:ascii="Arial" w:eastAsia="Arial" w:hAnsi="Arial" w:cs="Arial"/>
          <w:sz w:val="22"/>
        </w:rPr>
        <w:t xml:space="preserve"> </w:t>
      </w:r>
      <w:r w:rsidR="00E61700">
        <w:rPr>
          <w:rFonts w:ascii="Arial" w:eastAsia="Arial" w:hAnsi="Arial" w:cs="Arial"/>
          <w:sz w:val="22"/>
        </w:rPr>
        <w:t>Glad Sully</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11EB5670"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816C8F">
        <w:rPr>
          <w:rFonts w:ascii="Arial" w:eastAsia="Arial" w:hAnsi="Arial" w:cs="Arial"/>
          <w:sz w:val="22"/>
        </w:rPr>
        <w:t>, Michell</w:t>
      </w:r>
      <w:r w:rsidR="00157ECE">
        <w:rPr>
          <w:rFonts w:ascii="Arial" w:eastAsia="Arial" w:hAnsi="Arial" w:cs="Arial"/>
          <w:sz w:val="22"/>
        </w:rPr>
        <w:t>e</w:t>
      </w:r>
      <w:r w:rsidR="00816C8F">
        <w:rPr>
          <w:rFonts w:ascii="Arial" w:eastAsia="Arial" w:hAnsi="Arial" w:cs="Arial"/>
          <w:sz w:val="22"/>
        </w:rPr>
        <w:t xml:space="preserve"> Savage</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77681889" w:rsidR="00354581" w:rsidRDefault="00770FDE">
      <w:pPr>
        <w:spacing w:line="332" w:lineRule="auto"/>
        <w:rPr>
          <w:rFonts w:ascii="Arial" w:eastAsia="Arial" w:hAnsi="Arial" w:cs="Arial"/>
          <w:sz w:val="22"/>
        </w:rPr>
      </w:pPr>
      <w:r>
        <w:rPr>
          <w:rFonts w:ascii="Arial" w:eastAsia="Arial" w:hAnsi="Arial" w:cs="Arial"/>
          <w:sz w:val="22"/>
        </w:rPr>
        <w:t>Louis Matherne</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6C97CEEA" w:rsidR="0030404C" w:rsidRPr="0035624A" w:rsidRDefault="00E61700" w:rsidP="009256ED">
      <w:pPr>
        <w:pStyle w:val="ListParagraph"/>
        <w:numPr>
          <w:ilvl w:val="0"/>
          <w:numId w:val="2"/>
        </w:numPr>
        <w:spacing w:line="312" w:lineRule="auto"/>
        <w:rPr>
          <w:b/>
        </w:rPr>
      </w:pPr>
      <w:r>
        <w:t xml:space="preserve">Shelly </w:t>
      </w:r>
      <w:r w:rsidR="001F7ADF">
        <w:t xml:space="preserve">welcomed attendees and </w:t>
      </w:r>
      <w:r w:rsidR="00674D5F">
        <w:t>introduce</w:t>
      </w:r>
      <w:r>
        <w:t>d</w:t>
      </w:r>
      <w:r w:rsidR="001F7ADF">
        <w:t xml:space="preserve"> </w:t>
      </w:r>
      <w:r w:rsidR="00A15D6E">
        <w:t>the agenda.</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4D5935A9"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E61700">
        <w:rPr>
          <w:rFonts w:eastAsia="Times New Roman"/>
        </w:rPr>
        <w:t>September</w:t>
      </w:r>
      <w:r w:rsidR="00C61189">
        <w:rPr>
          <w:rFonts w:eastAsia="Times New Roman"/>
        </w:rPr>
        <w:t xml:space="preserve"> 2</w:t>
      </w:r>
      <w:r w:rsidR="008F1DF5">
        <w:rPr>
          <w:rFonts w:eastAsia="Times New Roman"/>
        </w:rPr>
        <w:t>9</w:t>
      </w:r>
      <w:r w:rsidR="004D0930">
        <w:rPr>
          <w:rFonts w:eastAsia="Times New Roman"/>
        </w:rPr>
        <w:t>, 20</w:t>
      </w:r>
      <w:r w:rsidR="00FE35FE">
        <w:rPr>
          <w:rFonts w:eastAsia="Times New Roman"/>
        </w:rPr>
        <w:t>21</w:t>
      </w:r>
      <w:r w:rsidRPr="00B61CA4">
        <w:rPr>
          <w:rFonts w:eastAsia="Times New Roman"/>
        </w:rPr>
        <w:t xml:space="preserve"> DQC meeting</w:t>
      </w:r>
      <w:r>
        <w:rPr>
          <w:rFonts w:eastAsia="Times New Roman"/>
        </w:rPr>
        <w:t xml:space="preserve">, </w:t>
      </w:r>
      <w:r w:rsidRPr="00B61CA4">
        <w:rPr>
          <w:rFonts w:eastAsia="Times New Roman"/>
        </w:rPr>
        <w:t>by</w:t>
      </w:r>
      <w:r w:rsidR="007E4393">
        <w:rPr>
          <w:rFonts w:eastAsia="Times New Roman"/>
        </w:rPr>
        <w:t xml:space="preserve"> </w:t>
      </w:r>
      <w:r w:rsidR="00F16DBB">
        <w:rPr>
          <w:rFonts w:eastAsia="Times New Roman"/>
        </w:rPr>
        <w:t>Mohini Singh</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F16DBB">
        <w:t>Jennifer Liu</w:t>
      </w:r>
      <w:r w:rsidR="00D91EDB" w:rsidRPr="00D91EDB">
        <w:rPr>
          <w:rFonts w:eastAsia="Times New Roman"/>
        </w:rPr>
        <w:t xml:space="preserve"> </w:t>
      </w:r>
      <w:r w:rsidR="00B67FBA">
        <w:rPr>
          <w:rFonts w:eastAsia="Times New Roman"/>
        </w:rPr>
        <w:t xml:space="preserve"> </w:t>
      </w:r>
    </w:p>
    <w:p w14:paraId="358805D7" w14:textId="291673FC"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F16DBB">
        <w:rPr>
          <w:rFonts w:eastAsia="Times New Roman"/>
          <w:bCs/>
          <w:color w:val="auto"/>
          <w:szCs w:val="22"/>
        </w:rPr>
        <w:t>5</w:t>
      </w:r>
      <w:r w:rsidRPr="009E29DC">
        <w:rPr>
          <w:rFonts w:eastAsia="Times New Roman"/>
          <w:bCs/>
          <w:color w:val="auto"/>
          <w:szCs w:val="22"/>
        </w:rPr>
        <w:t>, 0 Against)</w:t>
      </w:r>
    </w:p>
    <w:p w14:paraId="3E54DDDA" w14:textId="46290980"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E61700">
        <w:rPr>
          <w:rFonts w:eastAsia="Times New Roman"/>
        </w:rPr>
        <w:t>September</w:t>
      </w:r>
      <w:r w:rsidR="00C61189">
        <w:rPr>
          <w:rFonts w:eastAsia="Times New Roman"/>
        </w:rPr>
        <w:t xml:space="preserve"> 2</w:t>
      </w:r>
      <w:r w:rsidR="008F1DF5">
        <w:rPr>
          <w:rFonts w:eastAsia="Times New Roman"/>
        </w:rPr>
        <w:t>9</w:t>
      </w:r>
      <w:r w:rsidR="00FE35FE">
        <w:rPr>
          <w:rFonts w:eastAsia="Times New Roman"/>
        </w:rPr>
        <w:t>, 2021</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2528ECD6" w14:textId="5253770D" w:rsidR="009B296F" w:rsidRPr="009B296F" w:rsidRDefault="009B296F" w:rsidP="009B296F">
      <w:pPr>
        <w:spacing w:line="332" w:lineRule="auto"/>
        <w:rPr>
          <w:rFonts w:ascii="Arial" w:eastAsia="Arial" w:hAnsi="Arial" w:cs="Arial"/>
          <w:b/>
          <w:sz w:val="22"/>
        </w:rPr>
      </w:pPr>
      <w:r w:rsidRPr="009B296F">
        <w:rPr>
          <w:rFonts w:ascii="Arial" w:eastAsia="Arial" w:hAnsi="Arial" w:cs="Arial"/>
          <w:b/>
          <w:sz w:val="22"/>
        </w:rPr>
        <w:t>Review and Approval of Version 1</w:t>
      </w:r>
      <w:r w:rsidR="00E61700">
        <w:rPr>
          <w:rFonts w:ascii="Arial" w:eastAsia="Arial" w:hAnsi="Arial" w:cs="Arial"/>
          <w:b/>
          <w:sz w:val="22"/>
        </w:rPr>
        <w:t>7</w:t>
      </w:r>
      <w:r w:rsidRPr="009B296F">
        <w:rPr>
          <w:rFonts w:ascii="Arial" w:eastAsia="Arial" w:hAnsi="Arial" w:cs="Arial"/>
          <w:b/>
          <w:sz w:val="22"/>
        </w:rPr>
        <w:t xml:space="preserve"> DQC Rules</w:t>
      </w:r>
      <w:r w:rsidR="00AF06E1">
        <w:rPr>
          <w:rFonts w:ascii="Arial" w:eastAsia="Arial" w:hAnsi="Arial" w:cs="Arial"/>
          <w:b/>
          <w:sz w:val="22"/>
        </w:rPr>
        <w:t xml:space="preserve"> </w:t>
      </w:r>
    </w:p>
    <w:p w14:paraId="187B016E" w14:textId="77777777" w:rsidR="009B296F" w:rsidRPr="009B296F" w:rsidRDefault="009B296F" w:rsidP="009B296F">
      <w:pPr>
        <w:pStyle w:val="ListParagraph"/>
        <w:rPr>
          <w:b/>
          <w:bCs/>
        </w:rPr>
      </w:pPr>
    </w:p>
    <w:p w14:paraId="359E564C" w14:textId="70758034" w:rsidR="00332634" w:rsidRPr="00E61700" w:rsidRDefault="004E51FF" w:rsidP="000F10FC">
      <w:pPr>
        <w:pStyle w:val="ListParagraph"/>
        <w:numPr>
          <w:ilvl w:val="0"/>
          <w:numId w:val="3"/>
        </w:numPr>
        <w:spacing w:line="332" w:lineRule="auto"/>
        <w:rPr>
          <w:b/>
        </w:rPr>
      </w:pPr>
      <w:r>
        <w:rPr>
          <w:bCs/>
        </w:rPr>
        <w:t>Campbell</w:t>
      </w:r>
      <w:r w:rsidR="00C64465">
        <w:rPr>
          <w:bCs/>
        </w:rPr>
        <w:t xml:space="preserve"> </w:t>
      </w:r>
      <w:r w:rsidR="004C45CF">
        <w:rPr>
          <w:bCs/>
        </w:rPr>
        <w:t>explained</w:t>
      </w:r>
      <w:r w:rsidR="00C64465">
        <w:rPr>
          <w:bCs/>
        </w:rPr>
        <w:t xml:space="preserve"> that the version 1</w:t>
      </w:r>
      <w:r w:rsidR="00F16DBB">
        <w:rPr>
          <w:bCs/>
        </w:rPr>
        <w:t>7</w:t>
      </w:r>
      <w:r w:rsidR="00C64465">
        <w:rPr>
          <w:bCs/>
        </w:rPr>
        <w:t xml:space="preserve"> rules were out for public review</w:t>
      </w:r>
      <w:r w:rsidR="00332634">
        <w:rPr>
          <w:bCs/>
        </w:rPr>
        <w:t xml:space="preserve"> </w:t>
      </w:r>
      <w:r w:rsidR="00F16DBB">
        <w:rPr>
          <w:bCs/>
        </w:rPr>
        <w:t>November 15 through December 31, 2021</w:t>
      </w:r>
      <w:r w:rsidR="004C45CF">
        <w:rPr>
          <w:bCs/>
        </w:rPr>
        <w:t>.  There have been a few changes from public review.</w:t>
      </w:r>
    </w:p>
    <w:p w14:paraId="2A80177C" w14:textId="6F899532" w:rsidR="00E61700" w:rsidRDefault="00E61700" w:rsidP="00F16DBB">
      <w:pPr>
        <w:pStyle w:val="ListParagraph"/>
        <w:numPr>
          <w:ilvl w:val="1"/>
          <w:numId w:val="3"/>
        </w:numPr>
        <w:spacing w:line="332" w:lineRule="auto"/>
        <w:rPr>
          <w:bCs/>
        </w:rPr>
      </w:pPr>
      <w:r w:rsidRPr="00E61700">
        <w:rPr>
          <w:bCs/>
        </w:rPr>
        <w:t>DQC_0125 - Lease Cost Cannot be Negative</w:t>
      </w:r>
      <w:r w:rsidR="00F125A6">
        <w:rPr>
          <w:bCs/>
        </w:rPr>
        <w:t xml:space="preserve"> (no errors)</w:t>
      </w:r>
      <w:r w:rsidRPr="00E61700">
        <w:rPr>
          <w:bCs/>
        </w:rPr>
        <w:t xml:space="preserve"> - Lease costs can be negative in those cases where the lease is sub leased to another party and the sublease income exceeds the lease cost. This rule identifies those cases where the lease cost is negative and no Sublease Income​​ is reported. </w:t>
      </w:r>
    </w:p>
    <w:p w14:paraId="39D8D29F" w14:textId="77777777" w:rsidR="00F16DBB" w:rsidRPr="00E61700" w:rsidRDefault="00F16DBB" w:rsidP="00F16DBB">
      <w:pPr>
        <w:pStyle w:val="ListParagraph"/>
        <w:spacing w:line="332" w:lineRule="auto"/>
        <w:ind w:left="360"/>
        <w:rPr>
          <w:bCs/>
        </w:rPr>
      </w:pPr>
    </w:p>
    <w:p w14:paraId="0F11B67C" w14:textId="6445A100" w:rsidR="00E61700" w:rsidRDefault="00E61700" w:rsidP="00F16DBB">
      <w:pPr>
        <w:pStyle w:val="ListParagraph"/>
        <w:numPr>
          <w:ilvl w:val="1"/>
          <w:numId w:val="3"/>
        </w:numPr>
        <w:spacing w:line="332" w:lineRule="auto"/>
        <w:rPr>
          <w:bCs/>
        </w:rPr>
      </w:pPr>
      <w:r w:rsidRPr="00E61700">
        <w:rPr>
          <w:bCs/>
        </w:rPr>
        <w:t xml:space="preserve">DQC_0126 - FS Calculation Check with Non Dimensional Data </w:t>
      </w:r>
      <w:r w:rsidR="00F125A6">
        <w:rPr>
          <w:bCs/>
        </w:rPr>
        <w:t xml:space="preserve">(1,232 US GAAP errors, 219 IFRS errors) </w:t>
      </w:r>
      <w:r w:rsidRPr="00E61700">
        <w:rPr>
          <w:bCs/>
        </w:rPr>
        <w:t xml:space="preserve">- This rule identifies those cases where the calculations </w:t>
      </w:r>
      <w:r w:rsidRPr="00E61700">
        <w:rPr>
          <w:bCs/>
        </w:rPr>
        <w:lastRenderedPageBreak/>
        <w:t>defined for the face financial statements (Statement of Changes in Shareholders Equity is not covered) in the company provided calculation linkbase do not match the actual values reported.  The rule works through every element in the statement and checks if it has any calculation children. If it does it takes the values of the children in the default and checks that they add to the parent value</w:t>
      </w:r>
    </w:p>
    <w:p w14:paraId="1E7C1A00" w14:textId="77777777" w:rsidR="00F16DBB" w:rsidRPr="00E61700" w:rsidRDefault="00F16DBB" w:rsidP="00F16DBB">
      <w:pPr>
        <w:pStyle w:val="ListParagraph"/>
        <w:spacing w:line="332" w:lineRule="auto"/>
        <w:ind w:left="1080"/>
        <w:rPr>
          <w:bCs/>
        </w:rPr>
      </w:pPr>
    </w:p>
    <w:p w14:paraId="12903455" w14:textId="0C2D9E9F" w:rsidR="00F16DBB" w:rsidRPr="00741D3D" w:rsidRDefault="00E61700" w:rsidP="00AF4C90">
      <w:pPr>
        <w:pStyle w:val="ListParagraph"/>
        <w:numPr>
          <w:ilvl w:val="1"/>
          <w:numId w:val="3"/>
        </w:numPr>
        <w:spacing w:line="332" w:lineRule="auto"/>
        <w:rPr>
          <w:bCs/>
        </w:rPr>
      </w:pPr>
      <w:r w:rsidRPr="00741D3D">
        <w:rPr>
          <w:bCs/>
        </w:rPr>
        <w:t xml:space="preserve">DQC_0127 - Incorrect Dimensional Item Used on Financial Statements </w:t>
      </w:r>
      <w:r w:rsidR="0014700A">
        <w:rPr>
          <w:bCs/>
        </w:rPr>
        <w:t>–</w:t>
      </w:r>
      <w:r w:rsidRPr="00741D3D">
        <w:rPr>
          <w:bCs/>
        </w:rPr>
        <w:t xml:space="preserve"> </w:t>
      </w:r>
      <w:r w:rsidR="0014700A">
        <w:rPr>
          <w:bCs/>
        </w:rPr>
        <w:t>(1,093 US GAAP</w:t>
      </w:r>
      <w:r w:rsidR="00F125A6">
        <w:rPr>
          <w:bCs/>
        </w:rPr>
        <w:t xml:space="preserve"> errors</w:t>
      </w:r>
      <w:r w:rsidR="0014700A">
        <w:rPr>
          <w:bCs/>
        </w:rPr>
        <w:t>, 52 IFRS</w:t>
      </w:r>
      <w:r w:rsidR="00F125A6">
        <w:rPr>
          <w:bCs/>
        </w:rPr>
        <w:t xml:space="preserve"> errors</w:t>
      </w:r>
      <w:r w:rsidR="0014700A">
        <w:rPr>
          <w:bCs/>
        </w:rPr>
        <w:t xml:space="preserve">) </w:t>
      </w:r>
      <w:r w:rsidRPr="00741D3D">
        <w:rPr>
          <w:bCs/>
        </w:rPr>
        <w:t xml:space="preserve">This rule identifies those cases where the dimensional structures defined for the face financial statements (Statement of Changes in Shareholders Equity is not covered) in the company provided definition linkbase do not match the actual values reported. </w:t>
      </w:r>
    </w:p>
    <w:p w14:paraId="4AF8856C" w14:textId="170CD216" w:rsidR="00E61700" w:rsidRPr="00E61700" w:rsidRDefault="00E61700" w:rsidP="00F16DBB">
      <w:pPr>
        <w:pStyle w:val="ListParagraph"/>
        <w:spacing w:line="332" w:lineRule="auto"/>
        <w:ind w:left="1080"/>
        <w:rPr>
          <w:bCs/>
        </w:rPr>
      </w:pPr>
      <w:r w:rsidRPr="00E61700">
        <w:rPr>
          <w:bCs/>
        </w:rPr>
        <w:t xml:space="preserve">The rule was updated </w:t>
      </w:r>
      <w:r w:rsidR="00741D3D">
        <w:rPr>
          <w:bCs/>
        </w:rPr>
        <w:t xml:space="preserve">from the public review </w:t>
      </w:r>
      <w:r w:rsidRPr="00E61700">
        <w:rPr>
          <w:bCs/>
        </w:rPr>
        <w:t>to exclude errors where fact values with a value of zero were being reported.</w:t>
      </w:r>
    </w:p>
    <w:p w14:paraId="3B236085" w14:textId="77777777" w:rsidR="00E61700" w:rsidRPr="00E61700" w:rsidRDefault="00E61700" w:rsidP="00E61700">
      <w:pPr>
        <w:pStyle w:val="ListParagraph"/>
        <w:spacing w:line="332" w:lineRule="auto"/>
        <w:rPr>
          <w:bCs/>
        </w:rPr>
      </w:pPr>
    </w:p>
    <w:p w14:paraId="573A9173" w14:textId="35EA006E" w:rsidR="00E61700" w:rsidRPr="00E61700" w:rsidRDefault="00E61700" w:rsidP="00F16DBB">
      <w:pPr>
        <w:pStyle w:val="ListParagraph"/>
        <w:numPr>
          <w:ilvl w:val="1"/>
          <w:numId w:val="3"/>
        </w:numPr>
        <w:spacing w:line="332" w:lineRule="auto"/>
        <w:rPr>
          <w:bCs/>
        </w:rPr>
      </w:pPr>
      <w:r w:rsidRPr="00E61700">
        <w:rPr>
          <w:bCs/>
        </w:rPr>
        <w:t xml:space="preserve">DQC_0128 </w:t>
      </w:r>
      <w:r w:rsidR="0014700A">
        <w:rPr>
          <w:bCs/>
        </w:rPr>
        <w:t>–</w:t>
      </w:r>
      <w:r w:rsidRPr="00E61700">
        <w:rPr>
          <w:bCs/>
        </w:rPr>
        <w:t>Dimensional Values Larger than the Default</w:t>
      </w:r>
      <w:r w:rsidR="00F125A6">
        <w:rPr>
          <w:bCs/>
        </w:rPr>
        <w:t xml:space="preserve"> </w:t>
      </w:r>
      <w:r w:rsidR="00F125A6">
        <w:rPr>
          <w:bCs/>
        </w:rPr>
        <w:t>(1,260</w:t>
      </w:r>
      <w:r w:rsidR="00F125A6" w:rsidRPr="0014700A">
        <w:rPr>
          <w:bCs/>
        </w:rPr>
        <w:t xml:space="preserve"> </w:t>
      </w:r>
      <w:r w:rsidR="00F125A6">
        <w:rPr>
          <w:bCs/>
        </w:rPr>
        <w:t>errors)</w:t>
      </w:r>
      <w:r w:rsidRPr="00E61700">
        <w:rPr>
          <w:bCs/>
        </w:rPr>
        <w:t xml:space="preserve"> - The rule identifies a list of dimensions that should not have negative values and determines if any of the dimensionalized monetary values are greater than the default value.  This uses the same list of elements used by rule </w:t>
      </w:r>
      <w:r w:rsidR="0014700A">
        <w:rPr>
          <w:bCs/>
        </w:rPr>
        <w:t>DQC_00</w:t>
      </w:r>
      <w:r w:rsidRPr="00E61700">
        <w:rPr>
          <w:bCs/>
        </w:rPr>
        <w:t>15 for validating negative items.  The rule only checks dimensionalized values that appear on the following axes:</w:t>
      </w:r>
    </w:p>
    <w:p w14:paraId="7CEADF63" w14:textId="77777777" w:rsidR="00E61700" w:rsidRPr="00E61700" w:rsidRDefault="00E61700" w:rsidP="00F16DBB">
      <w:pPr>
        <w:pStyle w:val="ListParagraph"/>
        <w:numPr>
          <w:ilvl w:val="2"/>
          <w:numId w:val="3"/>
        </w:numPr>
        <w:spacing w:line="332" w:lineRule="auto"/>
        <w:rPr>
          <w:bCs/>
        </w:rPr>
      </w:pPr>
      <w:r w:rsidRPr="00E61700">
        <w:rPr>
          <w:bCs/>
        </w:rPr>
        <w:t>US GAAP</w:t>
      </w:r>
    </w:p>
    <w:p w14:paraId="5988C768" w14:textId="77777777" w:rsidR="00E61700" w:rsidRPr="00F16DBB" w:rsidRDefault="00E61700" w:rsidP="00F16DBB">
      <w:pPr>
        <w:pStyle w:val="ListParagraph"/>
        <w:numPr>
          <w:ilvl w:val="3"/>
          <w:numId w:val="3"/>
        </w:numPr>
        <w:spacing w:line="332" w:lineRule="auto"/>
        <w:rPr>
          <w:bCs/>
        </w:rPr>
      </w:pPr>
      <w:r w:rsidRPr="00F16DBB">
        <w:rPr>
          <w:bCs/>
        </w:rPr>
        <w:t>PropertyPlantAndEquipmentByTypeAxis, </w:t>
      </w:r>
    </w:p>
    <w:p w14:paraId="6F56D717" w14:textId="77777777" w:rsidR="00E61700" w:rsidRPr="00F16DBB" w:rsidRDefault="00E61700" w:rsidP="00F16DBB">
      <w:pPr>
        <w:pStyle w:val="ListParagraph"/>
        <w:numPr>
          <w:ilvl w:val="3"/>
          <w:numId w:val="3"/>
        </w:numPr>
        <w:spacing w:line="332" w:lineRule="auto"/>
        <w:rPr>
          <w:bCs/>
        </w:rPr>
      </w:pPr>
      <w:r w:rsidRPr="00F16DBB">
        <w:rPr>
          <w:bCs/>
        </w:rPr>
        <w:t>StatementClassOfStockAxis, </w:t>
      </w:r>
    </w:p>
    <w:p w14:paraId="71868649" w14:textId="77777777" w:rsidR="00E61700" w:rsidRPr="00F16DBB" w:rsidRDefault="00E61700" w:rsidP="00F16DBB">
      <w:pPr>
        <w:pStyle w:val="ListParagraph"/>
        <w:numPr>
          <w:ilvl w:val="3"/>
          <w:numId w:val="3"/>
        </w:numPr>
        <w:spacing w:line="332" w:lineRule="auto"/>
        <w:rPr>
          <w:bCs/>
        </w:rPr>
      </w:pPr>
      <w:r w:rsidRPr="00F16DBB">
        <w:rPr>
          <w:bCs/>
        </w:rPr>
        <w:t>LongtermDebtTypeAxis, </w:t>
      </w:r>
    </w:p>
    <w:p w14:paraId="50DAA551" w14:textId="77777777" w:rsidR="00E61700" w:rsidRPr="00F16DBB" w:rsidRDefault="00E61700" w:rsidP="00F16DBB">
      <w:pPr>
        <w:pStyle w:val="ListParagraph"/>
        <w:numPr>
          <w:ilvl w:val="3"/>
          <w:numId w:val="3"/>
        </w:numPr>
        <w:spacing w:line="332" w:lineRule="auto"/>
        <w:rPr>
          <w:bCs/>
        </w:rPr>
      </w:pPr>
      <w:r w:rsidRPr="00F16DBB">
        <w:rPr>
          <w:bCs/>
        </w:rPr>
        <w:t>srt:ProductOrServiceAxis, </w:t>
      </w:r>
    </w:p>
    <w:p w14:paraId="6F04E592" w14:textId="77777777" w:rsidR="00E61700" w:rsidRPr="00F16DBB" w:rsidRDefault="00E61700" w:rsidP="00F16DBB">
      <w:pPr>
        <w:pStyle w:val="ListParagraph"/>
        <w:numPr>
          <w:ilvl w:val="3"/>
          <w:numId w:val="3"/>
        </w:numPr>
        <w:spacing w:line="332" w:lineRule="auto"/>
        <w:rPr>
          <w:bCs/>
        </w:rPr>
      </w:pPr>
      <w:r w:rsidRPr="00F16DBB">
        <w:rPr>
          <w:bCs/>
        </w:rPr>
        <w:t>FiniteLivedIntangibleAssetsByMajorClassAxis, </w:t>
      </w:r>
    </w:p>
    <w:p w14:paraId="29E80761" w14:textId="77777777" w:rsidR="00E61700" w:rsidRPr="00F16DBB" w:rsidRDefault="00E61700" w:rsidP="00F16DBB">
      <w:pPr>
        <w:pStyle w:val="ListParagraph"/>
        <w:numPr>
          <w:ilvl w:val="3"/>
          <w:numId w:val="3"/>
        </w:numPr>
        <w:spacing w:line="332" w:lineRule="auto"/>
        <w:rPr>
          <w:bCs/>
        </w:rPr>
      </w:pPr>
      <w:r w:rsidRPr="00F16DBB">
        <w:rPr>
          <w:bCs/>
        </w:rPr>
        <w:t>DebtInstrumentAxis</w:t>
      </w:r>
    </w:p>
    <w:p w14:paraId="456FD919" w14:textId="77777777" w:rsidR="00E61700" w:rsidRPr="00F16DBB" w:rsidRDefault="00E61700" w:rsidP="00F16DBB">
      <w:pPr>
        <w:pStyle w:val="ListParagraph"/>
        <w:numPr>
          <w:ilvl w:val="2"/>
          <w:numId w:val="3"/>
        </w:numPr>
        <w:spacing w:line="332" w:lineRule="auto"/>
        <w:rPr>
          <w:bCs/>
        </w:rPr>
      </w:pPr>
      <w:r w:rsidRPr="00F16DBB">
        <w:rPr>
          <w:bCs/>
        </w:rPr>
        <w:t xml:space="preserve">IFRS </w:t>
      </w:r>
    </w:p>
    <w:p w14:paraId="6EE86B25" w14:textId="77777777" w:rsidR="00E61700" w:rsidRPr="00F16DBB" w:rsidRDefault="00E61700" w:rsidP="00F16DBB">
      <w:pPr>
        <w:pStyle w:val="ListParagraph"/>
        <w:numPr>
          <w:ilvl w:val="3"/>
          <w:numId w:val="3"/>
        </w:numPr>
        <w:spacing w:line="332" w:lineRule="auto"/>
        <w:rPr>
          <w:bCs/>
        </w:rPr>
      </w:pPr>
      <w:r w:rsidRPr="00F16DBB">
        <w:rPr>
          <w:bCs/>
        </w:rPr>
        <w:t>ClassesOfPropertyPlantAndEquipmentAxis,</w:t>
      </w:r>
    </w:p>
    <w:p w14:paraId="65636D30" w14:textId="77777777" w:rsidR="00E61700" w:rsidRPr="00F16DBB" w:rsidRDefault="00E61700" w:rsidP="00F16DBB">
      <w:pPr>
        <w:pStyle w:val="ListParagraph"/>
        <w:numPr>
          <w:ilvl w:val="3"/>
          <w:numId w:val="3"/>
        </w:numPr>
        <w:spacing w:line="332" w:lineRule="auto"/>
        <w:rPr>
          <w:bCs/>
        </w:rPr>
      </w:pPr>
      <w:r w:rsidRPr="00F16DBB">
        <w:rPr>
          <w:bCs/>
        </w:rPr>
        <w:t>ClassesOfOrdinarySharesAxis, </w:t>
      </w:r>
    </w:p>
    <w:p w14:paraId="3260C94B" w14:textId="77777777" w:rsidR="00E61700" w:rsidRPr="00F16DBB" w:rsidRDefault="00E61700" w:rsidP="00F16DBB">
      <w:pPr>
        <w:pStyle w:val="ListParagraph"/>
        <w:numPr>
          <w:ilvl w:val="3"/>
          <w:numId w:val="3"/>
        </w:numPr>
        <w:spacing w:line="332" w:lineRule="auto"/>
        <w:rPr>
          <w:bCs/>
        </w:rPr>
      </w:pPr>
      <w:r w:rsidRPr="00F16DBB">
        <w:rPr>
          <w:bCs/>
        </w:rPr>
        <w:t>ProductsAndServicesAxis, </w:t>
      </w:r>
    </w:p>
    <w:p w14:paraId="46170994" w14:textId="77777777" w:rsidR="00E61700" w:rsidRPr="00F16DBB" w:rsidRDefault="00E61700" w:rsidP="00F16DBB">
      <w:pPr>
        <w:pStyle w:val="ListParagraph"/>
        <w:numPr>
          <w:ilvl w:val="3"/>
          <w:numId w:val="3"/>
        </w:numPr>
        <w:spacing w:line="332" w:lineRule="auto"/>
        <w:rPr>
          <w:bCs/>
        </w:rPr>
      </w:pPr>
      <w:r w:rsidRPr="00F16DBB">
        <w:rPr>
          <w:bCs/>
        </w:rPr>
        <w:t>ClassesOfIntangibleAssetsOtherThanGoodwillAxis</w:t>
      </w:r>
    </w:p>
    <w:p w14:paraId="7CD7499B" w14:textId="77777777" w:rsidR="00E61700" w:rsidRPr="00F16DBB" w:rsidRDefault="00E61700" w:rsidP="00F16DBB">
      <w:pPr>
        <w:pStyle w:val="ListParagraph"/>
        <w:numPr>
          <w:ilvl w:val="3"/>
          <w:numId w:val="3"/>
        </w:numPr>
        <w:spacing w:line="332" w:lineRule="auto"/>
        <w:rPr>
          <w:bCs/>
        </w:rPr>
      </w:pPr>
      <w:r w:rsidRPr="00F16DBB">
        <w:rPr>
          <w:bCs/>
        </w:rPr>
        <w:t>BorrowingsByNameAxis</w:t>
      </w:r>
    </w:p>
    <w:p w14:paraId="6A2FAD27" w14:textId="77777777" w:rsidR="00E61700" w:rsidRPr="00F16DBB" w:rsidRDefault="00E61700" w:rsidP="00F16DBB">
      <w:pPr>
        <w:pStyle w:val="ListParagraph"/>
        <w:spacing w:line="332" w:lineRule="auto"/>
        <w:ind w:left="1080"/>
        <w:rPr>
          <w:bCs/>
        </w:rPr>
      </w:pPr>
    </w:p>
    <w:p w14:paraId="68376343" w14:textId="02B3D0A6" w:rsidR="00E61700" w:rsidRPr="0014700A" w:rsidRDefault="00E61700" w:rsidP="0014700A">
      <w:pPr>
        <w:pStyle w:val="ListParagraph"/>
        <w:numPr>
          <w:ilvl w:val="1"/>
          <w:numId w:val="3"/>
        </w:numPr>
        <w:spacing w:line="332" w:lineRule="auto"/>
        <w:rPr>
          <w:bCs/>
        </w:rPr>
      </w:pPr>
      <w:r w:rsidRPr="00F16DBB">
        <w:rPr>
          <w:bCs/>
        </w:rPr>
        <w:t xml:space="preserve">DQC_0129 </w:t>
      </w:r>
      <w:r w:rsidR="0014700A">
        <w:rPr>
          <w:bCs/>
        </w:rPr>
        <w:t>–</w:t>
      </w:r>
      <w:r w:rsidR="00F125A6">
        <w:rPr>
          <w:bCs/>
        </w:rPr>
        <w:t xml:space="preserve"> </w:t>
      </w:r>
      <w:r w:rsidRPr="00F16DBB">
        <w:rPr>
          <w:bCs/>
        </w:rPr>
        <w:t xml:space="preserve">Dimensional Equivalents IFRS </w:t>
      </w:r>
      <w:r w:rsidR="00F125A6">
        <w:rPr>
          <w:bCs/>
        </w:rPr>
        <w:t xml:space="preserve">(258 errors) </w:t>
      </w:r>
      <w:r w:rsidRPr="00F16DBB">
        <w:rPr>
          <w:bCs/>
        </w:rPr>
        <w:t xml:space="preserve">- This rule evaluates whether a fact expressed with no dimensions is equal to the same fact expressed in a table with dimensions. In addition, this rule determines if the dimensional value </w:t>
      </w:r>
      <w:r w:rsidRPr="00F16DBB">
        <w:rPr>
          <w:bCs/>
        </w:rPr>
        <w:lastRenderedPageBreak/>
        <w:t xml:space="preserve">should be the inverse of the same value represented as a line item. </w:t>
      </w:r>
      <w:r w:rsidRPr="0014700A">
        <w:rPr>
          <w:bCs/>
        </w:rPr>
        <w:t>The rule was amended</w:t>
      </w:r>
      <w:r w:rsidR="0014700A">
        <w:rPr>
          <w:bCs/>
        </w:rPr>
        <w:t xml:space="preserve"> from public review</w:t>
      </w:r>
      <w:r w:rsidRPr="0014700A">
        <w:rPr>
          <w:bCs/>
        </w:rPr>
        <w:t xml:space="preserve"> to remove those cases where ContinuingAndDiscontinuedOperationsAxis is used with the ContinuingOperationsMember.</w:t>
      </w:r>
    </w:p>
    <w:p w14:paraId="2FE7E0A6" w14:textId="77777777" w:rsidR="00E61700" w:rsidRPr="00F16DBB" w:rsidRDefault="00E61700" w:rsidP="00F16DBB">
      <w:pPr>
        <w:pStyle w:val="ListParagraph"/>
        <w:spacing w:line="332" w:lineRule="auto"/>
        <w:ind w:left="1080"/>
        <w:rPr>
          <w:bCs/>
        </w:rPr>
      </w:pPr>
    </w:p>
    <w:p w14:paraId="6DA21BF1" w14:textId="4D2AEC30" w:rsidR="00E61700" w:rsidRPr="00F16DBB" w:rsidRDefault="00E61700" w:rsidP="00F16DBB">
      <w:pPr>
        <w:pStyle w:val="ListParagraph"/>
        <w:numPr>
          <w:ilvl w:val="1"/>
          <w:numId w:val="3"/>
        </w:numPr>
        <w:spacing w:line="332" w:lineRule="auto"/>
        <w:rPr>
          <w:bCs/>
        </w:rPr>
      </w:pPr>
      <w:r w:rsidRPr="00F16DBB">
        <w:rPr>
          <w:bCs/>
        </w:rPr>
        <w:t xml:space="preserve">DQC_0130 </w:t>
      </w:r>
      <w:r w:rsidR="0014700A">
        <w:rPr>
          <w:bCs/>
        </w:rPr>
        <w:t>–</w:t>
      </w:r>
      <w:r w:rsidR="00F125A6">
        <w:rPr>
          <w:bCs/>
        </w:rPr>
        <w:t xml:space="preserve"> </w:t>
      </w:r>
      <w:r w:rsidRPr="00F16DBB">
        <w:rPr>
          <w:bCs/>
        </w:rPr>
        <w:t xml:space="preserve">Earnings Per Share Calculation IFRS </w:t>
      </w:r>
      <w:r w:rsidR="00F125A6">
        <w:rPr>
          <w:bCs/>
        </w:rPr>
        <w:t>(158 errors)</w:t>
      </w:r>
      <w:r w:rsidR="00F125A6" w:rsidRPr="00F16DBB">
        <w:rPr>
          <w:bCs/>
        </w:rPr>
        <w:t xml:space="preserve"> </w:t>
      </w:r>
      <w:r w:rsidRPr="00F16DBB">
        <w:rPr>
          <w:bCs/>
        </w:rPr>
        <w:t>- This rule evaluates if the value reported for earnings per share metrics matches the value calculated from its components</w:t>
      </w:r>
      <w:r w:rsidR="0014700A">
        <w:rPr>
          <w:bCs/>
        </w:rPr>
        <w:t>.  Rule originally defined in IFRS Formula Linkbase.</w:t>
      </w:r>
    </w:p>
    <w:p w14:paraId="7F16CC02" w14:textId="77777777" w:rsidR="00E61700" w:rsidRPr="00F16DBB" w:rsidRDefault="00E61700" w:rsidP="00F16DBB">
      <w:pPr>
        <w:pStyle w:val="ListParagraph"/>
        <w:spacing w:line="332" w:lineRule="auto"/>
        <w:ind w:left="1080"/>
        <w:rPr>
          <w:bCs/>
        </w:rPr>
      </w:pPr>
    </w:p>
    <w:p w14:paraId="289D5274" w14:textId="22550EDA" w:rsidR="00E61700" w:rsidRPr="00F16DBB" w:rsidRDefault="00E61700" w:rsidP="00F16DBB">
      <w:pPr>
        <w:pStyle w:val="ListParagraph"/>
        <w:numPr>
          <w:ilvl w:val="1"/>
          <w:numId w:val="3"/>
        </w:numPr>
        <w:spacing w:line="332" w:lineRule="auto"/>
        <w:rPr>
          <w:bCs/>
        </w:rPr>
      </w:pPr>
      <w:r w:rsidRPr="00F16DBB">
        <w:rPr>
          <w:bCs/>
        </w:rPr>
        <w:t xml:space="preserve">DQC_0131 - </w:t>
      </w:r>
      <w:bookmarkStart w:id="1" w:name="_9cqjz1me3vop"/>
      <w:bookmarkEnd w:id="1"/>
      <w:r w:rsidRPr="00F16DBB">
        <w:rPr>
          <w:bCs/>
        </w:rPr>
        <w:t xml:space="preserve">Lease Allocation in Balance Sheet </w:t>
      </w:r>
      <w:r w:rsidR="0014700A">
        <w:rPr>
          <w:bCs/>
        </w:rPr>
        <w:t>–</w:t>
      </w:r>
      <w:r w:rsidRPr="00F16DBB">
        <w:rPr>
          <w:bCs/>
        </w:rPr>
        <w:t xml:space="preserve"> </w:t>
      </w:r>
      <w:r w:rsidR="0014700A">
        <w:rPr>
          <w:bCs/>
        </w:rPr>
        <w:t xml:space="preserve">(6 errors) </w:t>
      </w:r>
      <w:r w:rsidRPr="00F16DBB">
        <w:rPr>
          <w:bCs/>
        </w:rPr>
        <w:t>This rule detects of the value of a lease reported in the footnotes is greater than the balance sheet line item.</w:t>
      </w:r>
      <w:r w:rsidR="0014700A">
        <w:rPr>
          <w:bCs/>
        </w:rPr>
        <w:t xml:space="preserve">  This is US GAAP only.</w:t>
      </w:r>
    </w:p>
    <w:p w14:paraId="3670EB02" w14:textId="77777777" w:rsidR="00E61700" w:rsidRPr="00F16DBB" w:rsidRDefault="00E61700" w:rsidP="00F16DBB">
      <w:pPr>
        <w:pStyle w:val="ListParagraph"/>
        <w:spacing w:line="332" w:lineRule="auto"/>
        <w:ind w:left="1080"/>
        <w:rPr>
          <w:bCs/>
        </w:rPr>
      </w:pPr>
    </w:p>
    <w:p w14:paraId="0BA50051" w14:textId="72AA5D31" w:rsidR="00E61700" w:rsidRPr="00F16DBB" w:rsidRDefault="00E61700" w:rsidP="00F16DBB">
      <w:pPr>
        <w:pStyle w:val="ListParagraph"/>
        <w:numPr>
          <w:ilvl w:val="1"/>
          <w:numId w:val="3"/>
        </w:numPr>
        <w:spacing w:line="332" w:lineRule="auto"/>
        <w:rPr>
          <w:bCs/>
        </w:rPr>
      </w:pPr>
      <w:r w:rsidRPr="00F16DBB">
        <w:rPr>
          <w:bCs/>
        </w:rPr>
        <w:t xml:space="preserve">DQC_0132 – Operating Lease Amortization </w:t>
      </w:r>
      <w:r w:rsidR="0014700A">
        <w:rPr>
          <w:bCs/>
        </w:rPr>
        <w:t>–</w:t>
      </w:r>
      <w:r w:rsidRPr="00F16DBB">
        <w:rPr>
          <w:bCs/>
        </w:rPr>
        <w:t xml:space="preserve"> </w:t>
      </w:r>
      <w:r w:rsidR="0014700A">
        <w:rPr>
          <w:bCs/>
        </w:rPr>
        <w:t xml:space="preserve">(70 errors) </w:t>
      </w:r>
      <w:r w:rsidRPr="00F16DBB">
        <w:rPr>
          <w:bCs/>
        </w:rPr>
        <w:t>This rule identifies when an extension element is used instead of the standard element for OperatingLeaseRightOfUseAssetAmortizationExpense which was added to the 2020 US GAAP taxonomy.</w:t>
      </w:r>
    </w:p>
    <w:p w14:paraId="61AB1F1C" w14:textId="5280D780" w:rsidR="002907ED" w:rsidRDefault="002907ED" w:rsidP="001C175D">
      <w:pPr>
        <w:pStyle w:val="ListParagraph"/>
        <w:ind w:left="1440"/>
        <w:jc w:val="both"/>
      </w:pPr>
    </w:p>
    <w:p w14:paraId="59065340" w14:textId="5F1C4FA0" w:rsidR="001359A2" w:rsidRPr="009B296F" w:rsidRDefault="002F6BD0" w:rsidP="001359A2">
      <w:pPr>
        <w:pStyle w:val="ListParagraph"/>
        <w:numPr>
          <w:ilvl w:val="0"/>
          <w:numId w:val="3"/>
        </w:numPr>
        <w:spacing w:line="332" w:lineRule="auto"/>
      </w:pPr>
      <w:r>
        <w:t>The</w:t>
      </w:r>
      <w:r w:rsidR="00DC7174">
        <w:t xml:space="preserve"> </w:t>
      </w:r>
      <w:r w:rsidR="003767EB">
        <w:t>effective date for version 1</w:t>
      </w:r>
      <w:r w:rsidR="00E61700">
        <w:t>7</w:t>
      </w:r>
      <w:r w:rsidR="003767EB">
        <w:t xml:space="preserve"> </w:t>
      </w:r>
      <w:r w:rsidR="00E739B0">
        <w:t>is proposed for</w:t>
      </w:r>
      <w:r w:rsidR="003767EB">
        <w:t xml:space="preserve"> </w:t>
      </w:r>
      <w:r w:rsidR="00E61700">
        <w:t>May 1</w:t>
      </w:r>
      <w:r w:rsidR="001359A2">
        <w:t>, 202</w:t>
      </w:r>
      <w:r w:rsidR="00E61700">
        <w:t>2</w:t>
      </w:r>
      <w:r w:rsidR="001359A2">
        <w:t>.</w:t>
      </w:r>
    </w:p>
    <w:p w14:paraId="4AA1E56B" w14:textId="77777777" w:rsidR="00DE0CF3" w:rsidRDefault="00DE0CF3" w:rsidP="00DE0CF3">
      <w:pPr>
        <w:pStyle w:val="ListParagraph"/>
        <w:spacing w:line="332" w:lineRule="auto"/>
        <w:rPr>
          <w:b/>
        </w:rPr>
      </w:pPr>
    </w:p>
    <w:p w14:paraId="0552D154" w14:textId="54AB9532" w:rsidR="009B296F" w:rsidRPr="0013768C" w:rsidRDefault="009B296F" w:rsidP="00F862C7">
      <w:pPr>
        <w:pStyle w:val="ListParagraph"/>
        <w:numPr>
          <w:ilvl w:val="0"/>
          <w:numId w:val="3"/>
        </w:numPr>
        <w:spacing w:line="332" w:lineRule="auto"/>
      </w:pPr>
      <w:r w:rsidRPr="0013768C">
        <w:t>Motion to approve rules</w:t>
      </w:r>
      <w:r w:rsidR="007E6554">
        <w:t xml:space="preserve"> </w:t>
      </w:r>
      <w:r w:rsidR="005426B3">
        <w:t>DQC_</w:t>
      </w:r>
      <w:r w:rsidR="00461F61">
        <w:t>0</w:t>
      </w:r>
      <w:r w:rsidR="005426B3">
        <w:t>1</w:t>
      </w:r>
      <w:r w:rsidR="0099615B">
        <w:t>25</w:t>
      </w:r>
      <w:r w:rsidR="005426B3">
        <w:t>, DQC_</w:t>
      </w:r>
      <w:r w:rsidR="00461F61">
        <w:t>0</w:t>
      </w:r>
      <w:r w:rsidR="005426B3">
        <w:t>1</w:t>
      </w:r>
      <w:r w:rsidR="0099615B">
        <w:t>26</w:t>
      </w:r>
      <w:r w:rsidR="005426B3">
        <w:t>, DQC_</w:t>
      </w:r>
      <w:r w:rsidR="00461F61">
        <w:t>0</w:t>
      </w:r>
      <w:r w:rsidR="005426B3">
        <w:t>1</w:t>
      </w:r>
      <w:r w:rsidR="0099615B">
        <w:t>27</w:t>
      </w:r>
      <w:r w:rsidR="005426B3">
        <w:t>, DQC_</w:t>
      </w:r>
      <w:r w:rsidR="00461F61">
        <w:t>0</w:t>
      </w:r>
      <w:r w:rsidR="005426B3">
        <w:t>1</w:t>
      </w:r>
      <w:r w:rsidR="00E168ED">
        <w:t>2</w:t>
      </w:r>
      <w:r w:rsidR="0099615B">
        <w:t>8</w:t>
      </w:r>
      <w:r w:rsidR="00461F61">
        <w:t>,</w:t>
      </w:r>
      <w:r w:rsidR="00843F7B">
        <w:t xml:space="preserve"> DQC_</w:t>
      </w:r>
      <w:r w:rsidR="00461F61">
        <w:t>0</w:t>
      </w:r>
      <w:r w:rsidR="00843F7B">
        <w:t>1</w:t>
      </w:r>
      <w:r w:rsidR="00847CA6">
        <w:t>2</w:t>
      </w:r>
      <w:r w:rsidR="0099615B">
        <w:t>9</w:t>
      </w:r>
      <w:r w:rsidR="00461F61">
        <w:t>, DQC_01</w:t>
      </w:r>
      <w:r w:rsidR="0099615B">
        <w:t>30</w:t>
      </w:r>
      <w:r w:rsidR="00461F61">
        <w:t>,</w:t>
      </w:r>
      <w:r w:rsidR="007E6554">
        <w:t xml:space="preserve"> DQC_01</w:t>
      </w:r>
      <w:r w:rsidR="0099615B">
        <w:t>31</w:t>
      </w:r>
      <w:r w:rsidR="007E6554">
        <w:t>, DQC_01</w:t>
      </w:r>
      <w:r w:rsidR="0099615B">
        <w:t>32</w:t>
      </w:r>
      <w:r w:rsidR="00847CA6">
        <w:t xml:space="preserve"> </w:t>
      </w:r>
      <w:r w:rsidR="00C97D1E">
        <w:t xml:space="preserve">effective </w:t>
      </w:r>
      <w:r w:rsidR="0014700A">
        <w:t>May 1, 2022</w:t>
      </w:r>
      <w:r w:rsidR="00843F7B">
        <w:t xml:space="preserve">, </w:t>
      </w:r>
      <w:r w:rsidR="00D73839">
        <w:t>by</w:t>
      </w:r>
      <w:r w:rsidR="00BA24CA">
        <w:t xml:space="preserve"> </w:t>
      </w:r>
      <w:r w:rsidR="005A46B3">
        <w:t>Campbell Pryde</w:t>
      </w:r>
      <w:r w:rsidR="00D73839">
        <w:t xml:space="preserve">, </w:t>
      </w:r>
      <w:r w:rsidRPr="0013768C">
        <w:t xml:space="preserve">seconded by </w:t>
      </w:r>
      <w:r w:rsidR="0099615B">
        <w:t>Mohini Singh</w:t>
      </w:r>
    </w:p>
    <w:p w14:paraId="55354860" w14:textId="10B18BEE" w:rsidR="009B296F" w:rsidRPr="0013768C" w:rsidRDefault="009B296F" w:rsidP="00FD2846">
      <w:pPr>
        <w:pStyle w:val="ListParagraph"/>
        <w:numPr>
          <w:ilvl w:val="0"/>
          <w:numId w:val="3"/>
        </w:numPr>
        <w:spacing w:line="332" w:lineRule="auto"/>
      </w:pPr>
      <w:r w:rsidRPr="0013768C">
        <w:t xml:space="preserve">Vote (For </w:t>
      </w:r>
      <w:r w:rsidR="00F16DBB">
        <w:t>5</w:t>
      </w:r>
      <w:r w:rsidRPr="0013768C">
        <w:t>, 0 Against)</w:t>
      </w:r>
    </w:p>
    <w:p w14:paraId="4616370E" w14:textId="2FC617EA" w:rsidR="00F16DBB" w:rsidRDefault="009B296F" w:rsidP="00F16DBB">
      <w:pPr>
        <w:pStyle w:val="ListParagraph"/>
        <w:numPr>
          <w:ilvl w:val="0"/>
          <w:numId w:val="3"/>
        </w:numPr>
        <w:spacing w:line="332" w:lineRule="auto"/>
      </w:pPr>
      <w:r w:rsidRPr="0013768C">
        <w:t>Motion passed.</w:t>
      </w:r>
      <w:r w:rsidR="001359A2" w:rsidRPr="001359A2">
        <w:t xml:space="preserve"> </w:t>
      </w:r>
      <w:r w:rsidR="0099615B">
        <w:t>DQC_0125, DQC_0126, DQC_0127, DQC_0128, DQC_0129, DQC_0130, DQC_0131, DQC_0132 effective May 1, 2022</w:t>
      </w:r>
      <w:r w:rsidR="0099615B">
        <w:t xml:space="preserve"> </w:t>
      </w:r>
      <w:r>
        <w:t>approved</w:t>
      </w:r>
      <w:r w:rsidR="00D45304">
        <w:t>.</w:t>
      </w:r>
      <w:r>
        <w:t xml:space="preserve"> </w:t>
      </w:r>
    </w:p>
    <w:p w14:paraId="09349D33" w14:textId="77777777" w:rsidR="00F16DBB" w:rsidRDefault="00F16DBB" w:rsidP="00F16DBB">
      <w:pPr>
        <w:spacing w:line="332" w:lineRule="auto"/>
        <w:rPr>
          <w:bCs/>
          <w:szCs w:val="22"/>
        </w:rPr>
      </w:pPr>
    </w:p>
    <w:p w14:paraId="76CB9EAD" w14:textId="55876FDC" w:rsidR="00E61700" w:rsidRDefault="00E61700" w:rsidP="00F16DBB">
      <w:pPr>
        <w:spacing w:line="332" w:lineRule="auto"/>
        <w:rPr>
          <w:rFonts w:ascii="Arial" w:eastAsia="Arial" w:hAnsi="Arial" w:cs="Arial"/>
          <w:b/>
          <w:sz w:val="22"/>
        </w:rPr>
      </w:pPr>
      <w:r w:rsidRPr="00F16DBB">
        <w:rPr>
          <w:rFonts w:ascii="Arial" w:eastAsia="Arial" w:hAnsi="Arial" w:cs="Arial"/>
          <w:b/>
          <w:sz w:val="22"/>
        </w:rPr>
        <w:t>Introduction of Investments</w:t>
      </w:r>
    </w:p>
    <w:p w14:paraId="47DB3CD0" w14:textId="0454F27C" w:rsidR="0099615B" w:rsidRPr="0099615B" w:rsidRDefault="0099615B" w:rsidP="0099615B">
      <w:pPr>
        <w:pStyle w:val="ListParagraph"/>
        <w:numPr>
          <w:ilvl w:val="0"/>
          <w:numId w:val="31"/>
        </w:numPr>
        <w:spacing w:line="332" w:lineRule="auto"/>
        <w:rPr>
          <w:bCs/>
        </w:rPr>
      </w:pPr>
      <w:r w:rsidRPr="0099615B">
        <w:rPr>
          <w:bCs/>
        </w:rPr>
        <w:t>Campbell</w:t>
      </w:r>
      <w:r>
        <w:rPr>
          <w:bCs/>
        </w:rPr>
        <w:t xml:space="preserve"> explained that there have been a number of changes made by the FASB in the area of reporting investments and there has been an implementation guide issued.  However, there are a lot of inconsistencies among companies.  </w:t>
      </w:r>
      <w:r w:rsidR="00783308">
        <w:rPr>
          <w:bCs/>
        </w:rPr>
        <w:t>DQC</w:t>
      </w:r>
      <w:r>
        <w:rPr>
          <w:bCs/>
        </w:rPr>
        <w:t xml:space="preserve"> will plan to issue guidance in the form of an FAQ with examples. Rules will be developed to test areas of the FASB’s implementation guide including consistent use of dimension across tables and use of specific axes for equity investments.</w:t>
      </w:r>
    </w:p>
    <w:p w14:paraId="29FE88F4" w14:textId="24D8C080" w:rsidR="00F16DBB" w:rsidRPr="00F16DBB" w:rsidRDefault="00F16DBB" w:rsidP="00F16DBB">
      <w:pPr>
        <w:spacing w:line="332" w:lineRule="auto"/>
        <w:rPr>
          <w:rFonts w:ascii="Arial" w:eastAsia="Arial" w:hAnsi="Arial" w:cs="Arial"/>
          <w:b/>
          <w:sz w:val="22"/>
        </w:rPr>
      </w:pPr>
    </w:p>
    <w:p w14:paraId="2A5DA965" w14:textId="6C0650B9" w:rsidR="00F16DBB" w:rsidRDefault="00F16DBB" w:rsidP="00F16DBB">
      <w:pPr>
        <w:spacing w:line="332" w:lineRule="auto"/>
        <w:rPr>
          <w:rFonts w:ascii="Arial" w:eastAsia="Arial" w:hAnsi="Arial" w:cs="Arial"/>
          <w:b/>
          <w:sz w:val="22"/>
        </w:rPr>
      </w:pPr>
      <w:r w:rsidRPr="00F16DBB">
        <w:rPr>
          <w:rFonts w:ascii="Arial" w:eastAsia="Arial" w:hAnsi="Arial" w:cs="Arial"/>
          <w:b/>
          <w:sz w:val="22"/>
        </w:rPr>
        <w:t>Tagging Auditor Information Guidance</w:t>
      </w:r>
    </w:p>
    <w:p w14:paraId="4953C986" w14:textId="16BF9388" w:rsidR="0099615B" w:rsidRPr="0099615B" w:rsidRDefault="0099615B" w:rsidP="0099615B">
      <w:pPr>
        <w:pStyle w:val="ListParagraph"/>
        <w:numPr>
          <w:ilvl w:val="0"/>
          <w:numId w:val="31"/>
        </w:numPr>
        <w:spacing w:line="332" w:lineRule="auto"/>
        <w:rPr>
          <w:b/>
        </w:rPr>
      </w:pPr>
      <w:r>
        <w:rPr>
          <w:bCs/>
        </w:rPr>
        <w:lastRenderedPageBreak/>
        <w:t xml:space="preserve">Campbell explained that </w:t>
      </w:r>
      <w:r w:rsidR="00783308">
        <w:rPr>
          <w:bCs/>
        </w:rPr>
        <w:t>a new SEC</w:t>
      </w:r>
      <w:r>
        <w:rPr>
          <w:bCs/>
        </w:rPr>
        <w:t xml:space="preserve"> </w:t>
      </w:r>
      <w:r w:rsidR="00783308">
        <w:rPr>
          <w:bCs/>
        </w:rPr>
        <w:t>rule r</w:t>
      </w:r>
      <w:r>
        <w:rPr>
          <w:bCs/>
        </w:rPr>
        <w:t>equire</w:t>
      </w:r>
      <w:r w:rsidR="00783308">
        <w:rPr>
          <w:bCs/>
        </w:rPr>
        <w:t>s</w:t>
      </w:r>
      <w:r>
        <w:rPr>
          <w:bCs/>
        </w:rPr>
        <w:t xml:space="preserve"> companies to tag Auditor Name, Auditor Firm Location and </w:t>
      </w:r>
      <w:r w:rsidR="00783308">
        <w:rPr>
          <w:bCs/>
        </w:rPr>
        <w:t xml:space="preserve">PCAOB </w:t>
      </w:r>
      <w:r>
        <w:rPr>
          <w:bCs/>
        </w:rPr>
        <w:t xml:space="preserve">Firm ID.  This information must be visible in the </w:t>
      </w:r>
      <w:r w:rsidR="00783308">
        <w:rPr>
          <w:bCs/>
        </w:rPr>
        <w:t>inline XBRL document</w:t>
      </w:r>
      <w:r>
        <w:rPr>
          <w:bCs/>
        </w:rPr>
        <w:t>.  How</w:t>
      </w:r>
      <w:r w:rsidR="00783308">
        <w:rPr>
          <w:bCs/>
        </w:rPr>
        <w:t>e</w:t>
      </w:r>
      <w:r>
        <w:rPr>
          <w:bCs/>
        </w:rPr>
        <w:t>ver,</w:t>
      </w:r>
      <w:r w:rsidR="00783308">
        <w:rPr>
          <w:bCs/>
        </w:rPr>
        <w:t xml:space="preserve"> the f</w:t>
      </w:r>
      <w:bookmarkStart w:id="2" w:name="_GoBack"/>
      <w:bookmarkEnd w:id="2"/>
      <w:r>
        <w:rPr>
          <w:bCs/>
        </w:rPr>
        <w:t xml:space="preserve">irm ID is not currently included in the auditor’s report.  Campbell explained that XBRL US has issued guidance recommending companies to disclose the Firm ID in the Index to the financial statements of the filing and tag it.  </w:t>
      </w:r>
    </w:p>
    <w:p w14:paraId="5B70C88C" w14:textId="2BAB431A" w:rsidR="0099615B" w:rsidRPr="0099615B" w:rsidRDefault="0099615B" w:rsidP="0099615B">
      <w:pPr>
        <w:pStyle w:val="ListParagraph"/>
        <w:numPr>
          <w:ilvl w:val="0"/>
          <w:numId w:val="31"/>
        </w:numPr>
        <w:spacing w:line="332" w:lineRule="auto"/>
        <w:rPr>
          <w:b/>
        </w:rPr>
      </w:pPr>
      <w:r>
        <w:rPr>
          <w:bCs/>
        </w:rPr>
        <w:t>Campbell mentioned that the first filing ha</w:t>
      </w:r>
      <w:r w:rsidR="0076523A">
        <w:rPr>
          <w:bCs/>
        </w:rPr>
        <w:t>d</w:t>
      </w:r>
      <w:r>
        <w:rPr>
          <w:bCs/>
        </w:rPr>
        <w:t xml:space="preserve"> been posted</w:t>
      </w:r>
      <w:r w:rsidR="0076523A">
        <w:rPr>
          <w:bCs/>
        </w:rPr>
        <w:t xml:space="preserve"> to the SEC and the firm ID in the filing was tagged as a hidden value, which is incorrect.</w:t>
      </w:r>
    </w:p>
    <w:p w14:paraId="20D30D43" w14:textId="77777777" w:rsidR="00F16DBB" w:rsidRPr="00F16DBB" w:rsidRDefault="00F16DBB" w:rsidP="00F16DBB">
      <w:pPr>
        <w:spacing w:line="332" w:lineRule="auto"/>
        <w:rPr>
          <w:rFonts w:ascii="Arial" w:eastAsia="Arial" w:hAnsi="Arial" w:cs="Arial"/>
          <w:b/>
          <w:sz w:val="22"/>
        </w:rPr>
      </w:pPr>
    </w:p>
    <w:p w14:paraId="3B6583A0" w14:textId="6DE7D7B5" w:rsidR="00C83061" w:rsidRDefault="00C83061" w:rsidP="00C83061">
      <w:pPr>
        <w:jc w:val="both"/>
        <w:rPr>
          <w:szCs w:val="22"/>
        </w:rPr>
      </w:pPr>
    </w:p>
    <w:p w14:paraId="6DBD1756" w14:textId="72D6C9E1" w:rsidR="006D3CDC" w:rsidRDefault="006D3CDC" w:rsidP="006D3CDC">
      <w:pPr>
        <w:spacing w:line="332" w:lineRule="auto"/>
        <w:rPr>
          <w:rFonts w:ascii="Arial" w:eastAsia="Arial" w:hAnsi="Arial" w:cs="Arial"/>
          <w:sz w:val="22"/>
        </w:rPr>
      </w:pPr>
      <w:r>
        <w:rPr>
          <w:rFonts w:ascii="Arial" w:eastAsia="Arial" w:hAnsi="Arial" w:cs="Arial"/>
          <w:sz w:val="22"/>
        </w:rPr>
        <w:t>Meeting adjourned 1</w:t>
      </w:r>
      <w:r w:rsidR="0076523A">
        <w:rPr>
          <w:rFonts w:ascii="Arial" w:eastAsia="Arial" w:hAnsi="Arial" w:cs="Arial"/>
          <w:sz w:val="22"/>
        </w:rPr>
        <w:t>2</w:t>
      </w:r>
      <w:r>
        <w:rPr>
          <w:rFonts w:ascii="Arial" w:eastAsia="Arial" w:hAnsi="Arial" w:cs="Arial"/>
          <w:sz w:val="22"/>
        </w:rPr>
        <w:t>:</w:t>
      </w:r>
      <w:r w:rsidR="00784969">
        <w:rPr>
          <w:rFonts w:ascii="Arial" w:eastAsia="Arial" w:hAnsi="Arial" w:cs="Arial"/>
          <w:sz w:val="22"/>
        </w:rPr>
        <w:t>45</w:t>
      </w:r>
      <w:r>
        <w:rPr>
          <w:rFonts w:ascii="Arial" w:eastAsia="Arial" w:hAnsi="Arial" w:cs="Arial"/>
          <w:sz w:val="22"/>
        </w:rPr>
        <w:t xml:space="preserve">PM. </w:t>
      </w: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EBFA" w16cex:dateUtc="2021-04-09T20: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566DD" w14:textId="77777777" w:rsidR="00395EA4" w:rsidRDefault="00395EA4">
      <w:r>
        <w:separator/>
      </w:r>
    </w:p>
  </w:endnote>
  <w:endnote w:type="continuationSeparator" w:id="0">
    <w:p w14:paraId="636047AD" w14:textId="77777777" w:rsidR="00395EA4" w:rsidRDefault="0039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449A9" w14:textId="77777777" w:rsidR="00395EA4" w:rsidRDefault="00395EA4">
      <w:r>
        <w:separator/>
      </w:r>
    </w:p>
  </w:footnote>
  <w:footnote w:type="continuationSeparator" w:id="0">
    <w:p w14:paraId="1774D6A5" w14:textId="77777777" w:rsidR="00395EA4" w:rsidRDefault="00395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7073"/>
    <w:multiLevelType w:val="hybridMultilevel"/>
    <w:tmpl w:val="61CE81C6"/>
    <w:lvl w:ilvl="0" w:tplc="EC66B3D2">
      <w:start w:val="1"/>
      <w:numFmt w:val="bullet"/>
      <w:lvlText w:val="•"/>
      <w:lvlJc w:val="left"/>
      <w:pPr>
        <w:tabs>
          <w:tab w:val="num" w:pos="720"/>
        </w:tabs>
        <w:ind w:left="720" w:hanging="360"/>
      </w:pPr>
      <w:rPr>
        <w:rFonts w:ascii="Arial" w:hAnsi="Arial" w:hint="default"/>
      </w:rPr>
    </w:lvl>
    <w:lvl w:ilvl="1" w:tplc="FBDCAC0E">
      <w:start w:val="1"/>
      <w:numFmt w:val="bullet"/>
      <w:lvlText w:val="•"/>
      <w:lvlJc w:val="left"/>
      <w:pPr>
        <w:tabs>
          <w:tab w:val="num" w:pos="1440"/>
        </w:tabs>
        <w:ind w:left="1440" w:hanging="360"/>
      </w:pPr>
      <w:rPr>
        <w:rFonts w:ascii="Arial" w:hAnsi="Arial" w:hint="default"/>
      </w:rPr>
    </w:lvl>
    <w:lvl w:ilvl="2" w:tplc="0CF429AC" w:tentative="1">
      <w:start w:val="1"/>
      <w:numFmt w:val="bullet"/>
      <w:lvlText w:val="•"/>
      <w:lvlJc w:val="left"/>
      <w:pPr>
        <w:tabs>
          <w:tab w:val="num" w:pos="2160"/>
        </w:tabs>
        <w:ind w:left="2160" w:hanging="360"/>
      </w:pPr>
      <w:rPr>
        <w:rFonts w:ascii="Arial" w:hAnsi="Arial" w:hint="default"/>
      </w:rPr>
    </w:lvl>
    <w:lvl w:ilvl="3" w:tplc="307A1530" w:tentative="1">
      <w:start w:val="1"/>
      <w:numFmt w:val="bullet"/>
      <w:lvlText w:val="•"/>
      <w:lvlJc w:val="left"/>
      <w:pPr>
        <w:tabs>
          <w:tab w:val="num" w:pos="2880"/>
        </w:tabs>
        <w:ind w:left="2880" w:hanging="360"/>
      </w:pPr>
      <w:rPr>
        <w:rFonts w:ascii="Arial" w:hAnsi="Arial" w:hint="default"/>
      </w:rPr>
    </w:lvl>
    <w:lvl w:ilvl="4" w:tplc="2676F9FE" w:tentative="1">
      <w:start w:val="1"/>
      <w:numFmt w:val="bullet"/>
      <w:lvlText w:val="•"/>
      <w:lvlJc w:val="left"/>
      <w:pPr>
        <w:tabs>
          <w:tab w:val="num" w:pos="3600"/>
        </w:tabs>
        <w:ind w:left="3600" w:hanging="360"/>
      </w:pPr>
      <w:rPr>
        <w:rFonts w:ascii="Arial" w:hAnsi="Arial" w:hint="default"/>
      </w:rPr>
    </w:lvl>
    <w:lvl w:ilvl="5" w:tplc="51348860" w:tentative="1">
      <w:start w:val="1"/>
      <w:numFmt w:val="bullet"/>
      <w:lvlText w:val="•"/>
      <w:lvlJc w:val="left"/>
      <w:pPr>
        <w:tabs>
          <w:tab w:val="num" w:pos="4320"/>
        </w:tabs>
        <w:ind w:left="4320" w:hanging="360"/>
      </w:pPr>
      <w:rPr>
        <w:rFonts w:ascii="Arial" w:hAnsi="Arial" w:hint="default"/>
      </w:rPr>
    </w:lvl>
    <w:lvl w:ilvl="6" w:tplc="57C6B494" w:tentative="1">
      <w:start w:val="1"/>
      <w:numFmt w:val="bullet"/>
      <w:lvlText w:val="•"/>
      <w:lvlJc w:val="left"/>
      <w:pPr>
        <w:tabs>
          <w:tab w:val="num" w:pos="5040"/>
        </w:tabs>
        <w:ind w:left="5040" w:hanging="360"/>
      </w:pPr>
      <w:rPr>
        <w:rFonts w:ascii="Arial" w:hAnsi="Arial" w:hint="default"/>
      </w:rPr>
    </w:lvl>
    <w:lvl w:ilvl="7" w:tplc="0F3CDB1C" w:tentative="1">
      <w:start w:val="1"/>
      <w:numFmt w:val="bullet"/>
      <w:lvlText w:val="•"/>
      <w:lvlJc w:val="left"/>
      <w:pPr>
        <w:tabs>
          <w:tab w:val="num" w:pos="5760"/>
        </w:tabs>
        <w:ind w:left="5760" w:hanging="360"/>
      </w:pPr>
      <w:rPr>
        <w:rFonts w:ascii="Arial" w:hAnsi="Arial" w:hint="default"/>
      </w:rPr>
    </w:lvl>
    <w:lvl w:ilvl="8" w:tplc="71B6EB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19737F"/>
    <w:multiLevelType w:val="hybridMultilevel"/>
    <w:tmpl w:val="5896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82032"/>
    <w:multiLevelType w:val="multilevel"/>
    <w:tmpl w:val="A77C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5A0AE7"/>
    <w:multiLevelType w:val="multilevel"/>
    <w:tmpl w:val="0476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34AEF"/>
    <w:multiLevelType w:val="hybridMultilevel"/>
    <w:tmpl w:val="FA30B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7302B"/>
    <w:multiLevelType w:val="hybridMultilevel"/>
    <w:tmpl w:val="426A3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340746"/>
    <w:multiLevelType w:val="multilevel"/>
    <w:tmpl w:val="92F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234DB3"/>
    <w:multiLevelType w:val="hybridMultilevel"/>
    <w:tmpl w:val="68085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E22D7"/>
    <w:multiLevelType w:val="multilevel"/>
    <w:tmpl w:val="B1CED74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3A0EAE"/>
    <w:multiLevelType w:val="hybridMultilevel"/>
    <w:tmpl w:val="C37A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10" w15:restartNumberingAfterBreak="0">
    <w:nsid w:val="358D22D3"/>
    <w:multiLevelType w:val="hybridMultilevel"/>
    <w:tmpl w:val="C9EC0690"/>
    <w:lvl w:ilvl="0" w:tplc="02689878">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D19E7"/>
    <w:multiLevelType w:val="hybridMultilevel"/>
    <w:tmpl w:val="CB8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D3C7C"/>
    <w:multiLevelType w:val="multilevel"/>
    <w:tmpl w:val="270C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9828A2"/>
    <w:multiLevelType w:val="multilevel"/>
    <w:tmpl w:val="16C4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09685D"/>
    <w:multiLevelType w:val="hybridMultilevel"/>
    <w:tmpl w:val="E4D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80DD0"/>
    <w:multiLevelType w:val="hybridMultilevel"/>
    <w:tmpl w:val="5CCC7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774121"/>
    <w:multiLevelType w:val="hybridMultilevel"/>
    <w:tmpl w:val="958A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D261D"/>
    <w:multiLevelType w:val="hybridMultilevel"/>
    <w:tmpl w:val="B0A64822"/>
    <w:lvl w:ilvl="0" w:tplc="04090003">
      <w:start w:val="1"/>
      <w:numFmt w:val="bullet"/>
      <w:lvlText w:val="o"/>
      <w:lvlJc w:val="left"/>
      <w:pPr>
        <w:tabs>
          <w:tab w:val="num" w:pos="1440"/>
        </w:tabs>
        <w:ind w:left="1440" w:hanging="360"/>
      </w:pPr>
      <w:rPr>
        <w:rFonts w:ascii="Courier New" w:hAnsi="Courier New" w:cs="Courier New" w:hint="default"/>
      </w:rPr>
    </w:lvl>
    <w:lvl w:ilvl="1" w:tplc="BA887424" w:tentative="1">
      <w:start w:val="1"/>
      <w:numFmt w:val="bullet"/>
      <w:lvlText w:val="•"/>
      <w:lvlJc w:val="left"/>
      <w:pPr>
        <w:tabs>
          <w:tab w:val="num" w:pos="2160"/>
        </w:tabs>
        <w:ind w:left="2160" w:hanging="360"/>
      </w:pPr>
      <w:rPr>
        <w:rFonts w:ascii="Arial" w:hAnsi="Arial" w:hint="default"/>
      </w:rPr>
    </w:lvl>
    <w:lvl w:ilvl="2" w:tplc="106A16CE" w:tentative="1">
      <w:start w:val="1"/>
      <w:numFmt w:val="bullet"/>
      <w:lvlText w:val="•"/>
      <w:lvlJc w:val="left"/>
      <w:pPr>
        <w:tabs>
          <w:tab w:val="num" w:pos="2880"/>
        </w:tabs>
        <w:ind w:left="2880" w:hanging="360"/>
      </w:pPr>
      <w:rPr>
        <w:rFonts w:ascii="Arial" w:hAnsi="Arial" w:hint="default"/>
      </w:rPr>
    </w:lvl>
    <w:lvl w:ilvl="3" w:tplc="3D149FEC" w:tentative="1">
      <w:start w:val="1"/>
      <w:numFmt w:val="bullet"/>
      <w:lvlText w:val="•"/>
      <w:lvlJc w:val="left"/>
      <w:pPr>
        <w:tabs>
          <w:tab w:val="num" w:pos="3600"/>
        </w:tabs>
        <w:ind w:left="3600" w:hanging="360"/>
      </w:pPr>
      <w:rPr>
        <w:rFonts w:ascii="Arial" w:hAnsi="Arial" w:hint="default"/>
      </w:rPr>
    </w:lvl>
    <w:lvl w:ilvl="4" w:tplc="8FF0804E" w:tentative="1">
      <w:start w:val="1"/>
      <w:numFmt w:val="bullet"/>
      <w:lvlText w:val="•"/>
      <w:lvlJc w:val="left"/>
      <w:pPr>
        <w:tabs>
          <w:tab w:val="num" w:pos="4320"/>
        </w:tabs>
        <w:ind w:left="4320" w:hanging="360"/>
      </w:pPr>
      <w:rPr>
        <w:rFonts w:ascii="Arial" w:hAnsi="Arial" w:hint="default"/>
      </w:rPr>
    </w:lvl>
    <w:lvl w:ilvl="5" w:tplc="8EF493E4" w:tentative="1">
      <w:start w:val="1"/>
      <w:numFmt w:val="bullet"/>
      <w:lvlText w:val="•"/>
      <w:lvlJc w:val="left"/>
      <w:pPr>
        <w:tabs>
          <w:tab w:val="num" w:pos="5040"/>
        </w:tabs>
        <w:ind w:left="5040" w:hanging="360"/>
      </w:pPr>
      <w:rPr>
        <w:rFonts w:ascii="Arial" w:hAnsi="Arial" w:hint="default"/>
      </w:rPr>
    </w:lvl>
    <w:lvl w:ilvl="6" w:tplc="39E43C28" w:tentative="1">
      <w:start w:val="1"/>
      <w:numFmt w:val="bullet"/>
      <w:lvlText w:val="•"/>
      <w:lvlJc w:val="left"/>
      <w:pPr>
        <w:tabs>
          <w:tab w:val="num" w:pos="5760"/>
        </w:tabs>
        <w:ind w:left="5760" w:hanging="360"/>
      </w:pPr>
      <w:rPr>
        <w:rFonts w:ascii="Arial" w:hAnsi="Arial" w:hint="default"/>
      </w:rPr>
    </w:lvl>
    <w:lvl w:ilvl="7" w:tplc="299EE6DC" w:tentative="1">
      <w:start w:val="1"/>
      <w:numFmt w:val="bullet"/>
      <w:lvlText w:val="•"/>
      <w:lvlJc w:val="left"/>
      <w:pPr>
        <w:tabs>
          <w:tab w:val="num" w:pos="6480"/>
        </w:tabs>
        <w:ind w:left="6480" w:hanging="360"/>
      </w:pPr>
      <w:rPr>
        <w:rFonts w:ascii="Arial" w:hAnsi="Arial" w:hint="default"/>
      </w:rPr>
    </w:lvl>
    <w:lvl w:ilvl="8" w:tplc="0778DF0C" w:tentative="1">
      <w:start w:val="1"/>
      <w:numFmt w:val="bullet"/>
      <w:lvlText w:val="•"/>
      <w:lvlJc w:val="left"/>
      <w:pPr>
        <w:tabs>
          <w:tab w:val="num" w:pos="7200"/>
        </w:tabs>
        <w:ind w:left="7200" w:hanging="360"/>
      </w:pPr>
      <w:rPr>
        <w:rFonts w:ascii="Arial" w:hAnsi="Arial" w:hint="default"/>
      </w:rPr>
    </w:lvl>
  </w:abstractNum>
  <w:abstractNum w:abstractNumId="19" w15:restartNumberingAfterBreak="0">
    <w:nsid w:val="56FD7295"/>
    <w:multiLevelType w:val="multilevel"/>
    <w:tmpl w:val="F916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E3366B"/>
    <w:multiLevelType w:val="hybridMultilevel"/>
    <w:tmpl w:val="B48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25AEE"/>
    <w:multiLevelType w:val="hybridMultilevel"/>
    <w:tmpl w:val="276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856B4"/>
    <w:multiLevelType w:val="hybridMultilevel"/>
    <w:tmpl w:val="FD648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00071B"/>
    <w:multiLevelType w:val="hybridMultilevel"/>
    <w:tmpl w:val="918C4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5B144E"/>
    <w:multiLevelType w:val="hybridMultilevel"/>
    <w:tmpl w:val="38A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84676C"/>
    <w:multiLevelType w:val="hybridMultilevel"/>
    <w:tmpl w:val="D74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E2303"/>
    <w:multiLevelType w:val="multilevel"/>
    <w:tmpl w:val="C0F0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E82ADD"/>
    <w:multiLevelType w:val="hybridMultilevel"/>
    <w:tmpl w:val="1BF02760"/>
    <w:lvl w:ilvl="0" w:tplc="1BE227F4">
      <w:start w:val="1"/>
      <w:numFmt w:val="bullet"/>
      <w:lvlText w:val="•"/>
      <w:lvlJc w:val="left"/>
      <w:pPr>
        <w:tabs>
          <w:tab w:val="num" w:pos="720"/>
        </w:tabs>
        <w:ind w:left="720" w:hanging="360"/>
      </w:pPr>
      <w:rPr>
        <w:rFonts w:ascii="Arial" w:hAnsi="Arial" w:hint="default"/>
      </w:rPr>
    </w:lvl>
    <w:lvl w:ilvl="1" w:tplc="11BA901E" w:tentative="1">
      <w:start w:val="1"/>
      <w:numFmt w:val="bullet"/>
      <w:lvlText w:val="•"/>
      <w:lvlJc w:val="left"/>
      <w:pPr>
        <w:tabs>
          <w:tab w:val="num" w:pos="1440"/>
        </w:tabs>
        <w:ind w:left="1440" w:hanging="360"/>
      </w:pPr>
      <w:rPr>
        <w:rFonts w:ascii="Arial" w:hAnsi="Arial" w:hint="default"/>
      </w:rPr>
    </w:lvl>
    <w:lvl w:ilvl="2" w:tplc="368CE866" w:tentative="1">
      <w:start w:val="1"/>
      <w:numFmt w:val="bullet"/>
      <w:lvlText w:val="•"/>
      <w:lvlJc w:val="left"/>
      <w:pPr>
        <w:tabs>
          <w:tab w:val="num" w:pos="2160"/>
        </w:tabs>
        <w:ind w:left="2160" w:hanging="360"/>
      </w:pPr>
      <w:rPr>
        <w:rFonts w:ascii="Arial" w:hAnsi="Arial" w:hint="default"/>
      </w:rPr>
    </w:lvl>
    <w:lvl w:ilvl="3" w:tplc="3C667240" w:tentative="1">
      <w:start w:val="1"/>
      <w:numFmt w:val="bullet"/>
      <w:lvlText w:val="•"/>
      <w:lvlJc w:val="left"/>
      <w:pPr>
        <w:tabs>
          <w:tab w:val="num" w:pos="2880"/>
        </w:tabs>
        <w:ind w:left="2880" w:hanging="360"/>
      </w:pPr>
      <w:rPr>
        <w:rFonts w:ascii="Arial" w:hAnsi="Arial" w:hint="default"/>
      </w:rPr>
    </w:lvl>
    <w:lvl w:ilvl="4" w:tplc="95181FA6" w:tentative="1">
      <w:start w:val="1"/>
      <w:numFmt w:val="bullet"/>
      <w:lvlText w:val="•"/>
      <w:lvlJc w:val="left"/>
      <w:pPr>
        <w:tabs>
          <w:tab w:val="num" w:pos="3600"/>
        </w:tabs>
        <w:ind w:left="3600" w:hanging="360"/>
      </w:pPr>
      <w:rPr>
        <w:rFonts w:ascii="Arial" w:hAnsi="Arial" w:hint="default"/>
      </w:rPr>
    </w:lvl>
    <w:lvl w:ilvl="5" w:tplc="A1D4D36E" w:tentative="1">
      <w:start w:val="1"/>
      <w:numFmt w:val="bullet"/>
      <w:lvlText w:val="•"/>
      <w:lvlJc w:val="left"/>
      <w:pPr>
        <w:tabs>
          <w:tab w:val="num" w:pos="4320"/>
        </w:tabs>
        <w:ind w:left="4320" w:hanging="360"/>
      </w:pPr>
      <w:rPr>
        <w:rFonts w:ascii="Arial" w:hAnsi="Arial" w:hint="default"/>
      </w:rPr>
    </w:lvl>
    <w:lvl w:ilvl="6" w:tplc="A27CF400" w:tentative="1">
      <w:start w:val="1"/>
      <w:numFmt w:val="bullet"/>
      <w:lvlText w:val="•"/>
      <w:lvlJc w:val="left"/>
      <w:pPr>
        <w:tabs>
          <w:tab w:val="num" w:pos="5040"/>
        </w:tabs>
        <w:ind w:left="5040" w:hanging="360"/>
      </w:pPr>
      <w:rPr>
        <w:rFonts w:ascii="Arial" w:hAnsi="Arial" w:hint="default"/>
      </w:rPr>
    </w:lvl>
    <w:lvl w:ilvl="7" w:tplc="2B6C2F82" w:tentative="1">
      <w:start w:val="1"/>
      <w:numFmt w:val="bullet"/>
      <w:lvlText w:val="•"/>
      <w:lvlJc w:val="left"/>
      <w:pPr>
        <w:tabs>
          <w:tab w:val="num" w:pos="5760"/>
        </w:tabs>
        <w:ind w:left="5760" w:hanging="360"/>
      </w:pPr>
      <w:rPr>
        <w:rFonts w:ascii="Arial" w:hAnsi="Arial" w:hint="default"/>
      </w:rPr>
    </w:lvl>
    <w:lvl w:ilvl="8" w:tplc="F4C26C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EF4374E"/>
    <w:multiLevelType w:val="multilevel"/>
    <w:tmpl w:val="C652B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7"/>
  </w:num>
  <w:num w:numId="3">
    <w:abstractNumId w:val="23"/>
  </w:num>
  <w:num w:numId="4">
    <w:abstractNumId w:val="26"/>
  </w:num>
  <w:num w:numId="5">
    <w:abstractNumId w:val="24"/>
  </w:num>
  <w:num w:numId="6">
    <w:abstractNumId w:val="25"/>
  </w:num>
  <w:num w:numId="7">
    <w:abstractNumId w:val="12"/>
  </w:num>
  <w:num w:numId="8">
    <w:abstractNumId w:val="4"/>
  </w:num>
  <w:num w:numId="9">
    <w:abstractNumId w:val="3"/>
  </w:num>
  <w:num w:numId="10">
    <w:abstractNumId w:val="2"/>
  </w:num>
  <w:num w:numId="11">
    <w:abstractNumId w:val="27"/>
  </w:num>
  <w:num w:numId="12">
    <w:abstractNumId w:val="10"/>
  </w:num>
  <w:num w:numId="13">
    <w:abstractNumId w:val="29"/>
  </w:num>
  <w:num w:numId="14">
    <w:abstractNumId w:val="6"/>
  </w:num>
  <w:num w:numId="15">
    <w:abstractNumId w:val="19"/>
  </w:num>
  <w:num w:numId="16">
    <w:abstractNumId w:val="13"/>
  </w:num>
  <w:num w:numId="17">
    <w:abstractNumId w:val="8"/>
  </w:num>
  <w:num w:numId="18">
    <w:abstractNumId w:val="7"/>
  </w:num>
  <w:num w:numId="19">
    <w:abstractNumId w:val="1"/>
  </w:num>
  <w:num w:numId="20">
    <w:abstractNumId w:val="14"/>
  </w:num>
  <w:num w:numId="21">
    <w:abstractNumId w:val="20"/>
  </w:num>
  <w:num w:numId="22">
    <w:abstractNumId w:val="21"/>
  </w:num>
  <w:num w:numId="23">
    <w:abstractNumId w:val="9"/>
  </w:num>
  <w:num w:numId="24">
    <w:abstractNumId w:val="16"/>
  </w:num>
  <w:num w:numId="25">
    <w:abstractNumId w:val="28"/>
  </w:num>
  <w:num w:numId="26">
    <w:abstractNumId w:val="0"/>
  </w:num>
  <w:num w:numId="27">
    <w:abstractNumId w:val="11"/>
  </w:num>
  <w:num w:numId="28">
    <w:abstractNumId w:val="16"/>
  </w:num>
  <w:num w:numId="29">
    <w:abstractNumId w:val="18"/>
  </w:num>
  <w:num w:numId="30">
    <w:abstractNumId w:val="5"/>
    <w:lvlOverride w:ilvl="0"/>
    <w:lvlOverride w:ilvl="1"/>
    <w:lvlOverride w:ilvl="2"/>
    <w:lvlOverride w:ilvl="3"/>
    <w:lvlOverride w:ilvl="4"/>
    <w:lvlOverride w:ilvl="5"/>
    <w:lvlOverride w:ilvl="6"/>
    <w:lvlOverride w:ilvl="7"/>
    <w:lvlOverride w:ilvl="8"/>
  </w:num>
  <w:num w:numId="3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E68"/>
    <w:rsid w:val="000127F5"/>
    <w:rsid w:val="000136DB"/>
    <w:rsid w:val="00016AA4"/>
    <w:rsid w:val="00016F7E"/>
    <w:rsid w:val="000204AB"/>
    <w:rsid w:val="00020EA9"/>
    <w:rsid w:val="00021BB0"/>
    <w:rsid w:val="00025914"/>
    <w:rsid w:val="00026C18"/>
    <w:rsid w:val="000309CD"/>
    <w:rsid w:val="00034B1F"/>
    <w:rsid w:val="000413C8"/>
    <w:rsid w:val="00043834"/>
    <w:rsid w:val="00044F05"/>
    <w:rsid w:val="00046D37"/>
    <w:rsid w:val="00047C0B"/>
    <w:rsid w:val="0005041A"/>
    <w:rsid w:val="00052B41"/>
    <w:rsid w:val="000548F4"/>
    <w:rsid w:val="000558DD"/>
    <w:rsid w:val="00056425"/>
    <w:rsid w:val="0005737B"/>
    <w:rsid w:val="00070F36"/>
    <w:rsid w:val="00070FA9"/>
    <w:rsid w:val="000721F3"/>
    <w:rsid w:val="000741E6"/>
    <w:rsid w:val="00075261"/>
    <w:rsid w:val="00075EB6"/>
    <w:rsid w:val="00076321"/>
    <w:rsid w:val="00076C96"/>
    <w:rsid w:val="00080874"/>
    <w:rsid w:val="000815EF"/>
    <w:rsid w:val="000827F2"/>
    <w:rsid w:val="00083031"/>
    <w:rsid w:val="000847CE"/>
    <w:rsid w:val="00086545"/>
    <w:rsid w:val="000875EB"/>
    <w:rsid w:val="000912AE"/>
    <w:rsid w:val="000914EE"/>
    <w:rsid w:val="00096B55"/>
    <w:rsid w:val="000A373D"/>
    <w:rsid w:val="000A40AB"/>
    <w:rsid w:val="000A67DF"/>
    <w:rsid w:val="000B19CB"/>
    <w:rsid w:val="000B1C9E"/>
    <w:rsid w:val="000B207C"/>
    <w:rsid w:val="000B56BA"/>
    <w:rsid w:val="000B62E1"/>
    <w:rsid w:val="000B7303"/>
    <w:rsid w:val="000C052A"/>
    <w:rsid w:val="000C4DBF"/>
    <w:rsid w:val="000C5EDD"/>
    <w:rsid w:val="000D32C7"/>
    <w:rsid w:val="000D357F"/>
    <w:rsid w:val="000D521E"/>
    <w:rsid w:val="000D7CF8"/>
    <w:rsid w:val="000E1397"/>
    <w:rsid w:val="000E1FFC"/>
    <w:rsid w:val="000E2734"/>
    <w:rsid w:val="000E2D28"/>
    <w:rsid w:val="000E4451"/>
    <w:rsid w:val="000E66B1"/>
    <w:rsid w:val="000E7DCC"/>
    <w:rsid w:val="000F10FC"/>
    <w:rsid w:val="000F2604"/>
    <w:rsid w:val="000F338E"/>
    <w:rsid w:val="000F4123"/>
    <w:rsid w:val="000F4B84"/>
    <w:rsid w:val="000F4BD5"/>
    <w:rsid w:val="000F59DE"/>
    <w:rsid w:val="00101903"/>
    <w:rsid w:val="001046DD"/>
    <w:rsid w:val="00112E9F"/>
    <w:rsid w:val="001147FB"/>
    <w:rsid w:val="00116D46"/>
    <w:rsid w:val="00122964"/>
    <w:rsid w:val="00124C90"/>
    <w:rsid w:val="00125B56"/>
    <w:rsid w:val="00126640"/>
    <w:rsid w:val="00126919"/>
    <w:rsid w:val="001318C6"/>
    <w:rsid w:val="00133B2A"/>
    <w:rsid w:val="001359A2"/>
    <w:rsid w:val="00135A3A"/>
    <w:rsid w:val="001369D9"/>
    <w:rsid w:val="00137246"/>
    <w:rsid w:val="0013768C"/>
    <w:rsid w:val="001410BB"/>
    <w:rsid w:val="00143014"/>
    <w:rsid w:val="001431B0"/>
    <w:rsid w:val="001436D9"/>
    <w:rsid w:val="00144121"/>
    <w:rsid w:val="00144ADB"/>
    <w:rsid w:val="001469D0"/>
    <w:rsid w:val="0014700A"/>
    <w:rsid w:val="00147399"/>
    <w:rsid w:val="00151198"/>
    <w:rsid w:val="00151CA6"/>
    <w:rsid w:val="00152583"/>
    <w:rsid w:val="00153C9C"/>
    <w:rsid w:val="00154EEA"/>
    <w:rsid w:val="0015637A"/>
    <w:rsid w:val="0015767B"/>
    <w:rsid w:val="00157ECE"/>
    <w:rsid w:val="00163718"/>
    <w:rsid w:val="00164E8B"/>
    <w:rsid w:val="00164F24"/>
    <w:rsid w:val="001666E4"/>
    <w:rsid w:val="00173232"/>
    <w:rsid w:val="00175155"/>
    <w:rsid w:val="001754CE"/>
    <w:rsid w:val="00186CB3"/>
    <w:rsid w:val="00186CCB"/>
    <w:rsid w:val="00191752"/>
    <w:rsid w:val="00193771"/>
    <w:rsid w:val="001972D6"/>
    <w:rsid w:val="00197558"/>
    <w:rsid w:val="001A0737"/>
    <w:rsid w:val="001A0D7B"/>
    <w:rsid w:val="001A0D9A"/>
    <w:rsid w:val="001A1985"/>
    <w:rsid w:val="001A36D1"/>
    <w:rsid w:val="001A3C89"/>
    <w:rsid w:val="001A67BE"/>
    <w:rsid w:val="001A7594"/>
    <w:rsid w:val="001A7AD8"/>
    <w:rsid w:val="001B2CAA"/>
    <w:rsid w:val="001B42E4"/>
    <w:rsid w:val="001B4B2E"/>
    <w:rsid w:val="001B64CB"/>
    <w:rsid w:val="001B6CF9"/>
    <w:rsid w:val="001B6EB8"/>
    <w:rsid w:val="001C0728"/>
    <w:rsid w:val="001C175D"/>
    <w:rsid w:val="001C389D"/>
    <w:rsid w:val="001C59CC"/>
    <w:rsid w:val="001D0A77"/>
    <w:rsid w:val="001D3459"/>
    <w:rsid w:val="001D383E"/>
    <w:rsid w:val="001D3B82"/>
    <w:rsid w:val="001D698D"/>
    <w:rsid w:val="001D6B1E"/>
    <w:rsid w:val="001E2606"/>
    <w:rsid w:val="001E3A76"/>
    <w:rsid w:val="001F0134"/>
    <w:rsid w:val="001F186F"/>
    <w:rsid w:val="001F62ED"/>
    <w:rsid w:val="001F7ADF"/>
    <w:rsid w:val="00204836"/>
    <w:rsid w:val="002074D6"/>
    <w:rsid w:val="00207514"/>
    <w:rsid w:val="00212269"/>
    <w:rsid w:val="00212E84"/>
    <w:rsid w:val="00212FAB"/>
    <w:rsid w:val="0021499F"/>
    <w:rsid w:val="002163A6"/>
    <w:rsid w:val="00220D59"/>
    <w:rsid w:val="0022145D"/>
    <w:rsid w:val="00221EA4"/>
    <w:rsid w:val="00230379"/>
    <w:rsid w:val="00230A9B"/>
    <w:rsid w:val="002324E3"/>
    <w:rsid w:val="00234097"/>
    <w:rsid w:val="00234902"/>
    <w:rsid w:val="00235DD8"/>
    <w:rsid w:val="002400C8"/>
    <w:rsid w:val="00240C2F"/>
    <w:rsid w:val="0024118F"/>
    <w:rsid w:val="002411F8"/>
    <w:rsid w:val="00242E5A"/>
    <w:rsid w:val="00243158"/>
    <w:rsid w:val="002446AC"/>
    <w:rsid w:val="0024633D"/>
    <w:rsid w:val="0025063A"/>
    <w:rsid w:val="0025152A"/>
    <w:rsid w:val="00254C84"/>
    <w:rsid w:val="00256194"/>
    <w:rsid w:val="00256ED8"/>
    <w:rsid w:val="00261302"/>
    <w:rsid w:val="00264D70"/>
    <w:rsid w:val="00264EC9"/>
    <w:rsid w:val="00265145"/>
    <w:rsid w:val="002671C3"/>
    <w:rsid w:val="00267490"/>
    <w:rsid w:val="00270360"/>
    <w:rsid w:val="00272DBB"/>
    <w:rsid w:val="00280A93"/>
    <w:rsid w:val="00280B44"/>
    <w:rsid w:val="00282F07"/>
    <w:rsid w:val="00283532"/>
    <w:rsid w:val="00286985"/>
    <w:rsid w:val="002878C8"/>
    <w:rsid w:val="002907ED"/>
    <w:rsid w:val="00290C62"/>
    <w:rsid w:val="00292588"/>
    <w:rsid w:val="002936F4"/>
    <w:rsid w:val="00295C0F"/>
    <w:rsid w:val="00295E54"/>
    <w:rsid w:val="00296DA6"/>
    <w:rsid w:val="0029757F"/>
    <w:rsid w:val="002A0601"/>
    <w:rsid w:val="002A09BF"/>
    <w:rsid w:val="002A14AA"/>
    <w:rsid w:val="002A411B"/>
    <w:rsid w:val="002A6C2E"/>
    <w:rsid w:val="002A70CC"/>
    <w:rsid w:val="002B3CE6"/>
    <w:rsid w:val="002B49CC"/>
    <w:rsid w:val="002B64DB"/>
    <w:rsid w:val="002C0324"/>
    <w:rsid w:val="002C18B0"/>
    <w:rsid w:val="002C52D1"/>
    <w:rsid w:val="002C5C6A"/>
    <w:rsid w:val="002C7013"/>
    <w:rsid w:val="002C763D"/>
    <w:rsid w:val="002C77AA"/>
    <w:rsid w:val="002D0471"/>
    <w:rsid w:val="002D226D"/>
    <w:rsid w:val="002D3AC5"/>
    <w:rsid w:val="002D5CA0"/>
    <w:rsid w:val="002E2269"/>
    <w:rsid w:val="002E3DEA"/>
    <w:rsid w:val="002E4B3A"/>
    <w:rsid w:val="002E5EFC"/>
    <w:rsid w:val="002F2803"/>
    <w:rsid w:val="002F4E92"/>
    <w:rsid w:val="002F65FE"/>
    <w:rsid w:val="002F6BD0"/>
    <w:rsid w:val="002F74D5"/>
    <w:rsid w:val="00300401"/>
    <w:rsid w:val="00300474"/>
    <w:rsid w:val="0030404C"/>
    <w:rsid w:val="003071CC"/>
    <w:rsid w:val="0031170D"/>
    <w:rsid w:val="0031179F"/>
    <w:rsid w:val="00312759"/>
    <w:rsid w:val="00312FC5"/>
    <w:rsid w:val="00317120"/>
    <w:rsid w:val="0032066D"/>
    <w:rsid w:val="00321548"/>
    <w:rsid w:val="00321839"/>
    <w:rsid w:val="00323A87"/>
    <w:rsid w:val="00323C14"/>
    <w:rsid w:val="003240C0"/>
    <w:rsid w:val="003257E3"/>
    <w:rsid w:val="003271F6"/>
    <w:rsid w:val="0033130D"/>
    <w:rsid w:val="003318D8"/>
    <w:rsid w:val="003324E1"/>
    <w:rsid w:val="00332634"/>
    <w:rsid w:val="003342FE"/>
    <w:rsid w:val="00335D46"/>
    <w:rsid w:val="00337674"/>
    <w:rsid w:val="003431C2"/>
    <w:rsid w:val="00346E12"/>
    <w:rsid w:val="0035018E"/>
    <w:rsid w:val="00354148"/>
    <w:rsid w:val="00354581"/>
    <w:rsid w:val="00354E57"/>
    <w:rsid w:val="00355950"/>
    <w:rsid w:val="0035624A"/>
    <w:rsid w:val="003567FE"/>
    <w:rsid w:val="00357675"/>
    <w:rsid w:val="003643AF"/>
    <w:rsid w:val="0036487D"/>
    <w:rsid w:val="0036531D"/>
    <w:rsid w:val="00366C60"/>
    <w:rsid w:val="00366E6F"/>
    <w:rsid w:val="0036731F"/>
    <w:rsid w:val="003709C0"/>
    <w:rsid w:val="003723BB"/>
    <w:rsid w:val="00373919"/>
    <w:rsid w:val="003767EB"/>
    <w:rsid w:val="00377959"/>
    <w:rsid w:val="00377FB7"/>
    <w:rsid w:val="003830A0"/>
    <w:rsid w:val="00384588"/>
    <w:rsid w:val="00390AD5"/>
    <w:rsid w:val="003939B9"/>
    <w:rsid w:val="003959DA"/>
    <w:rsid w:val="00395EA4"/>
    <w:rsid w:val="003A2B6F"/>
    <w:rsid w:val="003B3014"/>
    <w:rsid w:val="003B3597"/>
    <w:rsid w:val="003B3B44"/>
    <w:rsid w:val="003C058E"/>
    <w:rsid w:val="003C312A"/>
    <w:rsid w:val="003C5EEA"/>
    <w:rsid w:val="003E351D"/>
    <w:rsid w:val="003E7453"/>
    <w:rsid w:val="003E791C"/>
    <w:rsid w:val="003E79E3"/>
    <w:rsid w:val="003F1A04"/>
    <w:rsid w:val="003F2197"/>
    <w:rsid w:val="003F435A"/>
    <w:rsid w:val="004024FB"/>
    <w:rsid w:val="00402D47"/>
    <w:rsid w:val="00403596"/>
    <w:rsid w:val="00403FF5"/>
    <w:rsid w:val="00412052"/>
    <w:rsid w:val="0041795C"/>
    <w:rsid w:val="00420545"/>
    <w:rsid w:val="004208CB"/>
    <w:rsid w:val="004275D9"/>
    <w:rsid w:val="004304EB"/>
    <w:rsid w:val="0043127F"/>
    <w:rsid w:val="0043160A"/>
    <w:rsid w:val="00431A03"/>
    <w:rsid w:val="00431F03"/>
    <w:rsid w:val="00432B49"/>
    <w:rsid w:val="00433500"/>
    <w:rsid w:val="00433CD8"/>
    <w:rsid w:val="00433FC2"/>
    <w:rsid w:val="00436F3F"/>
    <w:rsid w:val="00437246"/>
    <w:rsid w:val="00440AAE"/>
    <w:rsid w:val="004438F0"/>
    <w:rsid w:val="00445B21"/>
    <w:rsid w:val="004462ED"/>
    <w:rsid w:val="00450438"/>
    <w:rsid w:val="00450E6C"/>
    <w:rsid w:val="00451C7C"/>
    <w:rsid w:val="00452126"/>
    <w:rsid w:val="0045636D"/>
    <w:rsid w:val="00456B4F"/>
    <w:rsid w:val="0045745A"/>
    <w:rsid w:val="00461F61"/>
    <w:rsid w:val="0046231F"/>
    <w:rsid w:val="00465FA4"/>
    <w:rsid w:val="00466105"/>
    <w:rsid w:val="00467BC4"/>
    <w:rsid w:val="0047139A"/>
    <w:rsid w:val="00472478"/>
    <w:rsid w:val="0047313A"/>
    <w:rsid w:val="004748A1"/>
    <w:rsid w:val="00475CE3"/>
    <w:rsid w:val="00476B5C"/>
    <w:rsid w:val="004778EF"/>
    <w:rsid w:val="00482CDA"/>
    <w:rsid w:val="00483A54"/>
    <w:rsid w:val="004928B6"/>
    <w:rsid w:val="0049458D"/>
    <w:rsid w:val="00494A56"/>
    <w:rsid w:val="00494D94"/>
    <w:rsid w:val="0049524E"/>
    <w:rsid w:val="00495E9C"/>
    <w:rsid w:val="004A1956"/>
    <w:rsid w:val="004A1E93"/>
    <w:rsid w:val="004A2BEB"/>
    <w:rsid w:val="004A32D5"/>
    <w:rsid w:val="004B09A2"/>
    <w:rsid w:val="004B21A7"/>
    <w:rsid w:val="004B325A"/>
    <w:rsid w:val="004B3352"/>
    <w:rsid w:val="004B4BD3"/>
    <w:rsid w:val="004B734D"/>
    <w:rsid w:val="004B7B08"/>
    <w:rsid w:val="004C40B0"/>
    <w:rsid w:val="004C45CF"/>
    <w:rsid w:val="004C4DF0"/>
    <w:rsid w:val="004C4EBA"/>
    <w:rsid w:val="004C6EF7"/>
    <w:rsid w:val="004D031B"/>
    <w:rsid w:val="004D0930"/>
    <w:rsid w:val="004D144E"/>
    <w:rsid w:val="004D1C8E"/>
    <w:rsid w:val="004D4C5E"/>
    <w:rsid w:val="004D5E7D"/>
    <w:rsid w:val="004D65A1"/>
    <w:rsid w:val="004E1A8B"/>
    <w:rsid w:val="004E4435"/>
    <w:rsid w:val="004E51FF"/>
    <w:rsid w:val="004F3856"/>
    <w:rsid w:val="005005A2"/>
    <w:rsid w:val="0050070D"/>
    <w:rsid w:val="00502AE5"/>
    <w:rsid w:val="005036DF"/>
    <w:rsid w:val="00511AAD"/>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23CE"/>
    <w:rsid w:val="005426B3"/>
    <w:rsid w:val="00542A4E"/>
    <w:rsid w:val="00543639"/>
    <w:rsid w:val="005454BB"/>
    <w:rsid w:val="00550A3E"/>
    <w:rsid w:val="00554605"/>
    <w:rsid w:val="00556956"/>
    <w:rsid w:val="00557603"/>
    <w:rsid w:val="0056142E"/>
    <w:rsid w:val="005624D6"/>
    <w:rsid w:val="00562E16"/>
    <w:rsid w:val="00566B81"/>
    <w:rsid w:val="005721D8"/>
    <w:rsid w:val="00572F1C"/>
    <w:rsid w:val="005741AD"/>
    <w:rsid w:val="0057530B"/>
    <w:rsid w:val="00575753"/>
    <w:rsid w:val="005810F4"/>
    <w:rsid w:val="0058420C"/>
    <w:rsid w:val="00584B79"/>
    <w:rsid w:val="005868F2"/>
    <w:rsid w:val="00590126"/>
    <w:rsid w:val="00591B7D"/>
    <w:rsid w:val="005920B1"/>
    <w:rsid w:val="0059243D"/>
    <w:rsid w:val="00593811"/>
    <w:rsid w:val="00595485"/>
    <w:rsid w:val="00595979"/>
    <w:rsid w:val="00595A84"/>
    <w:rsid w:val="005A1F09"/>
    <w:rsid w:val="005A412A"/>
    <w:rsid w:val="005A46B3"/>
    <w:rsid w:val="005A48C2"/>
    <w:rsid w:val="005A6B5B"/>
    <w:rsid w:val="005A6E7E"/>
    <w:rsid w:val="005A73C5"/>
    <w:rsid w:val="005B1ACA"/>
    <w:rsid w:val="005B3345"/>
    <w:rsid w:val="005C11E3"/>
    <w:rsid w:val="005C1851"/>
    <w:rsid w:val="005C5A47"/>
    <w:rsid w:val="005C63B8"/>
    <w:rsid w:val="005C693B"/>
    <w:rsid w:val="005D0D31"/>
    <w:rsid w:val="005D223A"/>
    <w:rsid w:val="005D3FB4"/>
    <w:rsid w:val="005D5C7A"/>
    <w:rsid w:val="005D6513"/>
    <w:rsid w:val="005E49C3"/>
    <w:rsid w:val="005E5673"/>
    <w:rsid w:val="005F53B4"/>
    <w:rsid w:val="006005D5"/>
    <w:rsid w:val="00602A4E"/>
    <w:rsid w:val="0060525F"/>
    <w:rsid w:val="00605935"/>
    <w:rsid w:val="00606EBA"/>
    <w:rsid w:val="00607430"/>
    <w:rsid w:val="00610047"/>
    <w:rsid w:val="006106B8"/>
    <w:rsid w:val="006114BA"/>
    <w:rsid w:val="00611DA0"/>
    <w:rsid w:val="006132FE"/>
    <w:rsid w:val="006153B8"/>
    <w:rsid w:val="006161D6"/>
    <w:rsid w:val="006163A9"/>
    <w:rsid w:val="00621C66"/>
    <w:rsid w:val="00630028"/>
    <w:rsid w:val="00634F4C"/>
    <w:rsid w:val="00636361"/>
    <w:rsid w:val="00636EB5"/>
    <w:rsid w:val="00641115"/>
    <w:rsid w:val="00641B08"/>
    <w:rsid w:val="00643706"/>
    <w:rsid w:val="006467C5"/>
    <w:rsid w:val="00646A65"/>
    <w:rsid w:val="00646C7E"/>
    <w:rsid w:val="006554CE"/>
    <w:rsid w:val="00656CDF"/>
    <w:rsid w:val="00657D8E"/>
    <w:rsid w:val="00660283"/>
    <w:rsid w:val="006608D3"/>
    <w:rsid w:val="0066246C"/>
    <w:rsid w:val="00663B29"/>
    <w:rsid w:val="00672194"/>
    <w:rsid w:val="00674D5F"/>
    <w:rsid w:val="006764A8"/>
    <w:rsid w:val="00677CBA"/>
    <w:rsid w:val="0068060D"/>
    <w:rsid w:val="00685191"/>
    <w:rsid w:val="00686044"/>
    <w:rsid w:val="006860F0"/>
    <w:rsid w:val="006864A3"/>
    <w:rsid w:val="006906F8"/>
    <w:rsid w:val="0069141C"/>
    <w:rsid w:val="00691A1D"/>
    <w:rsid w:val="00692982"/>
    <w:rsid w:val="00692DC8"/>
    <w:rsid w:val="006A1F47"/>
    <w:rsid w:val="006A4008"/>
    <w:rsid w:val="006A6E5A"/>
    <w:rsid w:val="006B59ED"/>
    <w:rsid w:val="006B7294"/>
    <w:rsid w:val="006C1FC4"/>
    <w:rsid w:val="006C2843"/>
    <w:rsid w:val="006C2D2C"/>
    <w:rsid w:val="006C47F9"/>
    <w:rsid w:val="006C4F0F"/>
    <w:rsid w:val="006D3CDC"/>
    <w:rsid w:val="006D4F61"/>
    <w:rsid w:val="006D6E32"/>
    <w:rsid w:val="006E2D09"/>
    <w:rsid w:val="006E4844"/>
    <w:rsid w:val="006E4D73"/>
    <w:rsid w:val="006E5E2F"/>
    <w:rsid w:val="006E6393"/>
    <w:rsid w:val="006E7395"/>
    <w:rsid w:val="006F11E4"/>
    <w:rsid w:val="006F29C3"/>
    <w:rsid w:val="006F58F9"/>
    <w:rsid w:val="007011F3"/>
    <w:rsid w:val="00702128"/>
    <w:rsid w:val="00702AAF"/>
    <w:rsid w:val="00703F48"/>
    <w:rsid w:val="00705294"/>
    <w:rsid w:val="00705B84"/>
    <w:rsid w:val="0071319A"/>
    <w:rsid w:val="00714C1D"/>
    <w:rsid w:val="007249A3"/>
    <w:rsid w:val="00727879"/>
    <w:rsid w:val="00732D00"/>
    <w:rsid w:val="00733567"/>
    <w:rsid w:val="00736A8C"/>
    <w:rsid w:val="0073741E"/>
    <w:rsid w:val="00741737"/>
    <w:rsid w:val="00741D3D"/>
    <w:rsid w:val="00743520"/>
    <w:rsid w:val="007450ED"/>
    <w:rsid w:val="0074756D"/>
    <w:rsid w:val="00750B0E"/>
    <w:rsid w:val="007544F4"/>
    <w:rsid w:val="0076109D"/>
    <w:rsid w:val="00762E07"/>
    <w:rsid w:val="0076523A"/>
    <w:rsid w:val="00765AAA"/>
    <w:rsid w:val="00765D5B"/>
    <w:rsid w:val="007663FA"/>
    <w:rsid w:val="007664B6"/>
    <w:rsid w:val="007667EF"/>
    <w:rsid w:val="007672E8"/>
    <w:rsid w:val="00767E1A"/>
    <w:rsid w:val="00767F31"/>
    <w:rsid w:val="00770FDE"/>
    <w:rsid w:val="007724C0"/>
    <w:rsid w:val="00775A03"/>
    <w:rsid w:val="007811A3"/>
    <w:rsid w:val="00782FF2"/>
    <w:rsid w:val="00783308"/>
    <w:rsid w:val="00784969"/>
    <w:rsid w:val="007855EC"/>
    <w:rsid w:val="007863AC"/>
    <w:rsid w:val="00794C46"/>
    <w:rsid w:val="00794D7E"/>
    <w:rsid w:val="0079728F"/>
    <w:rsid w:val="007A3873"/>
    <w:rsid w:val="007A5966"/>
    <w:rsid w:val="007B31DC"/>
    <w:rsid w:val="007B648F"/>
    <w:rsid w:val="007B68BE"/>
    <w:rsid w:val="007C13B3"/>
    <w:rsid w:val="007C1682"/>
    <w:rsid w:val="007C42AF"/>
    <w:rsid w:val="007C7A0B"/>
    <w:rsid w:val="007D070E"/>
    <w:rsid w:val="007D11E7"/>
    <w:rsid w:val="007D168D"/>
    <w:rsid w:val="007D4F9D"/>
    <w:rsid w:val="007E4393"/>
    <w:rsid w:val="007E6554"/>
    <w:rsid w:val="007F0A81"/>
    <w:rsid w:val="007F0EF4"/>
    <w:rsid w:val="007F180F"/>
    <w:rsid w:val="007F1C8C"/>
    <w:rsid w:val="007F3FC6"/>
    <w:rsid w:val="007F46DE"/>
    <w:rsid w:val="0080213C"/>
    <w:rsid w:val="008023BA"/>
    <w:rsid w:val="00803468"/>
    <w:rsid w:val="00810A10"/>
    <w:rsid w:val="00811793"/>
    <w:rsid w:val="008122A8"/>
    <w:rsid w:val="00812690"/>
    <w:rsid w:val="00813A6D"/>
    <w:rsid w:val="00816C8F"/>
    <w:rsid w:val="00821F2A"/>
    <w:rsid w:val="008223B5"/>
    <w:rsid w:val="008279FD"/>
    <w:rsid w:val="0083365D"/>
    <w:rsid w:val="008348B6"/>
    <w:rsid w:val="00834B41"/>
    <w:rsid w:val="00835F86"/>
    <w:rsid w:val="0083745E"/>
    <w:rsid w:val="00840DF6"/>
    <w:rsid w:val="00842C06"/>
    <w:rsid w:val="00843F7B"/>
    <w:rsid w:val="0084755C"/>
    <w:rsid w:val="00847CA6"/>
    <w:rsid w:val="00855605"/>
    <w:rsid w:val="00856BF6"/>
    <w:rsid w:val="00863977"/>
    <w:rsid w:val="008646D3"/>
    <w:rsid w:val="00864FE0"/>
    <w:rsid w:val="008676DC"/>
    <w:rsid w:val="00870FA7"/>
    <w:rsid w:val="00871BF2"/>
    <w:rsid w:val="008724A6"/>
    <w:rsid w:val="00872ADC"/>
    <w:rsid w:val="0087480B"/>
    <w:rsid w:val="00874CB4"/>
    <w:rsid w:val="008764AD"/>
    <w:rsid w:val="00877891"/>
    <w:rsid w:val="00877CAB"/>
    <w:rsid w:val="008832AA"/>
    <w:rsid w:val="00883931"/>
    <w:rsid w:val="00883D13"/>
    <w:rsid w:val="00885777"/>
    <w:rsid w:val="008859AF"/>
    <w:rsid w:val="0088690D"/>
    <w:rsid w:val="00897BAC"/>
    <w:rsid w:val="008A00BB"/>
    <w:rsid w:val="008A63E8"/>
    <w:rsid w:val="008A6C30"/>
    <w:rsid w:val="008B0414"/>
    <w:rsid w:val="008B2E0E"/>
    <w:rsid w:val="008B5D15"/>
    <w:rsid w:val="008C01E5"/>
    <w:rsid w:val="008C113A"/>
    <w:rsid w:val="008C739C"/>
    <w:rsid w:val="008C7D4A"/>
    <w:rsid w:val="008D07A7"/>
    <w:rsid w:val="008D2197"/>
    <w:rsid w:val="008D21B3"/>
    <w:rsid w:val="008D23F7"/>
    <w:rsid w:val="008D4DA1"/>
    <w:rsid w:val="008E3E5C"/>
    <w:rsid w:val="008E4914"/>
    <w:rsid w:val="008E7CE9"/>
    <w:rsid w:val="008F1DF5"/>
    <w:rsid w:val="008F48FC"/>
    <w:rsid w:val="008F5512"/>
    <w:rsid w:val="0090041A"/>
    <w:rsid w:val="00903A18"/>
    <w:rsid w:val="00905256"/>
    <w:rsid w:val="009119BA"/>
    <w:rsid w:val="00911C1E"/>
    <w:rsid w:val="009123CB"/>
    <w:rsid w:val="00912646"/>
    <w:rsid w:val="009142B4"/>
    <w:rsid w:val="009179C5"/>
    <w:rsid w:val="00922577"/>
    <w:rsid w:val="009256ED"/>
    <w:rsid w:val="00926A1A"/>
    <w:rsid w:val="009275BC"/>
    <w:rsid w:val="00927A85"/>
    <w:rsid w:val="009361C7"/>
    <w:rsid w:val="0093673C"/>
    <w:rsid w:val="00936A8B"/>
    <w:rsid w:val="00940ADB"/>
    <w:rsid w:val="00942C6A"/>
    <w:rsid w:val="009435E6"/>
    <w:rsid w:val="00947A01"/>
    <w:rsid w:val="00953A3F"/>
    <w:rsid w:val="0095418A"/>
    <w:rsid w:val="00954A9F"/>
    <w:rsid w:val="00954BE3"/>
    <w:rsid w:val="009550BB"/>
    <w:rsid w:val="00957520"/>
    <w:rsid w:val="00957B72"/>
    <w:rsid w:val="009609D9"/>
    <w:rsid w:val="00961E9C"/>
    <w:rsid w:val="00962EF8"/>
    <w:rsid w:val="009631D2"/>
    <w:rsid w:val="00971C4F"/>
    <w:rsid w:val="00972326"/>
    <w:rsid w:val="00973E9A"/>
    <w:rsid w:val="0097424B"/>
    <w:rsid w:val="00980CFB"/>
    <w:rsid w:val="009816AC"/>
    <w:rsid w:val="00982A9C"/>
    <w:rsid w:val="0098685A"/>
    <w:rsid w:val="009869A3"/>
    <w:rsid w:val="00992A29"/>
    <w:rsid w:val="0099362B"/>
    <w:rsid w:val="0099615B"/>
    <w:rsid w:val="009A0E5C"/>
    <w:rsid w:val="009A18D3"/>
    <w:rsid w:val="009A1FCE"/>
    <w:rsid w:val="009A25DB"/>
    <w:rsid w:val="009A4869"/>
    <w:rsid w:val="009B0668"/>
    <w:rsid w:val="009B23D6"/>
    <w:rsid w:val="009B296F"/>
    <w:rsid w:val="009B33E8"/>
    <w:rsid w:val="009B3D47"/>
    <w:rsid w:val="009B3E6C"/>
    <w:rsid w:val="009C4BCA"/>
    <w:rsid w:val="009C60B2"/>
    <w:rsid w:val="009D10F6"/>
    <w:rsid w:val="009D3535"/>
    <w:rsid w:val="009E12DB"/>
    <w:rsid w:val="009E29F0"/>
    <w:rsid w:val="009E7547"/>
    <w:rsid w:val="009F07E4"/>
    <w:rsid w:val="009F2418"/>
    <w:rsid w:val="009F25B0"/>
    <w:rsid w:val="009F2B3D"/>
    <w:rsid w:val="00A019FB"/>
    <w:rsid w:val="00A02814"/>
    <w:rsid w:val="00A02FFE"/>
    <w:rsid w:val="00A032C7"/>
    <w:rsid w:val="00A04748"/>
    <w:rsid w:val="00A0505C"/>
    <w:rsid w:val="00A06EF4"/>
    <w:rsid w:val="00A107E0"/>
    <w:rsid w:val="00A12853"/>
    <w:rsid w:val="00A13CFF"/>
    <w:rsid w:val="00A15D6E"/>
    <w:rsid w:val="00A205AE"/>
    <w:rsid w:val="00A23AEE"/>
    <w:rsid w:val="00A259F1"/>
    <w:rsid w:val="00A26D74"/>
    <w:rsid w:val="00A278E0"/>
    <w:rsid w:val="00A33373"/>
    <w:rsid w:val="00A3387D"/>
    <w:rsid w:val="00A36487"/>
    <w:rsid w:val="00A36CDE"/>
    <w:rsid w:val="00A36ECD"/>
    <w:rsid w:val="00A37881"/>
    <w:rsid w:val="00A379AF"/>
    <w:rsid w:val="00A40011"/>
    <w:rsid w:val="00A44813"/>
    <w:rsid w:val="00A44E7F"/>
    <w:rsid w:val="00A4523B"/>
    <w:rsid w:val="00A461FD"/>
    <w:rsid w:val="00A46277"/>
    <w:rsid w:val="00A467F0"/>
    <w:rsid w:val="00A5025E"/>
    <w:rsid w:val="00A50C95"/>
    <w:rsid w:val="00A52136"/>
    <w:rsid w:val="00A5660C"/>
    <w:rsid w:val="00A56EBF"/>
    <w:rsid w:val="00A6084E"/>
    <w:rsid w:val="00A60B39"/>
    <w:rsid w:val="00A61324"/>
    <w:rsid w:val="00A63631"/>
    <w:rsid w:val="00A65ABD"/>
    <w:rsid w:val="00A668AC"/>
    <w:rsid w:val="00A67D7D"/>
    <w:rsid w:val="00A71E48"/>
    <w:rsid w:val="00A72464"/>
    <w:rsid w:val="00A747D1"/>
    <w:rsid w:val="00A75DF9"/>
    <w:rsid w:val="00A76301"/>
    <w:rsid w:val="00A77C0F"/>
    <w:rsid w:val="00A818F2"/>
    <w:rsid w:val="00A82D10"/>
    <w:rsid w:val="00A842C9"/>
    <w:rsid w:val="00A84C5C"/>
    <w:rsid w:val="00A86BD3"/>
    <w:rsid w:val="00A926E5"/>
    <w:rsid w:val="00A93243"/>
    <w:rsid w:val="00A943E8"/>
    <w:rsid w:val="00A94D8E"/>
    <w:rsid w:val="00A96BB0"/>
    <w:rsid w:val="00A97E3C"/>
    <w:rsid w:val="00AA2380"/>
    <w:rsid w:val="00AA2457"/>
    <w:rsid w:val="00AA3A1B"/>
    <w:rsid w:val="00AB1688"/>
    <w:rsid w:val="00AB39A6"/>
    <w:rsid w:val="00AB49F7"/>
    <w:rsid w:val="00AB4B2A"/>
    <w:rsid w:val="00AB5F8C"/>
    <w:rsid w:val="00AB7D41"/>
    <w:rsid w:val="00AC10E4"/>
    <w:rsid w:val="00AC1268"/>
    <w:rsid w:val="00AC5CAF"/>
    <w:rsid w:val="00AC6171"/>
    <w:rsid w:val="00AC6198"/>
    <w:rsid w:val="00AD0202"/>
    <w:rsid w:val="00AD2163"/>
    <w:rsid w:val="00AD4B62"/>
    <w:rsid w:val="00AD5A71"/>
    <w:rsid w:val="00AE3367"/>
    <w:rsid w:val="00AE3A04"/>
    <w:rsid w:val="00AE6122"/>
    <w:rsid w:val="00AF06E1"/>
    <w:rsid w:val="00AF117B"/>
    <w:rsid w:val="00AF1555"/>
    <w:rsid w:val="00AF3976"/>
    <w:rsid w:val="00AF511A"/>
    <w:rsid w:val="00B051B8"/>
    <w:rsid w:val="00B054B5"/>
    <w:rsid w:val="00B05761"/>
    <w:rsid w:val="00B11D9E"/>
    <w:rsid w:val="00B1364A"/>
    <w:rsid w:val="00B1378C"/>
    <w:rsid w:val="00B162D1"/>
    <w:rsid w:val="00B20B3A"/>
    <w:rsid w:val="00B21115"/>
    <w:rsid w:val="00B22906"/>
    <w:rsid w:val="00B22AAE"/>
    <w:rsid w:val="00B22CB2"/>
    <w:rsid w:val="00B25CBE"/>
    <w:rsid w:val="00B26966"/>
    <w:rsid w:val="00B312FC"/>
    <w:rsid w:val="00B40040"/>
    <w:rsid w:val="00B4120F"/>
    <w:rsid w:val="00B41261"/>
    <w:rsid w:val="00B42B26"/>
    <w:rsid w:val="00B435C4"/>
    <w:rsid w:val="00B43F06"/>
    <w:rsid w:val="00B452FC"/>
    <w:rsid w:val="00B457FD"/>
    <w:rsid w:val="00B517EC"/>
    <w:rsid w:val="00B53BD3"/>
    <w:rsid w:val="00B540E5"/>
    <w:rsid w:val="00B54FE9"/>
    <w:rsid w:val="00B57360"/>
    <w:rsid w:val="00B65088"/>
    <w:rsid w:val="00B65744"/>
    <w:rsid w:val="00B65C7C"/>
    <w:rsid w:val="00B675EB"/>
    <w:rsid w:val="00B67FBA"/>
    <w:rsid w:val="00B70243"/>
    <w:rsid w:val="00B71DD8"/>
    <w:rsid w:val="00B721B1"/>
    <w:rsid w:val="00B75ABD"/>
    <w:rsid w:val="00B83606"/>
    <w:rsid w:val="00B87D1B"/>
    <w:rsid w:val="00B903EC"/>
    <w:rsid w:val="00B91AAC"/>
    <w:rsid w:val="00B94386"/>
    <w:rsid w:val="00B95364"/>
    <w:rsid w:val="00B958EB"/>
    <w:rsid w:val="00B96227"/>
    <w:rsid w:val="00B9665D"/>
    <w:rsid w:val="00B977F0"/>
    <w:rsid w:val="00BA18BD"/>
    <w:rsid w:val="00BA24CA"/>
    <w:rsid w:val="00BA4CB0"/>
    <w:rsid w:val="00BA5501"/>
    <w:rsid w:val="00BA5965"/>
    <w:rsid w:val="00BC0DA7"/>
    <w:rsid w:val="00BC3767"/>
    <w:rsid w:val="00BC38B1"/>
    <w:rsid w:val="00BC3BA3"/>
    <w:rsid w:val="00BC3FA4"/>
    <w:rsid w:val="00BC4C03"/>
    <w:rsid w:val="00BC504A"/>
    <w:rsid w:val="00BD0A08"/>
    <w:rsid w:val="00BD24C2"/>
    <w:rsid w:val="00BE1CBA"/>
    <w:rsid w:val="00BE27EC"/>
    <w:rsid w:val="00BE7BCC"/>
    <w:rsid w:val="00BF0AEE"/>
    <w:rsid w:val="00BF144F"/>
    <w:rsid w:val="00BF1817"/>
    <w:rsid w:val="00BF1FF8"/>
    <w:rsid w:val="00BF412D"/>
    <w:rsid w:val="00BF458E"/>
    <w:rsid w:val="00BF5581"/>
    <w:rsid w:val="00BF57AD"/>
    <w:rsid w:val="00BF58D5"/>
    <w:rsid w:val="00BF6D3C"/>
    <w:rsid w:val="00BF6F8C"/>
    <w:rsid w:val="00C0576C"/>
    <w:rsid w:val="00C061C1"/>
    <w:rsid w:val="00C06786"/>
    <w:rsid w:val="00C12268"/>
    <w:rsid w:val="00C15982"/>
    <w:rsid w:val="00C168CD"/>
    <w:rsid w:val="00C200A7"/>
    <w:rsid w:val="00C20C85"/>
    <w:rsid w:val="00C2279F"/>
    <w:rsid w:val="00C2341B"/>
    <w:rsid w:val="00C238C0"/>
    <w:rsid w:val="00C24C4E"/>
    <w:rsid w:val="00C24CB9"/>
    <w:rsid w:val="00C255BB"/>
    <w:rsid w:val="00C30558"/>
    <w:rsid w:val="00C31B06"/>
    <w:rsid w:val="00C33392"/>
    <w:rsid w:val="00C3446A"/>
    <w:rsid w:val="00C346F1"/>
    <w:rsid w:val="00C41023"/>
    <w:rsid w:val="00C41B94"/>
    <w:rsid w:val="00C43538"/>
    <w:rsid w:val="00C444A4"/>
    <w:rsid w:val="00C449B2"/>
    <w:rsid w:val="00C470E9"/>
    <w:rsid w:val="00C52CD9"/>
    <w:rsid w:val="00C5662D"/>
    <w:rsid w:val="00C60A1F"/>
    <w:rsid w:val="00C60FC7"/>
    <w:rsid w:val="00C61062"/>
    <w:rsid w:val="00C61189"/>
    <w:rsid w:val="00C63285"/>
    <w:rsid w:val="00C64465"/>
    <w:rsid w:val="00C65CE8"/>
    <w:rsid w:val="00C65FB1"/>
    <w:rsid w:val="00C72EDA"/>
    <w:rsid w:val="00C733CB"/>
    <w:rsid w:val="00C7439A"/>
    <w:rsid w:val="00C7646A"/>
    <w:rsid w:val="00C806B7"/>
    <w:rsid w:val="00C814E0"/>
    <w:rsid w:val="00C83061"/>
    <w:rsid w:val="00C83632"/>
    <w:rsid w:val="00C842C4"/>
    <w:rsid w:val="00C87BE7"/>
    <w:rsid w:val="00C87ECB"/>
    <w:rsid w:val="00C87F34"/>
    <w:rsid w:val="00C90334"/>
    <w:rsid w:val="00C93845"/>
    <w:rsid w:val="00C967BC"/>
    <w:rsid w:val="00C97484"/>
    <w:rsid w:val="00C97D1E"/>
    <w:rsid w:val="00CA06B9"/>
    <w:rsid w:val="00CA0C24"/>
    <w:rsid w:val="00CA42B5"/>
    <w:rsid w:val="00CA6386"/>
    <w:rsid w:val="00CA689E"/>
    <w:rsid w:val="00CB688B"/>
    <w:rsid w:val="00CC039A"/>
    <w:rsid w:val="00CC0943"/>
    <w:rsid w:val="00CC37D4"/>
    <w:rsid w:val="00CC4283"/>
    <w:rsid w:val="00CC4A96"/>
    <w:rsid w:val="00CC4BFD"/>
    <w:rsid w:val="00CC7AAD"/>
    <w:rsid w:val="00CD32C0"/>
    <w:rsid w:val="00CD44A5"/>
    <w:rsid w:val="00CD6364"/>
    <w:rsid w:val="00CD7EFA"/>
    <w:rsid w:val="00CE00F7"/>
    <w:rsid w:val="00CE030F"/>
    <w:rsid w:val="00CE063F"/>
    <w:rsid w:val="00CE08E3"/>
    <w:rsid w:val="00CE1215"/>
    <w:rsid w:val="00CE3535"/>
    <w:rsid w:val="00CE5592"/>
    <w:rsid w:val="00CF06A5"/>
    <w:rsid w:val="00CF2499"/>
    <w:rsid w:val="00CF42CC"/>
    <w:rsid w:val="00CF688D"/>
    <w:rsid w:val="00D00A9C"/>
    <w:rsid w:val="00D01948"/>
    <w:rsid w:val="00D024F1"/>
    <w:rsid w:val="00D05AD3"/>
    <w:rsid w:val="00D11365"/>
    <w:rsid w:val="00D11C8C"/>
    <w:rsid w:val="00D16116"/>
    <w:rsid w:val="00D16C06"/>
    <w:rsid w:val="00D21925"/>
    <w:rsid w:val="00D224DC"/>
    <w:rsid w:val="00D2548B"/>
    <w:rsid w:val="00D31522"/>
    <w:rsid w:val="00D31C27"/>
    <w:rsid w:val="00D32CF2"/>
    <w:rsid w:val="00D36F4D"/>
    <w:rsid w:val="00D403F1"/>
    <w:rsid w:val="00D434A6"/>
    <w:rsid w:val="00D4383B"/>
    <w:rsid w:val="00D45304"/>
    <w:rsid w:val="00D458F8"/>
    <w:rsid w:val="00D46330"/>
    <w:rsid w:val="00D5012E"/>
    <w:rsid w:val="00D50358"/>
    <w:rsid w:val="00D50975"/>
    <w:rsid w:val="00D548D4"/>
    <w:rsid w:val="00D54F43"/>
    <w:rsid w:val="00D554F5"/>
    <w:rsid w:val="00D56432"/>
    <w:rsid w:val="00D5668F"/>
    <w:rsid w:val="00D56A10"/>
    <w:rsid w:val="00D62F80"/>
    <w:rsid w:val="00D65797"/>
    <w:rsid w:val="00D67616"/>
    <w:rsid w:val="00D73839"/>
    <w:rsid w:val="00D73A2F"/>
    <w:rsid w:val="00D74899"/>
    <w:rsid w:val="00D749F7"/>
    <w:rsid w:val="00D74FAA"/>
    <w:rsid w:val="00D820AF"/>
    <w:rsid w:val="00D82434"/>
    <w:rsid w:val="00D843AE"/>
    <w:rsid w:val="00D85383"/>
    <w:rsid w:val="00D85972"/>
    <w:rsid w:val="00D85F7A"/>
    <w:rsid w:val="00D863FD"/>
    <w:rsid w:val="00D867F7"/>
    <w:rsid w:val="00D91EDB"/>
    <w:rsid w:val="00D96A10"/>
    <w:rsid w:val="00DA293E"/>
    <w:rsid w:val="00DA37E0"/>
    <w:rsid w:val="00DA4B02"/>
    <w:rsid w:val="00DA56B5"/>
    <w:rsid w:val="00DA7CE9"/>
    <w:rsid w:val="00DB13CC"/>
    <w:rsid w:val="00DB13DA"/>
    <w:rsid w:val="00DB3210"/>
    <w:rsid w:val="00DB5C83"/>
    <w:rsid w:val="00DB666C"/>
    <w:rsid w:val="00DC4648"/>
    <w:rsid w:val="00DC5CCC"/>
    <w:rsid w:val="00DC6F3B"/>
    <w:rsid w:val="00DC7174"/>
    <w:rsid w:val="00DD1867"/>
    <w:rsid w:val="00DD375E"/>
    <w:rsid w:val="00DD4015"/>
    <w:rsid w:val="00DD42F7"/>
    <w:rsid w:val="00DD5353"/>
    <w:rsid w:val="00DE0265"/>
    <w:rsid w:val="00DE0CF3"/>
    <w:rsid w:val="00DE2A58"/>
    <w:rsid w:val="00DE5282"/>
    <w:rsid w:val="00DE58C5"/>
    <w:rsid w:val="00DE5E0D"/>
    <w:rsid w:val="00DE7074"/>
    <w:rsid w:val="00DF0ADF"/>
    <w:rsid w:val="00DF0E14"/>
    <w:rsid w:val="00DF10B7"/>
    <w:rsid w:val="00DF2830"/>
    <w:rsid w:val="00DF2CF4"/>
    <w:rsid w:val="00E021A8"/>
    <w:rsid w:val="00E06B6F"/>
    <w:rsid w:val="00E074E1"/>
    <w:rsid w:val="00E07CAD"/>
    <w:rsid w:val="00E114E3"/>
    <w:rsid w:val="00E168ED"/>
    <w:rsid w:val="00E2095D"/>
    <w:rsid w:val="00E2477A"/>
    <w:rsid w:val="00E3133C"/>
    <w:rsid w:val="00E31548"/>
    <w:rsid w:val="00E31573"/>
    <w:rsid w:val="00E31C76"/>
    <w:rsid w:val="00E322B0"/>
    <w:rsid w:val="00E3282E"/>
    <w:rsid w:val="00E33295"/>
    <w:rsid w:val="00E36483"/>
    <w:rsid w:val="00E401C1"/>
    <w:rsid w:val="00E40FC4"/>
    <w:rsid w:val="00E430E3"/>
    <w:rsid w:val="00E43EDE"/>
    <w:rsid w:val="00E448C5"/>
    <w:rsid w:val="00E45A54"/>
    <w:rsid w:val="00E45A5B"/>
    <w:rsid w:val="00E45F5E"/>
    <w:rsid w:val="00E54D40"/>
    <w:rsid w:val="00E61700"/>
    <w:rsid w:val="00E669EE"/>
    <w:rsid w:val="00E70EDC"/>
    <w:rsid w:val="00E712F3"/>
    <w:rsid w:val="00E7140A"/>
    <w:rsid w:val="00E727F1"/>
    <w:rsid w:val="00E739B0"/>
    <w:rsid w:val="00E75780"/>
    <w:rsid w:val="00E7657C"/>
    <w:rsid w:val="00E82FB6"/>
    <w:rsid w:val="00E84D07"/>
    <w:rsid w:val="00E868AD"/>
    <w:rsid w:val="00E871B8"/>
    <w:rsid w:val="00E90D41"/>
    <w:rsid w:val="00E94D5C"/>
    <w:rsid w:val="00EA0964"/>
    <w:rsid w:val="00EA1CDC"/>
    <w:rsid w:val="00EA2B35"/>
    <w:rsid w:val="00EA3AAE"/>
    <w:rsid w:val="00EA4245"/>
    <w:rsid w:val="00EA4A58"/>
    <w:rsid w:val="00EA6554"/>
    <w:rsid w:val="00EA7A8F"/>
    <w:rsid w:val="00EB6204"/>
    <w:rsid w:val="00EC1EFA"/>
    <w:rsid w:val="00EC28A5"/>
    <w:rsid w:val="00EC4F78"/>
    <w:rsid w:val="00EC5326"/>
    <w:rsid w:val="00ED105A"/>
    <w:rsid w:val="00ED16AE"/>
    <w:rsid w:val="00ED1C32"/>
    <w:rsid w:val="00ED37D7"/>
    <w:rsid w:val="00ED7CB1"/>
    <w:rsid w:val="00EE0FEE"/>
    <w:rsid w:val="00EE2C03"/>
    <w:rsid w:val="00EE32D5"/>
    <w:rsid w:val="00EE39AF"/>
    <w:rsid w:val="00EE3E9B"/>
    <w:rsid w:val="00EE4E65"/>
    <w:rsid w:val="00EE74AB"/>
    <w:rsid w:val="00EE7D91"/>
    <w:rsid w:val="00EF0CE1"/>
    <w:rsid w:val="00EF18D7"/>
    <w:rsid w:val="00EF227F"/>
    <w:rsid w:val="00F04404"/>
    <w:rsid w:val="00F04AC0"/>
    <w:rsid w:val="00F05BA1"/>
    <w:rsid w:val="00F0716E"/>
    <w:rsid w:val="00F110D7"/>
    <w:rsid w:val="00F125A6"/>
    <w:rsid w:val="00F13F3F"/>
    <w:rsid w:val="00F16DBB"/>
    <w:rsid w:val="00F20275"/>
    <w:rsid w:val="00F20D36"/>
    <w:rsid w:val="00F21534"/>
    <w:rsid w:val="00F2187C"/>
    <w:rsid w:val="00F224F1"/>
    <w:rsid w:val="00F22BB6"/>
    <w:rsid w:val="00F25E29"/>
    <w:rsid w:val="00F266B0"/>
    <w:rsid w:val="00F27226"/>
    <w:rsid w:val="00F33E1A"/>
    <w:rsid w:val="00F37847"/>
    <w:rsid w:val="00F37FDA"/>
    <w:rsid w:val="00F40A0D"/>
    <w:rsid w:val="00F40E07"/>
    <w:rsid w:val="00F42AA1"/>
    <w:rsid w:val="00F43B77"/>
    <w:rsid w:val="00F442D3"/>
    <w:rsid w:val="00F46AB6"/>
    <w:rsid w:val="00F50B79"/>
    <w:rsid w:val="00F53187"/>
    <w:rsid w:val="00F5567D"/>
    <w:rsid w:val="00F563A2"/>
    <w:rsid w:val="00F57E20"/>
    <w:rsid w:val="00F63E84"/>
    <w:rsid w:val="00F70ADA"/>
    <w:rsid w:val="00F73B78"/>
    <w:rsid w:val="00F75710"/>
    <w:rsid w:val="00F759AE"/>
    <w:rsid w:val="00F76181"/>
    <w:rsid w:val="00F76594"/>
    <w:rsid w:val="00F77A92"/>
    <w:rsid w:val="00F862C7"/>
    <w:rsid w:val="00F866DD"/>
    <w:rsid w:val="00F87F2E"/>
    <w:rsid w:val="00F90BF2"/>
    <w:rsid w:val="00F90EA8"/>
    <w:rsid w:val="00F90F12"/>
    <w:rsid w:val="00F91862"/>
    <w:rsid w:val="00F93BE5"/>
    <w:rsid w:val="00FA1698"/>
    <w:rsid w:val="00FA2B0A"/>
    <w:rsid w:val="00FA4194"/>
    <w:rsid w:val="00FA4FB3"/>
    <w:rsid w:val="00FA6E7C"/>
    <w:rsid w:val="00FB0208"/>
    <w:rsid w:val="00FB0CF8"/>
    <w:rsid w:val="00FB264D"/>
    <w:rsid w:val="00FB2C20"/>
    <w:rsid w:val="00FB31C3"/>
    <w:rsid w:val="00FB32A6"/>
    <w:rsid w:val="00FB420B"/>
    <w:rsid w:val="00FC0B9E"/>
    <w:rsid w:val="00FD0BAE"/>
    <w:rsid w:val="00FD1D03"/>
    <w:rsid w:val="00FD2846"/>
    <w:rsid w:val="00FD6102"/>
    <w:rsid w:val="00FE07C6"/>
    <w:rsid w:val="00FE0B36"/>
    <w:rsid w:val="00FE1E1A"/>
    <w:rsid w:val="00FE35FE"/>
    <w:rsid w:val="00FE6EE5"/>
    <w:rsid w:val="00FF1FC7"/>
    <w:rsid w:val="00FF269B"/>
    <w:rsid w:val="00FF4468"/>
    <w:rsid w:val="00FF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4.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7403</TotalTime>
  <Pages>1</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6</cp:revision>
  <dcterms:created xsi:type="dcterms:W3CDTF">2022-01-19T16:58:00Z</dcterms:created>
  <dcterms:modified xsi:type="dcterms:W3CDTF">2022-01-24T20:20:00Z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ies>
</file>