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04DFB040" w:rsidR="00354581" w:rsidRDefault="007B13A8">
      <w:pPr>
        <w:spacing w:line="288" w:lineRule="auto"/>
        <w:jc w:val="center"/>
        <w:rPr>
          <w:rFonts w:ascii="Arial" w:eastAsia="Arial" w:hAnsi="Arial" w:cs="Arial"/>
          <w:b/>
          <w:sz w:val="24"/>
        </w:rPr>
      </w:pPr>
      <w:r>
        <w:rPr>
          <w:rFonts w:ascii="Arial" w:eastAsia="Arial" w:hAnsi="Arial" w:cs="Arial"/>
          <w:b/>
          <w:sz w:val="24"/>
        </w:rPr>
        <w:t>January 25</w:t>
      </w:r>
      <w:r w:rsidR="008D21B3">
        <w:rPr>
          <w:rFonts w:ascii="Arial" w:eastAsia="Arial" w:hAnsi="Arial" w:cs="Arial"/>
          <w:b/>
          <w:sz w:val="24"/>
        </w:rPr>
        <w:t>, 202</w:t>
      </w:r>
      <w:r>
        <w:rPr>
          <w:rFonts w:ascii="Arial" w:eastAsia="Arial" w:hAnsi="Arial" w:cs="Arial"/>
          <w:b/>
          <w:sz w:val="24"/>
        </w:rPr>
        <w:t>3</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7E6120F6"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E43BB4">
        <w:rPr>
          <w:rFonts w:ascii="Arial" w:eastAsia="Arial" w:hAnsi="Arial" w:cs="Arial"/>
          <w:sz w:val="22"/>
        </w:rPr>
        <w:t xml:space="preserve">Brian Bracey,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w:t>
      </w:r>
      <w:r w:rsidR="00FD4FC0">
        <w:rPr>
          <w:rFonts w:ascii="Arial" w:eastAsia="Arial" w:hAnsi="Arial" w:cs="Arial"/>
          <w:sz w:val="22"/>
        </w:rPr>
        <w:t xml:space="preserve">Jenifer Liu, </w:t>
      </w:r>
      <w:r w:rsidR="00E61700">
        <w:rPr>
          <w:rFonts w:ascii="Arial" w:eastAsia="Arial" w:hAnsi="Arial" w:cs="Arial"/>
          <w:sz w:val="22"/>
        </w:rPr>
        <w:t>Charles Kessler</w:t>
      </w:r>
      <w:r w:rsidR="005D009B">
        <w:rPr>
          <w:rFonts w:ascii="Arial" w:eastAsia="Arial" w:hAnsi="Arial" w:cs="Arial"/>
          <w:sz w:val="22"/>
        </w:rPr>
        <w:t>,</w:t>
      </w:r>
      <w:r w:rsidR="00E61700">
        <w:rPr>
          <w:rFonts w:ascii="Arial" w:eastAsia="Arial" w:hAnsi="Arial" w:cs="Arial"/>
          <w:sz w:val="22"/>
        </w:rPr>
        <w:t xml:space="preserve"> </w:t>
      </w:r>
      <w:r w:rsidR="005D009B">
        <w:rPr>
          <w:rFonts w:ascii="Arial" w:eastAsia="Arial" w:hAnsi="Arial" w:cs="Arial"/>
          <w:sz w:val="22"/>
        </w:rPr>
        <w:t>Pranav Ghai</w:t>
      </w:r>
      <w:r w:rsidR="00B21073">
        <w:rPr>
          <w:rFonts w:ascii="Arial" w:eastAsia="Arial" w:hAnsi="Arial" w:cs="Arial"/>
          <w:sz w:val="22"/>
        </w:rPr>
        <w:t>,</w:t>
      </w:r>
      <w:r w:rsidR="00B21073" w:rsidRPr="00B21073">
        <w:rPr>
          <w:rFonts w:ascii="Arial" w:eastAsia="Arial" w:hAnsi="Arial" w:cs="Arial"/>
          <w:sz w:val="22"/>
        </w:rPr>
        <w:t xml:space="preserve"> </w:t>
      </w:r>
      <w:r w:rsidR="00B21073">
        <w:rPr>
          <w:rFonts w:ascii="Arial" w:eastAsia="Arial" w:hAnsi="Arial" w:cs="Arial"/>
          <w:sz w:val="22"/>
        </w:rPr>
        <w:t>Glad Sully</w:t>
      </w:r>
      <w:r w:rsidR="009614AD">
        <w:rPr>
          <w:rFonts w:ascii="Arial" w:eastAsia="Arial" w:hAnsi="Arial" w:cs="Arial"/>
          <w:sz w:val="22"/>
        </w:rPr>
        <w:t>,</w:t>
      </w:r>
      <w:r w:rsidR="009614AD" w:rsidRPr="009614AD">
        <w:rPr>
          <w:rFonts w:ascii="Arial" w:eastAsia="Arial" w:hAnsi="Arial" w:cs="Arial"/>
          <w:sz w:val="22"/>
        </w:rPr>
        <w:t xml:space="preserve"> </w:t>
      </w:r>
      <w:r w:rsidR="009614AD">
        <w:rPr>
          <w:rFonts w:ascii="Arial" w:eastAsia="Arial" w:hAnsi="Arial" w:cs="Arial"/>
          <w:sz w:val="22"/>
        </w:rPr>
        <w:t>Mohini Singh</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43F4D928"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9614AD">
        <w:rPr>
          <w:rFonts w:ascii="Arial" w:eastAsia="Arial" w:hAnsi="Arial" w:cs="Arial"/>
          <w:sz w:val="22"/>
        </w:rPr>
        <w:t xml:space="preserve">Amit </w:t>
      </w:r>
      <w:r w:rsidR="004C6609">
        <w:rPr>
          <w:rFonts w:ascii="Arial" w:eastAsia="Arial" w:hAnsi="Arial" w:cs="Arial"/>
          <w:sz w:val="22"/>
        </w:rPr>
        <w:t>Varshney</w:t>
      </w:r>
      <w:r w:rsidR="00817CA9" w:rsidRPr="00EE1E30">
        <w:rPr>
          <w:rFonts w:ascii="Arial" w:eastAsia="Arial" w:hAnsi="Arial" w:cs="Arial"/>
          <w:sz w:val="22"/>
        </w:rPr>
        <w:t xml:space="preserve"> </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6C176038"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DC6B57">
        <w:rPr>
          <w:rFonts w:ascii="Arial" w:eastAsia="Arial" w:hAnsi="Arial" w:cs="Arial"/>
          <w:sz w:val="22"/>
        </w:rPr>
        <w:t xml:space="preserve"> </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33A0D033" w:rsidR="00354581" w:rsidRDefault="00D72ECD">
      <w:pPr>
        <w:spacing w:line="332" w:lineRule="auto"/>
        <w:rPr>
          <w:rFonts w:ascii="Arial" w:eastAsia="Arial" w:hAnsi="Arial" w:cs="Arial"/>
          <w:sz w:val="22"/>
        </w:rPr>
      </w:pPr>
      <w:r>
        <w:rPr>
          <w:rFonts w:ascii="Arial" w:eastAsia="Arial" w:hAnsi="Arial" w:cs="Arial"/>
          <w:sz w:val="22"/>
        </w:rPr>
        <w:t>Louis Matherne</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35EEFAD5"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w:t>
      </w:r>
      <w:r w:rsidR="0007102A">
        <w:t xml:space="preserve">and </w:t>
      </w:r>
      <w:r w:rsidR="008B3A60">
        <w:t>introduced new Committee member Brian Bracey</w:t>
      </w:r>
      <w:r w:rsidR="009614AD" w:rsidRPr="009614AD">
        <w:t xml:space="preserve"> </w:t>
      </w:r>
      <w:r w:rsidR="009614AD">
        <w:t>from CIGNA. Shelly introduced the agenda</w:t>
      </w:r>
      <w:r w:rsidR="00A15D6E">
        <w:t>.</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71AF7667"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8B3A60">
        <w:rPr>
          <w:rFonts w:eastAsia="Times New Roman"/>
        </w:rPr>
        <w:t>September 21</w:t>
      </w:r>
      <w:r w:rsidR="004D0930">
        <w:rPr>
          <w:rFonts w:eastAsia="Times New Roman"/>
        </w:rPr>
        <w:t>, 20</w:t>
      </w:r>
      <w:r w:rsidR="00FE35FE">
        <w:rPr>
          <w:rFonts w:eastAsia="Times New Roman"/>
        </w:rPr>
        <w:t>2</w:t>
      </w:r>
      <w:r w:rsidR="003D5BBE">
        <w:rPr>
          <w:rFonts w:eastAsia="Times New Roman"/>
        </w:rPr>
        <w:t>2</w:t>
      </w:r>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w:t>
      </w:r>
      <w:r w:rsidR="00F2573E">
        <w:rPr>
          <w:rFonts w:eastAsia="Times New Roman"/>
        </w:rPr>
        <w:t>Mohini Singh</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F2573E">
        <w:t>Campbell Pryde</w:t>
      </w:r>
      <w:r w:rsidR="00D91EDB" w:rsidRPr="00D91EDB">
        <w:rPr>
          <w:rFonts w:eastAsia="Times New Roman"/>
        </w:rPr>
        <w:t xml:space="preserve"> </w:t>
      </w:r>
      <w:r w:rsidR="00B67FBA">
        <w:rPr>
          <w:rFonts w:eastAsia="Times New Roman"/>
        </w:rPr>
        <w:t xml:space="preserve"> </w:t>
      </w:r>
    </w:p>
    <w:p w14:paraId="358805D7" w14:textId="0273768C"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577246">
        <w:rPr>
          <w:rFonts w:eastAsia="Times New Roman"/>
          <w:bCs/>
          <w:color w:val="auto"/>
          <w:szCs w:val="22"/>
        </w:rPr>
        <w:t>8</w:t>
      </w:r>
      <w:r w:rsidRPr="009E29DC">
        <w:rPr>
          <w:rFonts w:eastAsia="Times New Roman"/>
          <w:bCs/>
          <w:color w:val="auto"/>
          <w:szCs w:val="22"/>
        </w:rPr>
        <w:t>, 0 Against)</w:t>
      </w:r>
    </w:p>
    <w:p w14:paraId="3E54DDDA" w14:textId="7FB88DD7"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8B3A60">
        <w:rPr>
          <w:rFonts w:eastAsia="Times New Roman"/>
        </w:rPr>
        <w:t>September 21</w:t>
      </w:r>
      <w:r w:rsidR="00FE35FE">
        <w:rPr>
          <w:rFonts w:eastAsia="Times New Roman"/>
        </w:rPr>
        <w:t>, 202</w:t>
      </w:r>
      <w:r w:rsidR="003D4A46">
        <w:rPr>
          <w:rFonts w:eastAsia="Times New Roman"/>
        </w:rPr>
        <w:t>2</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C6EC362" w14:textId="33862823"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Version </w:t>
      </w:r>
      <w:r w:rsidR="008B3A60">
        <w:rPr>
          <w:rFonts w:ascii="Arial" w:eastAsia="Arial" w:hAnsi="Arial" w:cs="Arial"/>
          <w:b/>
          <w:sz w:val="22"/>
        </w:rPr>
        <w:t>20</w:t>
      </w:r>
      <w:r w:rsidR="00196466" w:rsidRPr="00196466">
        <w:rPr>
          <w:rFonts w:ascii="Arial" w:eastAsia="Arial" w:hAnsi="Arial" w:cs="Arial"/>
          <w:b/>
          <w:sz w:val="22"/>
        </w:rPr>
        <w:t xml:space="preserve"> DQC Rules </w:t>
      </w:r>
    </w:p>
    <w:p w14:paraId="1106104D" w14:textId="161B21FC" w:rsidR="00981FF6" w:rsidRDefault="00981FF6" w:rsidP="00981FF6">
      <w:pPr>
        <w:pStyle w:val="ListParagraph"/>
        <w:numPr>
          <w:ilvl w:val="0"/>
          <w:numId w:val="1"/>
        </w:numPr>
        <w:spacing w:line="240" w:lineRule="auto"/>
        <w:rPr>
          <w:rFonts w:eastAsia="Times New Roman"/>
        </w:rPr>
      </w:pPr>
      <w:r>
        <w:rPr>
          <w:rFonts w:eastAsia="Times New Roman"/>
        </w:rPr>
        <w:t xml:space="preserve">Campbell </w:t>
      </w:r>
      <w:r w:rsidR="008568FE">
        <w:rPr>
          <w:rFonts w:eastAsia="Times New Roman"/>
        </w:rPr>
        <w:t>explained that Version 20 covers rules for BDCs.</w:t>
      </w:r>
      <w:r w:rsidR="00BD6854">
        <w:rPr>
          <w:rFonts w:eastAsia="Times New Roman"/>
        </w:rPr>
        <w:t xml:space="preserve">  The rules are as follows:</w:t>
      </w:r>
    </w:p>
    <w:p w14:paraId="7F9D48D3" w14:textId="2E744C01" w:rsidR="00A431D6" w:rsidRPr="00A431D6" w:rsidRDefault="00A431D6" w:rsidP="00CE73AA">
      <w:pPr>
        <w:pStyle w:val="ListParagraph"/>
        <w:numPr>
          <w:ilvl w:val="1"/>
          <w:numId w:val="1"/>
        </w:numPr>
        <w:spacing w:line="240" w:lineRule="auto"/>
        <w:rPr>
          <w:rFonts w:eastAsia="Times New Roman"/>
        </w:rPr>
      </w:pPr>
      <w:r w:rsidRPr="00A431D6">
        <w:rPr>
          <w:rFonts w:eastAsia="Times New Roman"/>
        </w:rPr>
        <w:t>Rule DQC_0142 – Typed Dimension Axis Restriction</w:t>
      </w:r>
      <w:r>
        <w:rPr>
          <w:rFonts w:eastAsia="Times New Roman"/>
        </w:rPr>
        <w:t xml:space="preserve"> - </w:t>
      </w:r>
      <w:r w:rsidRPr="00A431D6">
        <w:t>This rule checks that the new typed dimensions to support Business Development Corporation (BDC) filings are defined correctly</w:t>
      </w:r>
      <w:r w:rsidR="007C7A6A">
        <w:t xml:space="preserve"> (no change from public review)</w:t>
      </w:r>
      <w:r w:rsidRPr="00A431D6">
        <w:t xml:space="preserve">. </w:t>
      </w:r>
    </w:p>
    <w:p w14:paraId="102D230E" w14:textId="36EE4498" w:rsidR="00A431D6" w:rsidRPr="00A431D6" w:rsidRDefault="00A431D6" w:rsidP="00CE73AA">
      <w:pPr>
        <w:pStyle w:val="ListParagraph"/>
        <w:numPr>
          <w:ilvl w:val="1"/>
          <w:numId w:val="1"/>
        </w:numPr>
        <w:spacing w:line="240" w:lineRule="auto"/>
        <w:rPr>
          <w:rFonts w:eastAsia="Times New Roman"/>
        </w:rPr>
      </w:pPr>
      <w:bookmarkStart w:id="1" w:name="_732twfe40dr5" w:colFirst="0" w:colLast="0"/>
      <w:bookmarkEnd w:id="1"/>
      <w:r w:rsidRPr="00A431D6">
        <w:rPr>
          <w:rFonts w:eastAsia="Times New Roman"/>
        </w:rPr>
        <w:t xml:space="preserve">Rule DQC_0143 – Derivative Position Extensible Enumeration - </w:t>
      </w:r>
      <w:r w:rsidRPr="00A431D6">
        <w:t>This rule checks that the extensible enumeration element DerivativePositionExtensibleEnumeration can only use two values.  The two allows values are:</w:t>
      </w:r>
      <w:r>
        <w:t xml:space="preserve"> </w:t>
      </w:r>
      <w:r w:rsidRPr="00A431D6">
        <w:t>CallOptionMember</w:t>
      </w:r>
      <w:r>
        <w:t xml:space="preserve"> and</w:t>
      </w:r>
      <w:r w:rsidR="00024380">
        <w:t xml:space="preserve"> </w:t>
      </w:r>
      <w:r w:rsidRPr="00A431D6">
        <w:rPr>
          <w:rFonts w:eastAsia="Times New Roman"/>
        </w:rPr>
        <w:t>PutOptionMember</w:t>
      </w:r>
      <w:r w:rsidR="007C7A6A">
        <w:rPr>
          <w:rFonts w:eastAsia="Times New Roman"/>
        </w:rPr>
        <w:t xml:space="preserve"> </w:t>
      </w:r>
      <w:r w:rsidR="007C7A6A">
        <w:t>(no change from public review)</w:t>
      </w:r>
    </w:p>
    <w:p w14:paraId="58855B25" w14:textId="03AFCED6" w:rsidR="00A431D6" w:rsidRPr="00A431D6" w:rsidRDefault="00A431D6" w:rsidP="00CE73AA">
      <w:pPr>
        <w:pStyle w:val="ListParagraph"/>
        <w:numPr>
          <w:ilvl w:val="1"/>
          <w:numId w:val="1"/>
        </w:numPr>
        <w:spacing w:line="240" w:lineRule="auto"/>
        <w:rPr>
          <w:rFonts w:eastAsia="Times New Roman"/>
        </w:rPr>
      </w:pPr>
      <w:bookmarkStart w:id="2" w:name="_7saa73tpn44w" w:colFirst="0" w:colLast="0"/>
      <w:bookmarkEnd w:id="2"/>
      <w:r w:rsidRPr="00A431D6">
        <w:rPr>
          <w:rFonts w:eastAsia="Times New Roman"/>
        </w:rPr>
        <w:lastRenderedPageBreak/>
        <w:t>Rule DQC_0144 – No Balance Attribute in Financial Statements</w:t>
      </w:r>
      <w:r>
        <w:rPr>
          <w:rFonts w:eastAsia="Times New Roman"/>
        </w:rPr>
        <w:t xml:space="preserve"> - </w:t>
      </w:r>
      <w:r w:rsidRPr="00A431D6">
        <w:rPr>
          <w:rFonts w:eastAsia="Times New Roman"/>
        </w:rPr>
        <w:t>This rule checks that extension monetary elements included in the balance sheet, income statement, cash flow statements and shareholders equity statements include a balance attribute</w:t>
      </w:r>
      <w:r w:rsidR="007C7A6A">
        <w:rPr>
          <w:rFonts w:eastAsia="Times New Roman"/>
        </w:rPr>
        <w:t xml:space="preserve"> </w:t>
      </w:r>
      <w:r w:rsidR="007C7A6A">
        <w:t>(no change from public review)</w:t>
      </w:r>
      <w:r w:rsidRPr="00A431D6">
        <w:rPr>
          <w:rFonts w:eastAsia="Times New Roman"/>
        </w:rPr>
        <w:t xml:space="preserve">.  </w:t>
      </w:r>
      <w:r>
        <w:rPr>
          <w:rFonts w:eastAsia="Times New Roman"/>
        </w:rPr>
        <w:t>There was a question</w:t>
      </w:r>
      <w:r w:rsidR="00D93AF9">
        <w:rPr>
          <w:rFonts w:eastAsia="Times New Roman"/>
        </w:rPr>
        <w:t xml:space="preserve"> by a DQC member</w:t>
      </w:r>
      <w:r>
        <w:rPr>
          <w:rFonts w:eastAsia="Times New Roman"/>
        </w:rPr>
        <w:t xml:space="preserve"> as to whether it would be appropriate for the rule to check footnotes.  Campbell mentioned that it should only check face financial statement elements.</w:t>
      </w:r>
    </w:p>
    <w:p w14:paraId="4209122F" w14:textId="1C5FD84A" w:rsidR="00A431D6" w:rsidRPr="00981FF6" w:rsidRDefault="00A431D6" w:rsidP="00CE73AA">
      <w:pPr>
        <w:pStyle w:val="ListParagraph"/>
        <w:numPr>
          <w:ilvl w:val="1"/>
          <w:numId w:val="1"/>
        </w:numPr>
        <w:spacing w:line="240" w:lineRule="auto"/>
        <w:rPr>
          <w:rFonts w:eastAsia="Times New Roman"/>
        </w:rPr>
      </w:pPr>
      <w:bookmarkStart w:id="3" w:name="_tf6d916l112c" w:colFirst="0" w:colLast="0"/>
      <w:bookmarkEnd w:id="3"/>
      <w:r w:rsidRPr="00A431D6">
        <w:rPr>
          <w:rFonts w:eastAsia="Times New Roman"/>
        </w:rPr>
        <w:t>Rule DQC_0145 – Inappropriate Cash Flow Presentation – This rule</w:t>
      </w:r>
      <w:r>
        <w:rPr>
          <w:rFonts w:eastAsia="Times New Roman"/>
        </w:rPr>
        <w:t xml:space="preserve"> </w:t>
      </w:r>
      <w:r w:rsidRPr="00A431D6">
        <w:rPr>
          <w:rFonts w:eastAsia="Times New Roman"/>
        </w:rPr>
        <w:t xml:space="preserve">looks at the presentation linkbase of the cash flow statement and income statement to determine that elements have been presented correctly.  </w:t>
      </w:r>
      <w:r w:rsidRPr="00981FF6">
        <w:rPr>
          <w:rFonts w:eastAsia="Times New Roman"/>
        </w:rPr>
        <w:t xml:space="preserve">This rule was </w:t>
      </w:r>
      <w:r>
        <w:rPr>
          <w:rFonts w:eastAsia="Times New Roman"/>
        </w:rPr>
        <w:t>u</w:t>
      </w:r>
      <w:r w:rsidRPr="00981FF6">
        <w:rPr>
          <w:rFonts w:eastAsia="Times New Roman"/>
        </w:rPr>
        <w:t xml:space="preserve">pdated </w:t>
      </w:r>
      <w:r w:rsidR="007C7A6A">
        <w:rPr>
          <w:rFonts w:eastAsia="Times New Roman"/>
        </w:rPr>
        <w:t xml:space="preserve">from the public review </w:t>
      </w:r>
      <w:r w:rsidRPr="00981FF6">
        <w:rPr>
          <w:rFonts w:eastAsia="Times New Roman"/>
        </w:rPr>
        <w:t>to allow</w:t>
      </w:r>
      <w:r w:rsidR="007C7A6A">
        <w:rPr>
          <w:rFonts w:eastAsia="Times New Roman"/>
        </w:rPr>
        <w:t xml:space="preserve"> the following</w:t>
      </w:r>
      <w:r w:rsidR="007F4185">
        <w:rPr>
          <w:rFonts w:eastAsia="Times New Roman"/>
        </w:rPr>
        <w:t xml:space="preserve"> exceptions</w:t>
      </w:r>
      <w:r w:rsidR="007C7A6A">
        <w:rPr>
          <w:rFonts w:eastAsia="Times New Roman"/>
        </w:rPr>
        <w:t xml:space="preserve"> these</w:t>
      </w:r>
      <w:r w:rsidRPr="00981FF6">
        <w:rPr>
          <w:rFonts w:eastAsia="Times New Roman"/>
        </w:rPr>
        <w:t xml:space="preserve"> elements </w:t>
      </w:r>
      <w:r w:rsidR="007F4185">
        <w:rPr>
          <w:rFonts w:eastAsia="Times New Roman"/>
        </w:rPr>
        <w:t>can</w:t>
      </w:r>
      <w:r w:rsidRPr="00981FF6">
        <w:rPr>
          <w:rFonts w:eastAsia="Times New Roman"/>
        </w:rPr>
        <w:t xml:space="preserve"> be used in the</w:t>
      </w:r>
      <w:r w:rsidR="006D72AB">
        <w:rPr>
          <w:rFonts w:eastAsia="Times New Roman"/>
        </w:rPr>
        <w:t xml:space="preserve"> financing and</w:t>
      </w:r>
      <w:r w:rsidRPr="00981FF6">
        <w:rPr>
          <w:rFonts w:eastAsia="Times New Roman"/>
        </w:rPr>
        <w:t xml:space="preserve"> investing section</w:t>
      </w:r>
      <w:r w:rsidR="006D72AB">
        <w:rPr>
          <w:rFonts w:eastAsia="Times New Roman"/>
        </w:rPr>
        <w:t>s</w:t>
      </w:r>
      <w:r w:rsidRPr="00981FF6">
        <w:rPr>
          <w:rFonts w:eastAsia="Times New Roman"/>
        </w:rPr>
        <w:t xml:space="preserve"> of the cash flow statement (Presentation):</w:t>
      </w:r>
    </w:p>
    <w:p w14:paraId="710B5DFA" w14:textId="77777777" w:rsidR="00A431D6" w:rsidRPr="00981FF6" w:rsidRDefault="00A431D6" w:rsidP="00CE73AA">
      <w:pPr>
        <w:pStyle w:val="ListParagraph"/>
        <w:numPr>
          <w:ilvl w:val="2"/>
          <w:numId w:val="1"/>
        </w:numPr>
        <w:spacing w:line="240" w:lineRule="auto"/>
        <w:rPr>
          <w:rFonts w:eastAsia="Times New Roman"/>
        </w:rPr>
      </w:pPr>
      <w:r w:rsidRPr="00981FF6">
        <w:rPr>
          <w:rFonts w:eastAsia="Times New Roman"/>
        </w:rPr>
        <w:t>PaymentsForProceedsFromOtherDeposits</w:t>
      </w:r>
    </w:p>
    <w:p w14:paraId="5C2135E8" w14:textId="77777777" w:rsidR="00A431D6" w:rsidRPr="00981FF6" w:rsidRDefault="00A431D6" w:rsidP="00CE73AA">
      <w:pPr>
        <w:pStyle w:val="ListParagraph"/>
        <w:numPr>
          <w:ilvl w:val="2"/>
          <w:numId w:val="1"/>
        </w:numPr>
        <w:spacing w:line="240" w:lineRule="auto"/>
        <w:rPr>
          <w:rFonts w:eastAsia="Times New Roman"/>
        </w:rPr>
      </w:pPr>
      <w:r w:rsidRPr="00981FF6">
        <w:rPr>
          <w:rFonts w:eastAsia="Times New Roman"/>
        </w:rPr>
        <w:t>IncreaseDecreaseOfRestrictedInvestments</w:t>
      </w:r>
    </w:p>
    <w:p w14:paraId="011DE951" w14:textId="77777777" w:rsidR="00A431D6" w:rsidRPr="00981FF6" w:rsidRDefault="00A431D6" w:rsidP="00CE73AA">
      <w:pPr>
        <w:pStyle w:val="ListParagraph"/>
        <w:numPr>
          <w:ilvl w:val="2"/>
          <w:numId w:val="1"/>
        </w:numPr>
        <w:spacing w:line="240" w:lineRule="auto"/>
        <w:rPr>
          <w:rFonts w:eastAsia="Times New Roman"/>
        </w:rPr>
      </w:pPr>
      <w:r w:rsidRPr="00981FF6">
        <w:rPr>
          <w:rFonts w:eastAsia="Times New Roman"/>
        </w:rPr>
        <w:t>ProceedsFromPaymentsForInSecuritiesSoldUnderAgreementsToRepurchase</w:t>
      </w:r>
    </w:p>
    <w:p w14:paraId="0A1E94B6" w14:textId="2E482004" w:rsidR="00A431D6" w:rsidRPr="007F4185" w:rsidRDefault="00A431D6" w:rsidP="00CE73AA">
      <w:pPr>
        <w:pStyle w:val="ListParagraph"/>
        <w:numPr>
          <w:ilvl w:val="1"/>
          <w:numId w:val="1"/>
        </w:numPr>
        <w:spacing w:line="240" w:lineRule="auto"/>
        <w:rPr>
          <w:rFonts w:eastAsia="Times New Roman"/>
        </w:rPr>
      </w:pPr>
      <w:bookmarkStart w:id="4" w:name="_egn5yixfte73" w:colFirst="0" w:colLast="0"/>
      <w:bookmarkEnd w:id="4"/>
      <w:r w:rsidRPr="007F4185">
        <w:rPr>
          <w:rFonts w:eastAsia="Times New Roman"/>
        </w:rPr>
        <w:t>Rule DQC_0146 – Incorrect Period Reported</w:t>
      </w:r>
      <w:r w:rsidR="007F4185" w:rsidRPr="007F4185">
        <w:rPr>
          <w:rFonts w:eastAsia="Times New Roman"/>
        </w:rPr>
        <w:t xml:space="preserve"> - </w:t>
      </w:r>
      <w:r w:rsidRPr="007F4185">
        <w:rPr>
          <w:rFonts w:eastAsia="Times New Roman"/>
        </w:rPr>
        <w:t>This rule identifies incorrect period durations used in the income statement of the 10-K. The rule identifies where a company has reported a 10K but the majority of the values reported on the Income Statement are for a period other than a year</w:t>
      </w:r>
      <w:r w:rsidR="007C7A6A">
        <w:rPr>
          <w:rFonts w:eastAsia="Times New Roman"/>
        </w:rPr>
        <w:t xml:space="preserve"> </w:t>
      </w:r>
      <w:r w:rsidR="007C7A6A">
        <w:t>(no change from public review)</w:t>
      </w:r>
      <w:r w:rsidR="00CE31D0">
        <w:rPr>
          <w:rFonts w:eastAsia="Times New Roman"/>
        </w:rPr>
        <w:t>.</w:t>
      </w:r>
    </w:p>
    <w:p w14:paraId="603ACD62" w14:textId="1A6FA0F5" w:rsidR="00A431D6" w:rsidRPr="00CE73AA" w:rsidRDefault="00A431D6" w:rsidP="00CE73AA">
      <w:pPr>
        <w:pStyle w:val="ListParagraph"/>
        <w:numPr>
          <w:ilvl w:val="1"/>
          <w:numId w:val="1"/>
        </w:numPr>
        <w:spacing w:line="240" w:lineRule="auto"/>
        <w:rPr>
          <w:rFonts w:eastAsia="Times New Roman"/>
        </w:rPr>
      </w:pPr>
      <w:r w:rsidRPr="00CE73AA">
        <w:rPr>
          <w:rFonts w:eastAsia="Times New Roman"/>
        </w:rPr>
        <w:t>Rule DQC_0147 - Incorrect Sign of Elimination</w:t>
      </w:r>
      <w:r w:rsidR="007F4185" w:rsidRPr="00CE73AA">
        <w:rPr>
          <w:rFonts w:eastAsia="Times New Roman"/>
        </w:rPr>
        <w:t xml:space="preserve"> -</w:t>
      </w:r>
      <w:r w:rsidRPr="00CE73AA">
        <w:rPr>
          <w:rFonts w:eastAsia="Times New Roman"/>
        </w:rPr>
        <w:t>This rule identifies when a filer enters a positive value for an element using the elimination member (on the consolidated items access) when it should be negative</w:t>
      </w:r>
      <w:r w:rsidR="007C7A6A">
        <w:rPr>
          <w:rFonts w:eastAsia="Times New Roman"/>
        </w:rPr>
        <w:t xml:space="preserve"> </w:t>
      </w:r>
      <w:r w:rsidR="007C7A6A">
        <w:t>(no change from public review)</w:t>
      </w:r>
      <w:r w:rsidR="007C7A6A">
        <w:t>.</w:t>
      </w:r>
    </w:p>
    <w:p w14:paraId="7D6D1DF5" w14:textId="5D179C68" w:rsidR="00A431D6" w:rsidRPr="00CE73AA" w:rsidRDefault="00A431D6" w:rsidP="00CE73AA">
      <w:pPr>
        <w:pStyle w:val="ListParagraph"/>
        <w:numPr>
          <w:ilvl w:val="1"/>
          <w:numId w:val="1"/>
        </w:numPr>
        <w:spacing w:line="240" w:lineRule="auto"/>
        <w:rPr>
          <w:rFonts w:eastAsia="Times New Roman"/>
        </w:rPr>
      </w:pPr>
      <w:r w:rsidRPr="00CE73AA">
        <w:rPr>
          <w:rFonts w:eastAsia="Times New Roman"/>
        </w:rPr>
        <w:t>Rule DQC_0148 – OCI Items in Income</w:t>
      </w:r>
      <w:r w:rsidR="00CE73AA" w:rsidRPr="00CE73AA">
        <w:rPr>
          <w:rFonts w:eastAsia="Times New Roman"/>
        </w:rPr>
        <w:t xml:space="preserve"> - </w:t>
      </w:r>
      <w:r w:rsidRPr="00CE73AA">
        <w:rPr>
          <w:rFonts w:eastAsia="Times New Roman"/>
        </w:rPr>
        <w:t>This rule identifies if OCI items have been included in the calculation of net income</w:t>
      </w:r>
      <w:r w:rsidR="007C7A6A">
        <w:rPr>
          <w:rFonts w:eastAsia="Times New Roman"/>
        </w:rPr>
        <w:t xml:space="preserve"> </w:t>
      </w:r>
      <w:r w:rsidR="007C7A6A">
        <w:t>(no change from public review)</w:t>
      </w:r>
      <w:r w:rsidRPr="00CE73AA">
        <w:rPr>
          <w:rFonts w:eastAsia="Times New Roman"/>
        </w:rPr>
        <w:t>.</w:t>
      </w:r>
    </w:p>
    <w:p w14:paraId="37541CE0" w14:textId="6312C00C" w:rsidR="00981FF6" w:rsidRDefault="00981FF6" w:rsidP="00981FF6">
      <w:pPr>
        <w:pStyle w:val="ListParagraph"/>
        <w:numPr>
          <w:ilvl w:val="0"/>
          <w:numId w:val="1"/>
        </w:numPr>
        <w:spacing w:line="240" w:lineRule="auto"/>
        <w:rPr>
          <w:rFonts w:eastAsia="Times New Roman"/>
        </w:rPr>
      </w:pPr>
      <w:bookmarkStart w:id="5" w:name="_241xfdaf707e" w:colFirst="0" w:colLast="0"/>
      <w:bookmarkEnd w:id="5"/>
      <w:r>
        <w:rPr>
          <w:rFonts w:eastAsia="Times New Roman"/>
        </w:rPr>
        <w:t xml:space="preserve">Campbell noted that there were changes </w:t>
      </w:r>
      <w:r w:rsidR="00C06C2C">
        <w:rPr>
          <w:rFonts w:eastAsia="Times New Roman"/>
        </w:rPr>
        <w:t xml:space="preserve">made </w:t>
      </w:r>
      <w:r>
        <w:rPr>
          <w:rFonts w:eastAsia="Times New Roman"/>
        </w:rPr>
        <w:t>to existing DQC Rules</w:t>
      </w:r>
      <w:r w:rsidR="007C7A6A">
        <w:rPr>
          <w:rFonts w:eastAsia="Times New Roman"/>
        </w:rPr>
        <w:t xml:space="preserve"> that will be updated in this version.</w:t>
      </w:r>
    </w:p>
    <w:p w14:paraId="6BED2D76" w14:textId="4AFA23A0" w:rsidR="008F761F" w:rsidRPr="00EF3417" w:rsidRDefault="008F761F" w:rsidP="00EF3417">
      <w:pPr>
        <w:pStyle w:val="ListParagraph"/>
        <w:numPr>
          <w:ilvl w:val="1"/>
          <w:numId w:val="1"/>
        </w:numPr>
        <w:spacing w:line="240" w:lineRule="auto"/>
        <w:rPr>
          <w:rFonts w:eastAsia="Times New Roman"/>
        </w:rPr>
      </w:pPr>
      <w:r w:rsidRPr="00981FF6">
        <w:rPr>
          <w:rFonts w:eastAsia="Times New Roman"/>
        </w:rPr>
        <w:t>DQC_0043 Incorrect Weights in Operating Cash Flows</w:t>
      </w:r>
      <w:bookmarkStart w:id="6" w:name="_uvim5lj8c62w" w:colFirst="0" w:colLast="0"/>
      <w:bookmarkEnd w:id="6"/>
      <w:r w:rsidR="00EF3417">
        <w:rPr>
          <w:rFonts w:eastAsia="Times New Roman"/>
        </w:rPr>
        <w:t xml:space="preserve">- </w:t>
      </w:r>
      <w:r w:rsidRPr="00981FF6">
        <w:rPr>
          <w:rFonts w:eastAsia="Times New Roman"/>
        </w:rPr>
        <w:t>This rule was expanded with an added suffix of .9875.  The rule also checks that the sign of discontinued operations on the cashflow statement is the same as the sign on the income statement. In many cases</w:t>
      </w:r>
      <w:r w:rsidR="00C628E9">
        <w:rPr>
          <w:rFonts w:eastAsia="Times New Roman"/>
        </w:rPr>
        <w:t>,</w:t>
      </w:r>
      <w:r w:rsidRPr="00981FF6">
        <w:rPr>
          <w:rFonts w:eastAsia="Times New Roman"/>
        </w:rPr>
        <w:t xml:space="preserve"> companies were flipping the sign between the statements and us</w:t>
      </w:r>
      <w:r w:rsidR="00C628E9">
        <w:rPr>
          <w:rFonts w:eastAsia="Times New Roman"/>
        </w:rPr>
        <w:t>ed</w:t>
      </w:r>
      <w:r w:rsidRPr="00981FF6">
        <w:rPr>
          <w:rFonts w:eastAsia="Times New Roman"/>
        </w:rPr>
        <w:t xml:space="preserve"> IncomeLossFromDiscontinuedOperationsNetOfTaxAttributableToReportingEntity for one value and IncomeLossFromDiscontinuedOperationsNetOfTax for the other value.  The sign of these two elements should be the same if there is no noncontrolling interest</w:t>
      </w:r>
      <w:r w:rsidR="0022274F">
        <w:rPr>
          <w:rFonts w:eastAsia="Times New Roman"/>
        </w:rPr>
        <w:t xml:space="preserve">. </w:t>
      </w:r>
      <w:bookmarkStart w:id="7" w:name="_nz6ww1pxhaph" w:colFirst="0" w:colLast="0"/>
      <w:bookmarkEnd w:id="7"/>
      <w:r w:rsidRPr="00EF3417">
        <w:t xml:space="preserve">This rule was </w:t>
      </w:r>
      <w:r w:rsidR="00B62989">
        <w:t xml:space="preserve">also </w:t>
      </w:r>
      <w:r w:rsidRPr="00EF3417">
        <w:t>expanded with an added suffix of .9873 that checks for a negative calculation between Net Income and Cash Flows from Operating Activities. Net Income should always make a positive contribution to cash from operations. In some cases</w:t>
      </w:r>
      <w:r w:rsidR="00D94DCC">
        <w:t>,</w:t>
      </w:r>
      <w:r w:rsidRPr="00EF3417">
        <w:t xml:space="preserve"> companies were flipping the sign and the weight of Net Income.</w:t>
      </w:r>
    </w:p>
    <w:p w14:paraId="61F67655" w14:textId="68806724" w:rsidR="008F761F" w:rsidRPr="00EF3417" w:rsidRDefault="008F761F" w:rsidP="00EF3417">
      <w:pPr>
        <w:pStyle w:val="ListParagraph"/>
        <w:numPr>
          <w:ilvl w:val="1"/>
          <w:numId w:val="1"/>
        </w:numPr>
        <w:spacing w:line="240" w:lineRule="auto"/>
        <w:rPr>
          <w:rFonts w:eastAsia="Times New Roman"/>
        </w:rPr>
      </w:pPr>
      <w:bookmarkStart w:id="8" w:name="_4relh9ijv6be" w:colFirst="0" w:colLast="0"/>
      <w:bookmarkEnd w:id="8"/>
      <w:r w:rsidRPr="00981FF6">
        <w:rPr>
          <w:rFonts w:eastAsia="Times New Roman"/>
        </w:rPr>
        <w:t>DQC_0049 Single Calculation Tree for Changes in Cash Flows</w:t>
      </w:r>
      <w:r w:rsidR="00EF3417">
        <w:rPr>
          <w:rFonts w:eastAsia="Times New Roman"/>
        </w:rPr>
        <w:t xml:space="preserve"> – This rule was u</w:t>
      </w:r>
      <w:r w:rsidRPr="00EF3417">
        <w:t>pdated for the 2022 taxonomy to correctly identify root elements used inappropriately in the filer</w:t>
      </w:r>
      <w:r w:rsidR="00D94DCC">
        <w:t>’</w:t>
      </w:r>
      <w:r w:rsidRPr="00EF3417">
        <w:t>s extension taxonomy. In 2022</w:t>
      </w:r>
      <w:r w:rsidR="00D94DCC">
        <w:t>,</w:t>
      </w:r>
      <w:r w:rsidRPr="00EF3417">
        <w:t xml:space="preserve"> the element CashAndCashEquivalentsPeriodIncreaseDecreaseExcludingExchangeRateEffect was deprecated. This deprecated element in the rule was updated with the element </w:t>
      </w:r>
      <w:r w:rsidRPr="00EF3417">
        <w:lastRenderedPageBreak/>
        <w:t>CashCashEquivalentsRestrictedCashAndRestrictedCashEquivalentsPeriodIncreaseDecreaseExcludingExchangeRateEffect.</w:t>
      </w:r>
    </w:p>
    <w:p w14:paraId="1B13F6B9" w14:textId="1C051E40" w:rsidR="008F761F" w:rsidRPr="00EF3417" w:rsidRDefault="008F761F" w:rsidP="00EF3417">
      <w:pPr>
        <w:pStyle w:val="ListParagraph"/>
        <w:numPr>
          <w:ilvl w:val="1"/>
          <w:numId w:val="1"/>
        </w:numPr>
        <w:spacing w:line="240" w:lineRule="auto"/>
        <w:rPr>
          <w:rFonts w:eastAsia="Times New Roman"/>
        </w:rPr>
      </w:pPr>
      <w:r w:rsidRPr="00EF3417">
        <w:rPr>
          <w:rFonts w:eastAsia="Times New Roman"/>
        </w:rPr>
        <w:t>DQC_0118 Financial Statement Tables Calculation Check of Required Context</w:t>
      </w:r>
      <w:r w:rsidR="00EF3417" w:rsidRPr="00EF3417">
        <w:rPr>
          <w:rFonts w:eastAsia="Times New Roman"/>
        </w:rPr>
        <w:t xml:space="preserve"> – This rule was</w:t>
      </w:r>
      <w:r w:rsidR="00EF3417">
        <w:rPr>
          <w:rFonts w:eastAsia="Times New Roman"/>
        </w:rPr>
        <w:t xml:space="preserve"> u</w:t>
      </w:r>
      <w:r w:rsidRPr="00EF3417">
        <w:rPr>
          <w:rFonts w:eastAsia="Times New Roman"/>
        </w:rPr>
        <w:t xml:space="preserve">pdated so that it would not run if the company had used the axis PledgedStatusAxis. </w:t>
      </w:r>
    </w:p>
    <w:p w14:paraId="5053691A" w14:textId="03435260" w:rsidR="008F761F" w:rsidRPr="00EF3417" w:rsidRDefault="008F761F" w:rsidP="00EF3417">
      <w:pPr>
        <w:pStyle w:val="ListParagraph"/>
        <w:numPr>
          <w:ilvl w:val="1"/>
          <w:numId w:val="1"/>
        </w:numPr>
        <w:spacing w:line="240" w:lineRule="auto"/>
        <w:rPr>
          <w:rFonts w:eastAsia="Times New Roman"/>
        </w:rPr>
      </w:pPr>
      <w:r w:rsidRPr="00EF3417">
        <w:t>DQC_0121 Incorrect Transition Elements Used</w:t>
      </w:r>
      <w:r w:rsidR="00EF3417">
        <w:t xml:space="preserve"> - </w:t>
      </w:r>
      <w:r w:rsidRPr="00EF3417">
        <w:rPr>
          <w:rFonts w:eastAsia="Times New Roman"/>
        </w:rPr>
        <w:t>Updated the rule not to run for an 8-K or a 6-K</w:t>
      </w:r>
      <w:r w:rsidR="007C7A6A">
        <w:rPr>
          <w:rFonts w:eastAsia="Times New Roman"/>
        </w:rPr>
        <w:t xml:space="preserve"> filings</w:t>
      </w:r>
      <w:r w:rsidRPr="00EF3417">
        <w:rPr>
          <w:rFonts w:eastAsia="Times New Roman"/>
        </w:rPr>
        <w:t>.</w:t>
      </w:r>
    </w:p>
    <w:p w14:paraId="47D56F96" w14:textId="629A3B31" w:rsidR="008F761F" w:rsidRPr="00EF3417" w:rsidRDefault="008F761F" w:rsidP="00EF3417">
      <w:pPr>
        <w:pStyle w:val="ListParagraph"/>
        <w:numPr>
          <w:ilvl w:val="1"/>
          <w:numId w:val="1"/>
        </w:numPr>
        <w:spacing w:line="240" w:lineRule="auto"/>
        <w:rPr>
          <w:rFonts w:eastAsia="Times New Roman"/>
        </w:rPr>
      </w:pPr>
      <w:bookmarkStart w:id="9" w:name="_bxdma7ua5bd7" w:colFirst="0" w:colLast="0"/>
      <w:bookmarkEnd w:id="9"/>
      <w:r w:rsidRPr="00EF3417">
        <w:rPr>
          <w:rFonts w:eastAsia="Times New Roman"/>
        </w:rPr>
        <w:t>DQC_0135 Extensible Enumeration for Financial Statement Captions</w:t>
      </w:r>
      <w:r w:rsidR="00EF3417">
        <w:rPr>
          <w:rFonts w:eastAsia="Times New Roman"/>
        </w:rPr>
        <w:t xml:space="preserve"> -</w:t>
      </w:r>
      <w:r w:rsidR="00847BC4">
        <w:rPr>
          <w:rFonts w:eastAsia="Times New Roman"/>
        </w:rPr>
        <w:t xml:space="preserve"> </w:t>
      </w:r>
      <w:r w:rsidRPr="00EF3417">
        <w:rPr>
          <w:rFonts w:eastAsia="Times New Roman"/>
        </w:rPr>
        <w:t>Updated rule to not run when broken down using the following axis:</w:t>
      </w:r>
    </w:p>
    <w:p w14:paraId="6226BA83" w14:textId="77777777" w:rsidR="008F761F" w:rsidRPr="00981FF6" w:rsidRDefault="008F761F" w:rsidP="00EF3417">
      <w:pPr>
        <w:pStyle w:val="ListParagraph"/>
        <w:numPr>
          <w:ilvl w:val="2"/>
          <w:numId w:val="1"/>
        </w:numPr>
        <w:spacing w:line="240" w:lineRule="auto"/>
        <w:rPr>
          <w:rFonts w:eastAsia="Times New Roman"/>
        </w:rPr>
      </w:pPr>
      <w:r w:rsidRPr="00981FF6">
        <w:rPr>
          <w:rFonts w:eastAsia="Times New Roman"/>
        </w:rPr>
        <w:t>EnvironmentalRemediationSiteAxis</w:t>
      </w:r>
    </w:p>
    <w:p w14:paraId="02CE1873" w14:textId="77777777" w:rsidR="008F761F" w:rsidRPr="00981FF6" w:rsidRDefault="008F761F" w:rsidP="00EF3417">
      <w:pPr>
        <w:pStyle w:val="ListParagraph"/>
        <w:numPr>
          <w:ilvl w:val="2"/>
          <w:numId w:val="1"/>
        </w:numPr>
        <w:spacing w:line="240" w:lineRule="auto"/>
        <w:rPr>
          <w:rFonts w:eastAsia="Times New Roman"/>
        </w:rPr>
      </w:pPr>
      <w:r w:rsidRPr="00981FF6">
        <w:rPr>
          <w:rFonts w:eastAsia="Times New Roman"/>
        </w:rPr>
        <w:t>DerivativeInstrumentRiskAxis</w:t>
      </w:r>
    </w:p>
    <w:p w14:paraId="378C939F" w14:textId="77777777" w:rsidR="008F761F" w:rsidRPr="00981FF6" w:rsidRDefault="008F761F" w:rsidP="00EF3417">
      <w:pPr>
        <w:pStyle w:val="ListParagraph"/>
        <w:numPr>
          <w:ilvl w:val="2"/>
          <w:numId w:val="1"/>
        </w:numPr>
        <w:spacing w:line="240" w:lineRule="auto"/>
        <w:rPr>
          <w:rFonts w:eastAsia="Times New Roman"/>
        </w:rPr>
      </w:pPr>
      <w:r w:rsidRPr="00981FF6">
        <w:rPr>
          <w:rFonts w:eastAsia="Times New Roman"/>
        </w:rPr>
        <w:t>DerivativeInstrumentsGainLossByHedgingRelationshipAxis</w:t>
      </w:r>
    </w:p>
    <w:p w14:paraId="20731CD1" w14:textId="741CF0CB" w:rsidR="008F761F" w:rsidRPr="00FF3C71" w:rsidRDefault="00FF3C71" w:rsidP="00FB40AA">
      <w:pPr>
        <w:pStyle w:val="ListParagraph"/>
        <w:numPr>
          <w:ilvl w:val="2"/>
          <w:numId w:val="1"/>
        </w:numPr>
        <w:spacing w:line="240" w:lineRule="auto"/>
        <w:rPr>
          <w:rFonts w:eastAsia="Times New Roman"/>
        </w:rPr>
      </w:pPr>
      <w:r w:rsidRPr="00FF3C71">
        <w:rPr>
          <w:rFonts w:eastAsia="Times New Roman"/>
        </w:rPr>
        <w:t>Also u</w:t>
      </w:r>
      <w:r w:rsidR="008F761F" w:rsidRPr="00FF3C71">
        <w:rPr>
          <w:rFonts w:eastAsia="Times New Roman"/>
        </w:rPr>
        <w:t>pdated the message on the rule to indicate that the not disclosed flag can be used to clear an error. The extension element must use the extensible enumeration value as a prefix.</w:t>
      </w:r>
    </w:p>
    <w:p w14:paraId="40A7E436" w14:textId="435AF67D" w:rsidR="008F761F" w:rsidRPr="00FF3C71" w:rsidRDefault="008F761F" w:rsidP="00FF3C71">
      <w:pPr>
        <w:pStyle w:val="ListParagraph"/>
        <w:numPr>
          <w:ilvl w:val="1"/>
          <w:numId w:val="1"/>
        </w:numPr>
        <w:spacing w:line="240" w:lineRule="auto"/>
        <w:rPr>
          <w:rFonts w:eastAsia="Times New Roman"/>
        </w:rPr>
      </w:pPr>
      <w:r w:rsidRPr="00FF3C71">
        <w:rPr>
          <w:rFonts w:eastAsia="Times New Roman"/>
        </w:rPr>
        <w:t>DQC_0141 Inconsistent Accrued Interest Elements</w:t>
      </w:r>
      <w:r w:rsidR="00FF3C71" w:rsidRPr="00FF3C71">
        <w:rPr>
          <w:rFonts w:eastAsia="Times New Roman"/>
        </w:rPr>
        <w:t xml:space="preserve"> -</w:t>
      </w:r>
      <w:r w:rsidR="0080165B">
        <w:rPr>
          <w:rFonts w:eastAsia="Times New Roman"/>
        </w:rPr>
        <w:t xml:space="preserve"> </w:t>
      </w:r>
      <w:r w:rsidRPr="00FF3C71">
        <w:rPr>
          <w:rFonts w:eastAsia="Times New Roman"/>
        </w:rPr>
        <w:t>Updated the rule to match accrued interest and excluding accrued interest to match by class.  This means one class can include interest and another class can exclude interest as long as they are consistent between the classes of:</w:t>
      </w:r>
    </w:p>
    <w:p w14:paraId="03EAB4E7" w14:textId="77777777" w:rsidR="008F761F" w:rsidRPr="00981FF6" w:rsidRDefault="008F761F" w:rsidP="00FF3C71">
      <w:pPr>
        <w:pStyle w:val="ListParagraph"/>
        <w:numPr>
          <w:ilvl w:val="2"/>
          <w:numId w:val="1"/>
        </w:numPr>
        <w:spacing w:line="240" w:lineRule="auto"/>
        <w:rPr>
          <w:rFonts w:eastAsia="Times New Roman"/>
        </w:rPr>
      </w:pPr>
      <w:r w:rsidRPr="00981FF6">
        <w:rPr>
          <w:rFonts w:eastAsia="Times New Roman"/>
        </w:rPr>
        <w:t>AccountsRec</w:t>
      </w:r>
    </w:p>
    <w:p w14:paraId="5E2AA7C1" w14:textId="77777777" w:rsidR="008F761F" w:rsidRPr="00981FF6" w:rsidRDefault="008F761F" w:rsidP="00FF3C71">
      <w:pPr>
        <w:pStyle w:val="ListParagraph"/>
        <w:numPr>
          <w:ilvl w:val="2"/>
          <w:numId w:val="1"/>
        </w:numPr>
        <w:spacing w:line="240" w:lineRule="auto"/>
        <w:rPr>
          <w:rFonts w:eastAsia="Times New Roman"/>
        </w:rPr>
      </w:pPr>
      <w:r w:rsidRPr="00981FF6">
        <w:rPr>
          <w:rFonts w:eastAsia="Times New Roman"/>
        </w:rPr>
        <w:t>DebtSecuritiesHeldToMaturity</w:t>
      </w:r>
    </w:p>
    <w:p w14:paraId="25728CE7" w14:textId="77777777" w:rsidR="008F761F" w:rsidRPr="00981FF6" w:rsidRDefault="008F761F" w:rsidP="00FF3C71">
      <w:pPr>
        <w:pStyle w:val="ListParagraph"/>
        <w:numPr>
          <w:ilvl w:val="2"/>
          <w:numId w:val="1"/>
        </w:numPr>
        <w:spacing w:line="240" w:lineRule="auto"/>
        <w:rPr>
          <w:rFonts w:eastAsia="Times New Roman"/>
        </w:rPr>
      </w:pPr>
      <w:r w:rsidRPr="00981FF6">
        <w:rPr>
          <w:rFonts w:eastAsia="Times New Roman"/>
        </w:rPr>
        <w:t>AvailableForSaleSecuritiesDebtSecurities</w:t>
      </w:r>
    </w:p>
    <w:p w14:paraId="36944213" w14:textId="77777777" w:rsidR="008F761F" w:rsidRPr="00981FF6" w:rsidRDefault="008F761F" w:rsidP="00FF3C71">
      <w:pPr>
        <w:pStyle w:val="ListParagraph"/>
        <w:numPr>
          <w:ilvl w:val="2"/>
          <w:numId w:val="1"/>
        </w:numPr>
        <w:spacing w:line="240" w:lineRule="auto"/>
        <w:rPr>
          <w:rFonts w:eastAsia="Times New Roman"/>
        </w:rPr>
      </w:pPr>
      <w:r w:rsidRPr="00981FF6">
        <w:rPr>
          <w:rFonts w:eastAsia="Times New Roman"/>
        </w:rPr>
        <w:t>DirectFinancingLeaseNet</w:t>
      </w:r>
    </w:p>
    <w:p w14:paraId="70B7A9AB" w14:textId="77777777" w:rsidR="008F761F" w:rsidRPr="00981FF6" w:rsidRDefault="008F761F" w:rsidP="00FF3C71">
      <w:pPr>
        <w:pStyle w:val="ListParagraph"/>
        <w:numPr>
          <w:ilvl w:val="2"/>
          <w:numId w:val="1"/>
        </w:numPr>
        <w:spacing w:line="240" w:lineRule="auto"/>
        <w:rPr>
          <w:rFonts w:eastAsia="Times New Roman"/>
        </w:rPr>
      </w:pPr>
      <w:r w:rsidRPr="00981FF6">
        <w:rPr>
          <w:rFonts w:eastAsia="Times New Roman"/>
        </w:rPr>
        <w:t>FinancingReceivable</w:t>
      </w:r>
    </w:p>
    <w:p w14:paraId="50F4EBFF" w14:textId="77777777" w:rsidR="008F761F" w:rsidRPr="00981FF6" w:rsidRDefault="008F761F" w:rsidP="00FF3C71">
      <w:pPr>
        <w:pStyle w:val="ListParagraph"/>
        <w:numPr>
          <w:ilvl w:val="2"/>
          <w:numId w:val="1"/>
        </w:numPr>
        <w:spacing w:line="240" w:lineRule="auto"/>
        <w:rPr>
          <w:rFonts w:eastAsia="Times New Roman"/>
        </w:rPr>
      </w:pPr>
      <w:r w:rsidRPr="00981FF6">
        <w:rPr>
          <w:rFonts w:eastAsia="Times New Roman"/>
        </w:rPr>
        <w:t>NetInvestmentInLease</w:t>
      </w:r>
    </w:p>
    <w:p w14:paraId="5F0E7E9C" w14:textId="375AD6AA" w:rsidR="008F761F" w:rsidRDefault="008F761F" w:rsidP="00FF3C71">
      <w:pPr>
        <w:pStyle w:val="ListParagraph"/>
        <w:numPr>
          <w:ilvl w:val="2"/>
          <w:numId w:val="1"/>
        </w:numPr>
        <w:spacing w:line="240" w:lineRule="auto"/>
        <w:rPr>
          <w:rFonts w:eastAsia="Times New Roman"/>
        </w:rPr>
      </w:pPr>
      <w:r w:rsidRPr="00981FF6">
        <w:rPr>
          <w:rFonts w:eastAsia="Times New Roman"/>
        </w:rPr>
        <w:t>SalesTypeLeaseNet</w:t>
      </w:r>
    </w:p>
    <w:p w14:paraId="32EA169E" w14:textId="4307E5F0" w:rsidR="002C352D" w:rsidRDefault="00F73E7E" w:rsidP="002C352D">
      <w:pPr>
        <w:pStyle w:val="ListParagraph"/>
        <w:numPr>
          <w:ilvl w:val="0"/>
          <w:numId w:val="1"/>
        </w:numPr>
        <w:spacing w:line="240" w:lineRule="auto"/>
        <w:rPr>
          <w:rFonts w:eastAsia="Times New Roman"/>
        </w:rPr>
      </w:pPr>
      <w:r>
        <w:rPr>
          <w:rFonts w:eastAsia="Times New Roman"/>
        </w:rPr>
        <w:t xml:space="preserve">Campbell stated that this version will also include updates to </w:t>
      </w:r>
      <w:r w:rsidR="002C352D">
        <w:rPr>
          <w:rFonts w:eastAsia="Times New Roman"/>
        </w:rPr>
        <w:t xml:space="preserve">DQC_0015 for non-negative elements for </w:t>
      </w:r>
      <w:r w:rsidR="0063559C">
        <w:rPr>
          <w:rFonts w:eastAsia="Times New Roman"/>
        </w:rPr>
        <w:t xml:space="preserve">the </w:t>
      </w:r>
      <w:r w:rsidR="002C352D">
        <w:rPr>
          <w:rFonts w:eastAsia="Times New Roman"/>
        </w:rPr>
        <w:t>2023 taxonomy</w:t>
      </w:r>
    </w:p>
    <w:p w14:paraId="64DA121F" w14:textId="7735B36D" w:rsidR="002C352D" w:rsidRPr="00981FF6" w:rsidRDefault="002C352D" w:rsidP="002C352D">
      <w:pPr>
        <w:pStyle w:val="ListParagraph"/>
        <w:numPr>
          <w:ilvl w:val="0"/>
          <w:numId w:val="1"/>
        </w:numPr>
        <w:spacing w:line="240" w:lineRule="auto"/>
        <w:rPr>
          <w:rFonts w:eastAsia="Times New Roman"/>
        </w:rPr>
      </w:pPr>
      <w:r>
        <w:rPr>
          <w:rFonts w:eastAsia="Times New Roman"/>
        </w:rPr>
        <w:t>DQC_0080</w:t>
      </w:r>
      <w:r w:rsidR="008B2E67">
        <w:rPr>
          <w:rFonts w:eastAsia="Times New Roman"/>
        </w:rPr>
        <w:t xml:space="preserve"> – Campbell will add new elements for </w:t>
      </w:r>
      <w:r w:rsidR="0063559C">
        <w:rPr>
          <w:rFonts w:eastAsia="Times New Roman"/>
        </w:rPr>
        <w:t xml:space="preserve">the </w:t>
      </w:r>
      <w:r w:rsidR="008B2E67">
        <w:rPr>
          <w:rFonts w:eastAsia="Times New Roman"/>
        </w:rPr>
        <w:t>updated IFRS taxonomy</w:t>
      </w:r>
    </w:p>
    <w:p w14:paraId="1CE51BC9" w14:textId="39BAF241" w:rsidR="004B11F3" w:rsidRPr="00F42147" w:rsidRDefault="004B11F3" w:rsidP="00FF3C71">
      <w:pPr>
        <w:pStyle w:val="ListParagraph"/>
        <w:spacing w:line="332" w:lineRule="auto"/>
        <w:rPr>
          <w:bCs/>
        </w:rPr>
      </w:pPr>
    </w:p>
    <w:p w14:paraId="68692C81" w14:textId="188E8F92" w:rsidR="00B177BA" w:rsidRPr="0013768C" w:rsidRDefault="00B177BA" w:rsidP="00B177BA">
      <w:pPr>
        <w:pStyle w:val="ListParagraph"/>
        <w:numPr>
          <w:ilvl w:val="0"/>
          <w:numId w:val="36"/>
        </w:numPr>
        <w:spacing w:line="332" w:lineRule="auto"/>
      </w:pPr>
      <w:r w:rsidRPr="0013768C">
        <w:t>Motion to approve rules</w:t>
      </w:r>
      <w:r>
        <w:t xml:space="preserve"> DQC_0142, DQC_0143, DQC_014</w:t>
      </w:r>
      <w:r w:rsidR="00ED4C80">
        <w:t>4</w:t>
      </w:r>
      <w:r>
        <w:t xml:space="preserve">, </w:t>
      </w:r>
      <w:r w:rsidR="00ED4C80">
        <w:t xml:space="preserve">DQC_0145, DQC_0146, DQC_0147, DQC_0148 </w:t>
      </w:r>
      <w:r>
        <w:t>and updates to previously approved rules DQC_00</w:t>
      </w:r>
      <w:r w:rsidR="00C776D8">
        <w:t>43</w:t>
      </w:r>
      <w:r>
        <w:t>, DQC_0</w:t>
      </w:r>
      <w:r w:rsidR="00C776D8">
        <w:t>049</w:t>
      </w:r>
      <w:r>
        <w:t>, DQC_0</w:t>
      </w:r>
      <w:r w:rsidR="00C776D8">
        <w:t>118</w:t>
      </w:r>
      <w:r>
        <w:t>, DQC_0</w:t>
      </w:r>
      <w:r w:rsidR="00C776D8">
        <w:t>121</w:t>
      </w:r>
      <w:r>
        <w:t>, DQC_0</w:t>
      </w:r>
      <w:r w:rsidR="00C776D8">
        <w:t>141</w:t>
      </w:r>
      <w:r>
        <w:t>,</w:t>
      </w:r>
      <w:r w:rsidR="008B2E67">
        <w:t xml:space="preserve"> DQC_0015, </w:t>
      </w:r>
      <w:r>
        <w:t xml:space="preserve">effective </w:t>
      </w:r>
      <w:r w:rsidR="00F73E7E">
        <w:t>March</w:t>
      </w:r>
      <w:r>
        <w:t xml:space="preserve"> </w:t>
      </w:r>
      <w:r w:rsidR="00F73E7E">
        <w:t>3</w:t>
      </w:r>
      <w:r>
        <w:t>1, 202</w:t>
      </w:r>
      <w:r w:rsidR="00C776D8">
        <w:t>3</w:t>
      </w:r>
      <w:r w:rsidR="0063559C">
        <w:t>,</w:t>
      </w:r>
      <w:r w:rsidR="00F73E7E">
        <w:t xml:space="preserve"> and rule DQC_0080 effective May 1, 2023</w:t>
      </w:r>
      <w:r w:rsidR="0063559C">
        <w:t>,</w:t>
      </w:r>
      <w:r w:rsidR="00F73E7E">
        <w:t xml:space="preserve"> </w:t>
      </w:r>
      <w:r>
        <w:t xml:space="preserve">by </w:t>
      </w:r>
      <w:r w:rsidR="00470FA7">
        <w:t>Pranav Ghai</w:t>
      </w:r>
      <w:r>
        <w:t xml:space="preserve">, </w:t>
      </w:r>
      <w:r w:rsidRPr="0013768C">
        <w:t xml:space="preserve">seconded by </w:t>
      </w:r>
      <w:r>
        <w:t>Charles Kessler</w:t>
      </w:r>
    </w:p>
    <w:p w14:paraId="25DD4BF9" w14:textId="6BCC9134" w:rsidR="00B177BA" w:rsidRPr="0013768C" w:rsidRDefault="00B177BA" w:rsidP="00B177BA">
      <w:pPr>
        <w:pStyle w:val="ListParagraph"/>
        <w:numPr>
          <w:ilvl w:val="0"/>
          <w:numId w:val="36"/>
        </w:numPr>
        <w:spacing w:line="332" w:lineRule="auto"/>
      </w:pPr>
      <w:r w:rsidRPr="0013768C">
        <w:t xml:space="preserve">Vote (For </w:t>
      </w:r>
      <w:r w:rsidR="001D193B">
        <w:t>8</w:t>
      </w:r>
      <w:r w:rsidRPr="0013768C">
        <w:t>, 0 Against)</w:t>
      </w:r>
    </w:p>
    <w:p w14:paraId="35B853A5" w14:textId="4595109E" w:rsidR="00B177BA" w:rsidRDefault="00B177BA" w:rsidP="00B177BA">
      <w:pPr>
        <w:pStyle w:val="ListParagraph"/>
        <w:numPr>
          <w:ilvl w:val="0"/>
          <w:numId w:val="36"/>
        </w:numPr>
        <w:spacing w:line="332" w:lineRule="auto"/>
      </w:pPr>
      <w:r w:rsidRPr="0013768C">
        <w:t>Motion passed.</w:t>
      </w:r>
      <w:r w:rsidRPr="001359A2">
        <w:t xml:space="preserve"> </w:t>
      </w:r>
      <w:r w:rsidR="00C776D8">
        <w:t xml:space="preserve">DQC_0142, DQC_0143, DQC_0144, DQC_0145, DQC_0146, DQC_0147, DQC_0148 and updates to previously approved rules DQC_0043, DQC_0049, DQC_0118, DQC_0121, DQC_0141, </w:t>
      </w:r>
      <w:r w:rsidR="00470FA7">
        <w:t>DQC_0015, effective March 31, 2023 and rule DQC_0080 effective May 1, 2023</w:t>
      </w:r>
      <w:r>
        <w:t xml:space="preserve">. </w:t>
      </w:r>
    </w:p>
    <w:p w14:paraId="67BAA1EC" w14:textId="77777777" w:rsidR="005A13E0" w:rsidRDefault="005A13E0" w:rsidP="005A13E0">
      <w:pPr>
        <w:pStyle w:val="ListParagraph"/>
        <w:spacing w:line="332" w:lineRule="auto"/>
        <w:ind w:left="360"/>
        <w:rPr>
          <w:bCs/>
        </w:rPr>
      </w:pPr>
    </w:p>
    <w:p w14:paraId="56011E16" w14:textId="415BFA9F" w:rsidR="002121E5" w:rsidRDefault="002121E5" w:rsidP="002121E5">
      <w:pPr>
        <w:spacing w:line="332" w:lineRule="auto"/>
        <w:rPr>
          <w:rFonts w:ascii="Arial" w:eastAsia="Arial" w:hAnsi="Arial" w:cs="Arial"/>
          <w:b/>
          <w:sz w:val="22"/>
        </w:rPr>
      </w:pPr>
      <w:bookmarkStart w:id="10" w:name="_jlfzh4shieuy" w:colFirst="0" w:colLast="0"/>
      <w:bookmarkEnd w:id="10"/>
      <w:r>
        <w:rPr>
          <w:rFonts w:ascii="Arial" w:eastAsia="Arial" w:hAnsi="Arial" w:cs="Arial"/>
          <w:b/>
          <w:sz w:val="22"/>
        </w:rPr>
        <w:t>Introduction of Version 2</w:t>
      </w:r>
      <w:r w:rsidR="00C776D8">
        <w:rPr>
          <w:rFonts w:ascii="Arial" w:eastAsia="Arial" w:hAnsi="Arial" w:cs="Arial"/>
          <w:b/>
          <w:sz w:val="22"/>
        </w:rPr>
        <w:t>1</w:t>
      </w:r>
      <w:r>
        <w:rPr>
          <w:rFonts w:ascii="Arial" w:eastAsia="Arial" w:hAnsi="Arial" w:cs="Arial"/>
          <w:b/>
          <w:sz w:val="22"/>
        </w:rPr>
        <w:t xml:space="preserve"> DQC Rules</w:t>
      </w:r>
    </w:p>
    <w:p w14:paraId="7D02B47E" w14:textId="551A219F" w:rsidR="00470FA7" w:rsidRDefault="000474C9" w:rsidP="000474C9">
      <w:pPr>
        <w:pStyle w:val="ListParagraph"/>
        <w:numPr>
          <w:ilvl w:val="0"/>
          <w:numId w:val="36"/>
        </w:numPr>
        <w:spacing w:line="332" w:lineRule="auto"/>
        <w:rPr>
          <w:bCs/>
        </w:rPr>
      </w:pPr>
      <w:r w:rsidRPr="000474C9">
        <w:rPr>
          <w:bCs/>
        </w:rPr>
        <w:t>Campbell introduced new version 2</w:t>
      </w:r>
      <w:r w:rsidR="00C776D8">
        <w:rPr>
          <w:bCs/>
        </w:rPr>
        <w:t>1</w:t>
      </w:r>
      <w:r w:rsidRPr="000474C9">
        <w:rPr>
          <w:bCs/>
        </w:rPr>
        <w:t xml:space="preserve"> rules to the DQC.</w:t>
      </w:r>
      <w:r w:rsidR="00470FA7">
        <w:rPr>
          <w:bCs/>
        </w:rPr>
        <w:t xml:space="preserve"> The FASB had raised a number of items to be incorporated</w:t>
      </w:r>
      <w:r w:rsidR="00235189">
        <w:rPr>
          <w:bCs/>
        </w:rPr>
        <w:t xml:space="preserve"> to comply with </w:t>
      </w:r>
      <w:r w:rsidR="0063559C">
        <w:rPr>
          <w:bCs/>
        </w:rPr>
        <w:t>the</w:t>
      </w:r>
      <w:r w:rsidR="00D54B34">
        <w:rPr>
          <w:bCs/>
        </w:rPr>
        <w:t>ir</w:t>
      </w:r>
      <w:r w:rsidR="0063559C">
        <w:rPr>
          <w:bCs/>
        </w:rPr>
        <w:t xml:space="preserve"> </w:t>
      </w:r>
      <w:r w:rsidR="00235189">
        <w:rPr>
          <w:bCs/>
        </w:rPr>
        <w:t>guidance</w:t>
      </w:r>
      <w:r w:rsidR="00470FA7">
        <w:rPr>
          <w:bCs/>
        </w:rPr>
        <w:t>.</w:t>
      </w:r>
    </w:p>
    <w:p w14:paraId="4F82CC57" w14:textId="054DC113" w:rsidR="00235189" w:rsidRDefault="00470FA7" w:rsidP="00470FA7">
      <w:pPr>
        <w:pStyle w:val="ListParagraph"/>
        <w:numPr>
          <w:ilvl w:val="1"/>
          <w:numId w:val="36"/>
        </w:numPr>
        <w:spacing w:line="332" w:lineRule="auto"/>
        <w:rPr>
          <w:bCs/>
        </w:rPr>
      </w:pPr>
      <w:r>
        <w:rPr>
          <w:bCs/>
        </w:rPr>
        <w:lastRenderedPageBreak/>
        <w:t xml:space="preserve">Segment reporting – This rule will detect incorrect use of consolidated items axis, will check the calculations of segments and </w:t>
      </w:r>
      <w:r w:rsidR="00235189">
        <w:rPr>
          <w:bCs/>
        </w:rPr>
        <w:t xml:space="preserve">the </w:t>
      </w:r>
      <w:r>
        <w:rPr>
          <w:bCs/>
        </w:rPr>
        <w:t xml:space="preserve">use of </w:t>
      </w:r>
      <w:r w:rsidR="00D54B34">
        <w:rPr>
          <w:bCs/>
        </w:rPr>
        <w:t xml:space="preserve">the </w:t>
      </w:r>
      <w:r>
        <w:rPr>
          <w:bCs/>
        </w:rPr>
        <w:t>operating segment</w:t>
      </w:r>
      <w:r w:rsidR="00235189">
        <w:rPr>
          <w:bCs/>
        </w:rPr>
        <w:t xml:space="preserve"> axis.</w:t>
      </w:r>
    </w:p>
    <w:p w14:paraId="071A7BF4" w14:textId="56D2EBA1" w:rsidR="008E4B4F" w:rsidRDefault="00235189" w:rsidP="00470FA7">
      <w:pPr>
        <w:pStyle w:val="ListParagraph"/>
        <w:numPr>
          <w:ilvl w:val="1"/>
          <w:numId w:val="36"/>
        </w:numPr>
        <w:spacing w:line="332" w:lineRule="auto"/>
        <w:rPr>
          <w:bCs/>
        </w:rPr>
      </w:pPr>
      <w:r>
        <w:rPr>
          <w:bCs/>
        </w:rPr>
        <w:t xml:space="preserve">NonCurrent Assets Element Check </w:t>
      </w:r>
      <w:r w:rsidR="00810966">
        <w:rPr>
          <w:bCs/>
        </w:rPr>
        <w:t>–</w:t>
      </w:r>
      <w:r>
        <w:rPr>
          <w:bCs/>
        </w:rPr>
        <w:t xml:space="preserve"> </w:t>
      </w:r>
      <w:r w:rsidR="00810966">
        <w:rPr>
          <w:bCs/>
        </w:rPr>
        <w:t>This rule will check for the use of long-lived assets on the balance sheet</w:t>
      </w:r>
    </w:p>
    <w:p w14:paraId="7820AE34" w14:textId="0596E9CE" w:rsidR="00810966" w:rsidRDefault="00810966" w:rsidP="00470FA7">
      <w:pPr>
        <w:pStyle w:val="ListParagraph"/>
        <w:numPr>
          <w:ilvl w:val="1"/>
          <w:numId w:val="36"/>
        </w:numPr>
        <w:spacing w:line="332" w:lineRule="auto"/>
        <w:rPr>
          <w:bCs/>
        </w:rPr>
      </w:pPr>
      <w:r>
        <w:rPr>
          <w:bCs/>
        </w:rPr>
        <w:t>Hypercube Check – The rule will check for use of random hybercubes on face financial statements</w:t>
      </w:r>
    </w:p>
    <w:p w14:paraId="09942CC0" w14:textId="7B8CCB21" w:rsidR="00810966" w:rsidRDefault="00810966" w:rsidP="00470FA7">
      <w:pPr>
        <w:pStyle w:val="ListParagraph"/>
        <w:numPr>
          <w:ilvl w:val="1"/>
          <w:numId w:val="36"/>
        </w:numPr>
        <w:spacing w:line="332" w:lineRule="auto"/>
        <w:rPr>
          <w:bCs/>
        </w:rPr>
      </w:pPr>
      <w:r>
        <w:rPr>
          <w:bCs/>
        </w:rPr>
        <w:t>FDII</w:t>
      </w:r>
      <w:r w:rsidR="00EC7282">
        <w:rPr>
          <w:bCs/>
        </w:rPr>
        <w:t xml:space="preserve">, </w:t>
      </w:r>
      <w:r>
        <w:rPr>
          <w:bCs/>
        </w:rPr>
        <w:t>GILTI</w:t>
      </w:r>
      <w:r w:rsidR="00EC7282">
        <w:rPr>
          <w:bCs/>
        </w:rPr>
        <w:t xml:space="preserve"> and foreign tax</w:t>
      </w:r>
      <w:r>
        <w:rPr>
          <w:bCs/>
        </w:rPr>
        <w:t xml:space="preserve"> Rule</w:t>
      </w:r>
      <w:r w:rsidR="00EC7282">
        <w:rPr>
          <w:bCs/>
        </w:rPr>
        <w:t xml:space="preserve">s </w:t>
      </w:r>
      <w:r w:rsidR="00344B86">
        <w:rPr>
          <w:bCs/>
        </w:rPr>
        <w:t>–</w:t>
      </w:r>
      <w:r w:rsidR="00EC7282">
        <w:rPr>
          <w:bCs/>
        </w:rPr>
        <w:t xml:space="preserve"> These</w:t>
      </w:r>
      <w:r w:rsidR="00344B86">
        <w:rPr>
          <w:bCs/>
        </w:rPr>
        <w:t xml:space="preserve"> rules</w:t>
      </w:r>
      <w:r>
        <w:rPr>
          <w:bCs/>
        </w:rPr>
        <w:t xml:space="preserve"> will check</w:t>
      </w:r>
      <w:r w:rsidR="00D54B34">
        <w:rPr>
          <w:bCs/>
        </w:rPr>
        <w:t xml:space="preserve"> the</w:t>
      </w:r>
      <w:r>
        <w:rPr>
          <w:bCs/>
        </w:rPr>
        <w:t xml:space="preserve"> tax reconciliation </w:t>
      </w:r>
      <w:r w:rsidR="00794C86">
        <w:rPr>
          <w:bCs/>
        </w:rPr>
        <w:t xml:space="preserve">for use of extensions </w:t>
      </w:r>
      <w:r w:rsidR="008E78B7">
        <w:rPr>
          <w:bCs/>
        </w:rPr>
        <w:t>for these situations which have been added to the taxonomy.</w:t>
      </w:r>
    </w:p>
    <w:p w14:paraId="6CC4A836" w14:textId="77777777" w:rsidR="00E86886" w:rsidRDefault="00E86886" w:rsidP="00E86886">
      <w:pPr>
        <w:pStyle w:val="ListParagraph"/>
        <w:spacing w:line="332" w:lineRule="auto"/>
        <w:ind w:left="360"/>
        <w:rPr>
          <w:b/>
        </w:rPr>
      </w:pPr>
    </w:p>
    <w:p w14:paraId="1A97300D" w14:textId="4CF47F77" w:rsidR="00E86886" w:rsidRDefault="00E86886" w:rsidP="00E86886">
      <w:pPr>
        <w:pStyle w:val="ListParagraph"/>
        <w:spacing w:line="332" w:lineRule="auto"/>
        <w:ind w:left="0"/>
        <w:rPr>
          <w:b/>
        </w:rPr>
      </w:pPr>
      <w:r>
        <w:rPr>
          <w:b/>
        </w:rPr>
        <w:t>Future Meetings</w:t>
      </w:r>
    </w:p>
    <w:p w14:paraId="5ACAE4E0" w14:textId="5A2691A6" w:rsidR="00F42147" w:rsidRPr="00E86886" w:rsidRDefault="00F1330D" w:rsidP="00F42147">
      <w:pPr>
        <w:pStyle w:val="ListParagraph"/>
        <w:numPr>
          <w:ilvl w:val="0"/>
          <w:numId w:val="36"/>
        </w:numPr>
        <w:spacing w:line="332" w:lineRule="auto"/>
        <w:rPr>
          <w:b/>
        </w:rPr>
      </w:pPr>
      <w:r>
        <w:rPr>
          <w:bCs/>
        </w:rPr>
        <w:t>Ami presented</w:t>
      </w:r>
      <w:r w:rsidR="00F42147">
        <w:rPr>
          <w:bCs/>
        </w:rPr>
        <w:t xml:space="preserve"> the future dates for DQC meeting</w:t>
      </w:r>
      <w:r w:rsidR="00667591">
        <w:rPr>
          <w:bCs/>
        </w:rPr>
        <w:t>s</w:t>
      </w:r>
      <w:r w:rsidR="00F42147">
        <w:rPr>
          <w:bCs/>
        </w:rPr>
        <w:t xml:space="preserve"> for the remainder of the year.</w:t>
      </w:r>
    </w:p>
    <w:p w14:paraId="1E1C695A" w14:textId="39631C41" w:rsidR="002121E5" w:rsidRDefault="002121E5" w:rsidP="002121E5">
      <w:pPr>
        <w:spacing w:line="332" w:lineRule="auto"/>
        <w:ind w:left="1440"/>
        <w:rPr>
          <w:bCs/>
        </w:rPr>
      </w:pPr>
    </w:p>
    <w:p w14:paraId="2A3FC4A7" w14:textId="77777777" w:rsidR="00E86886" w:rsidRPr="002121E5" w:rsidRDefault="00E86886" w:rsidP="002121E5">
      <w:pPr>
        <w:spacing w:line="332" w:lineRule="auto"/>
        <w:ind w:left="1440"/>
        <w:rPr>
          <w:bCs/>
        </w:rPr>
      </w:pPr>
    </w:p>
    <w:p w14:paraId="6BFEC3D6" w14:textId="609B3A73" w:rsidR="00A33193" w:rsidRDefault="00A33193" w:rsidP="00A33193">
      <w:pPr>
        <w:spacing w:line="332" w:lineRule="auto"/>
        <w:rPr>
          <w:rFonts w:ascii="Arial" w:eastAsia="Arial" w:hAnsi="Arial" w:cs="Arial"/>
          <w:sz w:val="22"/>
        </w:rPr>
      </w:pPr>
      <w:r>
        <w:rPr>
          <w:rFonts w:ascii="Arial" w:eastAsia="Arial" w:hAnsi="Arial" w:cs="Arial"/>
          <w:sz w:val="22"/>
        </w:rPr>
        <w:t>Meeting adjourned 1</w:t>
      </w:r>
      <w:r w:rsidR="00F1330D">
        <w:rPr>
          <w:rFonts w:ascii="Arial" w:eastAsia="Arial" w:hAnsi="Arial" w:cs="Arial"/>
          <w:sz w:val="22"/>
        </w:rPr>
        <w:t>2</w:t>
      </w:r>
      <w:r>
        <w:rPr>
          <w:rFonts w:ascii="Arial" w:eastAsia="Arial" w:hAnsi="Arial" w:cs="Arial"/>
          <w:sz w:val="22"/>
        </w:rPr>
        <w:t>:</w:t>
      </w:r>
      <w:r w:rsidR="00F1330D">
        <w:rPr>
          <w:rFonts w:ascii="Arial" w:eastAsia="Arial" w:hAnsi="Arial" w:cs="Arial"/>
          <w:sz w:val="22"/>
        </w:rPr>
        <w:t>5</w:t>
      </w:r>
      <w:r>
        <w:rPr>
          <w:rFonts w:ascii="Arial" w:eastAsia="Arial" w:hAnsi="Arial" w:cs="Arial"/>
          <w:sz w:val="22"/>
        </w:rPr>
        <w:t>0</w:t>
      </w:r>
      <w:r w:rsidR="00C776D8">
        <w:rPr>
          <w:rFonts w:ascii="Arial" w:eastAsia="Arial" w:hAnsi="Arial" w:cs="Arial"/>
          <w:sz w:val="22"/>
        </w:rPr>
        <w:t>P</w:t>
      </w:r>
      <w:r>
        <w:rPr>
          <w:rFonts w:ascii="Arial" w:eastAsia="Arial" w:hAnsi="Arial" w:cs="Arial"/>
          <w:sz w:val="22"/>
        </w:rPr>
        <w:t xml:space="preserve">M.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B518" w14:textId="77777777" w:rsidR="00150473" w:rsidRDefault="00150473">
      <w:r>
        <w:separator/>
      </w:r>
    </w:p>
  </w:endnote>
  <w:endnote w:type="continuationSeparator" w:id="0">
    <w:p w14:paraId="22084F5C" w14:textId="77777777" w:rsidR="00150473" w:rsidRDefault="0015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95D5" w14:textId="77777777" w:rsidR="00150473" w:rsidRDefault="00150473">
      <w:r>
        <w:separator/>
      </w:r>
    </w:p>
  </w:footnote>
  <w:footnote w:type="continuationSeparator" w:id="0">
    <w:p w14:paraId="7FAB47A2" w14:textId="77777777" w:rsidR="00150473" w:rsidRDefault="00150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73"/>
    <w:multiLevelType w:val="hybridMultilevel"/>
    <w:tmpl w:val="61CE81C6"/>
    <w:lvl w:ilvl="0" w:tplc="EC66B3D2">
      <w:start w:val="1"/>
      <w:numFmt w:val="bullet"/>
      <w:lvlText w:val="•"/>
      <w:lvlJc w:val="left"/>
      <w:pPr>
        <w:tabs>
          <w:tab w:val="num" w:pos="720"/>
        </w:tabs>
        <w:ind w:left="720" w:hanging="360"/>
      </w:pPr>
      <w:rPr>
        <w:rFonts w:ascii="Arial" w:hAnsi="Arial" w:hint="default"/>
      </w:rPr>
    </w:lvl>
    <w:lvl w:ilvl="1" w:tplc="FBDCAC0E">
      <w:start w:val="1"/>
      <w:numFmt w:val="bullet"/>
      <w:lvlText w:val="•"/>
      <w:lvlJc w:val="left"/>
      <w:pPr>
        <w:tabs>
          <w:tab w:val="num" w:pos="1440"/>
        </w:tabs>
        <w:ind w:left="1440" w:hanging="360"/>
      </w:pPr>
      <w:rPr>
        <w:rFonts w:ascii="Arial" w:hAnsi="Arial" w:hint="default"/>
      </w:rPr>
    </w:lvl>
    <w:lvl w:ilvl="2" w:tplc="0CF429AC" w:tentative="1">
      <w:start w:val="1"/>
      <w:numFmt w:val="bullet"/>
      <w:lvlText w:val="•"/>
      <w:lvlJc w:val="left"/>
      <w:pPr>
        <w:tabs>
          <w:tab w:val="num" w:pos="2160"/>
        </w:tabs>
        <w:ind w:left="2160" w:hanging="360"/>
      </w:pPr>
      <w:rPr>
        <w:rFonts w:ascii="Arial" w:hAnsi="Arial" w:hint="default"/>
      </w:rPr>
    </w:lvl>
    <w:lvl w:ilvl="3" w:tplc="307A1530" w:tentative="1">
      <w:start w:val="1"/>
      <w:numFmt w:val="bullet"/>
      <w:lvlText w:val="•"/>
      <w:lvlJc w:val="left"/>
      <w:pPr>
        <w:tabs>
          <w:tab w:val="num" w:pos="2880"/>
        </w:tabs>
        <w:ind w:left="2880" w:hanging="360"/>
      </w:pPr>
      <w:rPr>
        <w:rFonts w:ascii="Arial" w:hAnsi="Arial" w:hint="default"/>
      </w:rPr>
    </w:lvl>
    <w:lvl w:ilvl="4" w:tplc="2676F9FE" w:tentative="1">
      <w:start w:val="1"/>
      <w:numFmt w:val="bullet"/>
      <w:lvlText w:val="•"/>
      <w:lvlJc w:val="left"/>
      <w:pPr>
        <w:tabs>
          <w:tab w:val="num" w:pos="3600"/>
        </w:tabs>
        <w:ind w:left="3600" w:hanging="360"/>
      </w:pPr>
      <w:rPr>
        <w:rFonts w:ascii="Arial" w:hAnsi="Arial" w:hint="default"/>
      </w:rPr>
    </w:lvl>
    <w:lvl w:ilvl="5" w:tplc="51348860" w:tentative="1">
      <w:start w:val="1"/>
      <w:numFmt w:val="bullet"/>
      <w:lvlText w:val="•"/>
      <w:lvlJc w:val="left"/>
      <w:pPr>
        <w:tabs>
          <w:tab w:val="num" w:pos="4320"/>
        </w:tabs>
        <w:ind w:left="4320" w:hanging="360"/>
      </w:pPr>
      <w:rPr>
        <w:rFonts w:ascii="Arial" w:hAnsi="Arial" w:hint="default"/>
      </w:rPr>
    </w:lvl>
    <w:lvl w:ilvl="6" w:tplc="57C6B494" w:tentative="1">
      <w:start w:val="1"/>
      <w:numFmt w:val="bullet"/>
      <w:lvlText w:val="•"/>
      <w:lvlJc w:val="left"/>
      <w:pPr>
        <w:tabs>
          <w:tab w:val="num" w:pos="5040"/>
        </w:tabs>
        <w:ind w:left="5040" w:hanging="360"/>
      </w:pPr>
      <w:rPr>
        <w:rFonts w:ascii="Arial" w:hAnsi="Arial" w:hint="default"/>
      </w:rPr>
    </w:lvl>
    <w:lvl w:ilvl="7" w:tplc="0F3CDB1C" w:tentative="1">
      <w:start w:val="1"/>
      <w:numFmt w:val="bullet"/>
      <w:lvlText w:val="•"/>
      <w:lvlJc w:val="left"/>
      <w:pPr>
        <w:tabs>
          <w:tab w:val="num" w:pos="5760"/>
        </w:tabs>
        <w:ind w:left="5760" w:hanging="360"/>
      </w:pPr>
      <w:rPr>
        <w:rFonts w:ascii="Arial" w:hAnsi="Arial" w:hint="default"/>
      </w:rPr>
    </w:lvl>
    <w:lvl w:ilvl="8" w:tplc="71B6E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79444A"/>
    <w:multiLevelType w:val="multilevel"/>
    <w:tmpl w:val="3946A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F41525"/>
    <w:multiLevelType w:val="hybridMultilevel"/>
    <w:tmpl w:val="B97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60561"/>
    <w:multiLevelType w:val="multilevel"/>
    <w:tmpl w:val="2046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F47DB"/>
    <w:multiLevelType w:val="multilevel"/>
    <w:tmpl w:val="D416C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F3BC6"/>
    <w:multiLevelType w:val="hybridMultilevel"/>
    <w:tmpl w:val="A1F49DE4"/>
    <w:lvl w:ilvl="0" w:tplc="BECAF040">
      <w:start w:val="1"/>
      <w:numFmt w:val="bullet"/>
      <w:lvlText w:val="•"/>
      <w:lvlJc w:val="left"/>
      <w:pPr>
        <w:tabs>
          <w:tab w:val="num" w:pos="720"/>
        </w:tabs>
        <w:ind w:left="720" w:hanging="360"/>
      </w:pPr>
      <w:rPr>
        <w:rFonts w:ascii="Arial" w:hAnsi="Arial" w:hint="default"/>
      </w:rPr>
    </w:lvl>
    <w:lvl w:ilvl="1" w:tplc="48EA9592" w:tentative="1">
      <w:start w:val="1"/>
      <w:numFmt w:val="bullet"/>
      <w:lvlText w:val="•"/>
      <w:lvlJc w:val="left"/>
      <w:pPr>
        <w:tabs>
          <w:tab w:val="num" w:pos="1440"/>
        </w:tabs>
        <w:ind w:left="1440" w:hanging="360"/>
      </w:pPr>
      <w:rPr>
        <w:rFonts w:ascii="Arial" w:hAnsi="Arial" w:hint="default"/>
      </w:rPr>
    </w:lvl>
    <w:lvl w:ilvl="2" w:tplc="9B8E0A2E" w:tentative="1">
      <w:start w:val="1"/>
      <w:numFmt w:val="bullet"/>
      <w:lvlText w:val="•"/>
      <w:lvlJc w:val="left"/>
      <w:pPr>
        <w:tabs>
          <w:tab w:val="num" w:pos="2160"/>
        </w:tabs>
        <w:ind w:left="2160" w:hanging="360"/>
      </w:pPr>
      <w:rPr>
        <w:rFonts w:ascii="Arial" w:hAnsi="Arial" w:hint="default"/>
      </w:rPr>
    </w:lvl>
    <w:lvl w:ilvl="3" w:tplc="C1BAA160" w:tentative="1">
      <w:start w:val="1"/>
      <w:numFmt w:val="bullet"/>
      <w:lvlText w:val="•"/>
      <w:lvlJc w:val="left"/>
      <w:pPr>
        <w:tabs>
          <w:tab w:val="num" w:pos="2880"/>
        </w:tabs>
        <w:ind w:left="2880" w:hanging="360"/>
      </w:pPr>
      <w:rPr>
        <w:rFonts w:ascii="Arial" w:hAnsi="Arial" w:hint="default"/>
      </w:rPr>
    </w:lvl>
    <w:lvl w:ilvl="4" w:tplc="7D441796" w:tentative="1">
      <w:start w:val="1"/>
      <w:numFmt w:val="bullet"/>
      <w:lvlText w:val="•"/>
      <w:lvlJc w:val="left"/>
      <w:pPr>
        <w:tabs>
          <w:tab w:val="num" w:pos="3600"/>
        </w:tabs>
        <w:ind w:left="3600" w:hanging="360"/>
      </w:pPr>
      <w:rPr>
        <w:rFonts w:ascii="Arial" w:hAnsi="Arial" w:hint="default"/>
      </w:rPr>
    </w:lvl>
    <w:lvl w:ilvl="5" w:tplc="1DEE9054" w:tentative="1">
      <w:start w:val="1"/>
      <w:numFmt w:val="bullet"/>
      <w:lvlText w:val="•"/>
      <w:lvlJc w:val="left"/>
      <w:pPr>
        <w:tabs>
          <w:tab w:val="num" w:pos="4320"/>
        </w:tabs>
        <w:ind w:left="4320" w:hanging="360"/>
      </w:pPr>
      <w:rPr>
        <w:rFonts w:ascii="Arial" w:hAnsi="Arial" w:hint="default"/>
      </w:rPr>
    </w:lvl>
    <w:lvl w:ilvl="6" w:tplc="790ADC36" w:tentative="1">
      <w:start w:val="1"/>
      <w:numFmt w:val="bullet"/>
      <w:lvlText w:val="•"/>
      <w:lvlJc w:val="left"/>
      <w:pPr>
        <w:tabs>
          <w:tab w:val="num" w:pos="5040"/>
        </w:tabs>
        <w:ind w:left="5040" w:hanging="360"/>
      </w:pPr>
      <w:rPr>
        <w:rFonts w:ascii="Arial" w:hAnsi="Arial" w:hint="default"/>
      </w:rPr>
    </w:lvl>
    <w:lvl w:ilvl="7" w:tplc="8E1EA9CE" w:tentative="1">
      <w:start w:val="1"/>
      <w:numFmt w:val="bullet"/>
      <w:lvlText w:val="•"/>
      <w:lvlJc w:val="left"/>
      <w:pPr>
        <w:tabs>
          <w:tab w:val="num" w:pos="5760"/>
        </w:tabs>
        <w:ind w:left="5760" w:hanging="360"/>
      </w:pPr>
      <w:rPr>
        <w:rFonts w:ascii="Arial" w:hAnsi="Arial" w:hint="default"/>
      </w:rPr>
    </w:lvl>
    <w:lvl w:ilvl="8" w:tplc="E7762B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97302B"/>
    <w:multiLevelType w:val="hybridMultilevel"/>
    <w:tmpl w:val="426A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3A0EAE"/>
    <w:multiLevelType w:val="hybridMultilevel"/>
    <w:tmpl w:val="C37A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6"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B1F08"/>
    <w:multiLevelType w:val="hybridMultilevel"/>
    <w:tmpl w:val="3CE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D19E7"/>
    <w:multiLevelType w:val="hybridMultilevel"/>
    <w:tmpl w:val="CB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34F7A"/>
    <w:multiLevelType w:val="multilevel"/>
    <w:tmpl w:val="806EA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1A45D6"/>
    <w:multiLevelType w:val="hybridMultilevel"/>
    <w:tmpl w:val="B2F60236"/>
    <w:lvl w:ilvl="0" w:tplc="517C9B8A">
      <w:start w:val="1"/>
      <w:numFmt w:val="bullet"/>
      <w:lvlText w:val="•"/>
      <w:lvlJc w:val="left"/>
      <w:pPr>
        <w:tabs>
          <w:tab w:val="num" w:pos="720"/>
        </w:tabs>
        <w:ind w:left="720" w:hanging="360"/>
      </w:pPr>
      <w:rPr>
        <w:rFonts w:ascii="Arial" w:hAnsi="Arial" w:hint="default"/>
      </w:rPr>
    </w:lvl>
    <w:lvl w:ilvl="1" w:tplc="8230E622" w:tentative="1">
      <w:start w:val="1"/>
      <w:numFmt w:val="bullet"/>
      <w:lvlText w:val="•"/>
      <w:lvlJc w:val="left"/>
      <w:pPr>
        <w:tabs>
          <w:tab w:val="num" w:pos="1440"/>
        </w:tabs>
        <w:ind w:left="1440" w:hanging="360"/>
      </w:pPr>
      <w:rPr>
        <w:rFonts w:ascii="Arial" w:hAnsi="Arial" w:hint="default"/>
      </w:rPr>
    </w:lvl>
    <w:lvl w:ilvl="2" w:tplc="60B0B16E" w:tentative="1">
      <w:start w:val="1"/>
      <w:numFmt w:val="bullet"/>
      <w:lvlText w:val="•"/>
      <w:lvlJc w:val="left"/>
      <w:pPr>
        <w:tabs>
          <w:tab w:val="num" w:pos="2160"/>
        </w:tabs>
        <w:ind w:left="2160" w:hanging="360"/>
      </w:pPr>
      <w:rPr>
        <w:rFonts w:ascii="Arial" w:hAnsi="Arial" w:hint="default"/>
      </w:rPr>
    </w:lvl>
    <w:lvl w:ilvl="3" w:tplc="784C7464" w:tentative="1">
      <w:start w:val="1"/>
      <w:numFmt w:val="bullet"/>
      <w:lvlText w:val="•"/>
      <w:lvlJc w:val="left"/>
      <w:pPr>
        <w:tabs>
          <w:tab w:val="num" w:pos="2880"/>
        </w:tabs>
        <w:ind w:left="2880" w:hanging="360"/>
      </w:pPr>
      <w:rPr>
        <w:rFonts w:ascii="Arial" w:hAnsi="Arial" w:hint="default"/>
      </w:rPr>
    </w:lvl>
    <w:lvl w:ilvl="4" w:tplc="8F645C02" w:tentative="1">
      <w:start w:val="1"/>
      <w:numFmt w:val="bullet"/>
      <w:lvlText w:val="•"/>
      <w:lvlJc w:val="left"/>
      <w:pPr>
        <w:tabs>
          <w:tab w:val="num" w:pos="3600"/>
        </w:tabs>
        <w:ind w:left="3600" w:hanging="360"/>
      </w:pPr>
      <w:rPr>
        <w:rFonts w:ascii="Arial" w:hAnsi="Arial" w:hint="default"/>
      </w:rPr>
    </w:lvl>
    <w:lvl w:ilvl="5" w:tplc="175A2C54" w:tentative="1">
      <w:start w:val="1"/>
      <w:numFmt w:val="bullet"/>
      <w:lvlText w:val="•"/>
      <w:lvlJc w:val="left"/>
      <w:pPr>
        <w:tabs>
          <w:tab w:val="num" w:pos="4320"/>
        </w:tabs>
        <w:ind w:left="4320" w:hanging="360"/>
      </w:pPr>
      <w:rPr>
        <w:rFonts w:ascii="Arial" w:hAnsi="Arial" w:hint="default"/>
      </w:rPr>
    </w:lvl>
    <w:lvl w:ilvl="6" w:tplc="E0A6CD48" w:tentative="1">
      <w:start w:val="1"/>
      <w:numFmt w:val="bullet"/>
      <w:lvlText w:val="•"/>
      <w:lvlJc w:val="left"/>
      <w:pPr>
        <w:tabs>
          <w:tab w:val="num" w:pos="5040"/>
        </w:tabs>
        <w:ind w:left="5040" w:hanging="360"/>
      </w:pPr>
      <w:rPr>
        <w:rFonts w:ascii="Arial" w:hAnsi="Arial" w:hint="default"/>
      </w:rPr>
    </w:lvl>
    <w:lvl w:ilvl="7" w:tplc="E280D8F2" w:tentative="1">
      <w:start w:val="1"/>
      <w:numFmt w:val="bullet"/>
      <w:lvlText w:val="•"/>
      <w:lvlJc w:val="left"/>
      <w:pPr>
        <w:tabs>
          <w:tab w:val="num" w:pos="5760"/>
        </w:tabs>
        <w:ind w:left="5760" w:hanging="360"/>
      </w:pPr>
      <w:rPr>
        <w:rFonts w:ascii="Arial" w:hAnsi="Arial" w:hint="default"/>
      </w:rPr>
    </w:lvl>
    <w:lvl w:ilvl="8" w:tplc="4DE26E0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1733BF"/>
    <w:multiLevelType w:val="multilevel"/>
    <w:tmpl w:val="B3AC6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80DD0"/>
    <w:multiLevelType w:val="hybridMultilevel"/>
    <w:tmpl w:val="5CCC7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774121"/>
    <w:multiLevelType w:val="hybridMultilevel"/>
    <w:tmpl w:val="680A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120637"/>
    <w:multiLevelType w:val="multilevel"/>
    <w:tmpl w:val="43C8B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1D261D"/>
    <w:multiLevelType w:val="hybridMultilevel"/>
    <w:tmpl w:val="B0A64822"/>
    <w:lvl w:ilvl="0" w:tplc="04090003">
      <w:start w:val="1"/>
      <w:numFmt w:val="bullet"/>
      <w:lvlText w:val="o"/>
      <w:lvlJc w:val="left"/>
      <w:pPr>
        <w:tabs>
          <w:tab w:val="num" w:pos="1440"/>
        </w:tabs>
        <w:ind w:left="1440" w:hanging="360"/>
      </w:pPr>
      <w:rPr>
        <w:rFonts w:ascii="Courier New" w:hAnsi="Courier New" w:cs="Courier New" w:hint="default"/>
      </w:rPr>
    </w:lvl>
    <w:lvl w:ilvl="1" w:tplc="BA887424" w:tentative="1">
      <w:start w:val="1"/>
      <w:numFmt w:val="bullet"/>
      <w:lvlText w:val="•"/>
      <w:lvlJc w:val="left"/>
      <w:pPr>
        <w:tabs>
          <w:tab w:val="num" w:pos="2160"/>
        </w:tabs>
        <w:ind w:left="2160" w:hanging="360"/>
      </w:pPr>
      <w:rPr>
        <w:rFonts w:ascii="Arial" w:hAnsi="Arial" w:hint="default"/>
      </w:rPr>
    </w:lvl>
    <w:lvl w:ilvl="2" w:tplc="106A16CE" w:tentative="1">
      <w:start w:val="1"/>
      <w:numFmt w:val="bullet"/>
      <w:lvlText w:val="•"/>
      <w:lvlJc w:val="left"/>
      <w:pPr>
        <w:tabs>
          <w:tab w:val="num" w:pos="2880"/>
        </w:tabs>
        <w:ind w:left="2880" w:hanging="360"/>
      </w:pPr>
      <w:rPr>
        <w:rFonts w:ascii="Arial" w:hAnsi="Arial" w:hint="default"/>
      </w:rPr>
    </w:lvl>
    <w:lvl w:ilvl="3" w:tplc="3D149FEC" w:tentative="1">
      <w:start w:val="1"/>
      <w:numFmt w:val="bullet"/>
      <w:lvlText w:val="•"/>
      <w:lvlJc w:val="left"/>
      <w:pPr>
        <w:tabs>
          <w:tab w:val="num" w:pos="3600"/>
        </w:tabs>
        <w:ind w:left="3600" w:hanging="360"/>
      </w:pPr>
      <w:rPr>
        <w:rFonts w:ascii="Arial" w:hAnsi="Arial" w:hint="default"/>
      </w:rPr>
    </w:lvl>
    <w:lvl w:ilvl="4" w:tplc="8FF0804E" w:tentative="1">
      <w:start w:val="1"/>
      <w:numFmt w:val="bullet"/>
      <w:lvlText w:val="•"/>
      <w:lvlJc w:val="left"/>
      <w:pPr>
        <w:tabs>
          <w:tab w:val="num" w:pos="4320"/>
        </w:tabs>
        <w:ind w:left="4320" w:hanging="360"/>
      </w:pPr>
      <w:rPr>
        <w:rFonts w:ascii="Arial" w:hAnsi="Arial" w:hint="default"/>
      </w:rPr>
    </w:lvl>
    <w:lvl w:ilvl="5" w:tplc="8EF493E4" w:tentative="1">
      <w:start w:val="1"/>
      <w:numFmt w:val="bullet"/>
      <w:lvlText w:val="•"/>
      <w:lvlJc w:val="left"/>
      <w:pPr>
        <w:tabs>
          <w:tab w:val="num" w:pos="5040"/>
        </w:tabs>
        <w:ind w:left="5040" w:hanging="360"/>
      </w:pPr>
      <w:rPr>
        <w:rFonts w:ascii="Arial" w:hAnsi="Arial" w:hint="default"/>
      </w:rPr>
    </w:lvl>
    <w:lvl w:ilvl="6" w:tplc="39E43C28" w:tentative="1">
      <w:start w:val="1"/>
      <w:numFmt w:val="bullet"/>
      <w:lvlText w:val="•"/>
      <w:lvlJc w:val="left"/>
      <w:pPr>
        <w:tabs>
          <w:tab w:val="num" w:pos="5760"/>
        </w:tabs>
        <w:ind w:left="5760" w:hanging="360"/>
      </w:pPr>
      <w:rPr>
        <w:rFonts w:ascii="Arial" w:hAnsi="Arial" w:hint="default"/>
      </w:rPr>
    </w:lvl>
    <w:lvl w:ilvl="7" w:tplc="299EE6DC" w:tentative="1">
      <w:start w:val="1"/>
      <w:numFmt w:val="bullet"/>
      <w:lvlText w:val="•"/>
      <w:lvlJc w:val="left"/>
      <w:pPr>
        <w:tabs>
          <w:tab w:val="num" w:pos="6480"/>
        </w:tabs>
        <w:ind w:left="6480" w:hanging="360"/>
      </w:pPr>
      <w:rPr>
        <w:rFonts w:ascii="Arial" w:hAnsi="Arial" w:hint="default"/>
      </w:rPr>
    </w:lvl>
    <w:lvl w:ilvl="8" w:tplc="0778DF0C" w:tentative="1">
      <w:start w:val="1"/>
      <w:numFmt w:val="bullet"/>
      <w:lvlText w:val="•"/>
      <w:lvlJc w:val="left"/>
      <w:pPr>
        <w:tabs>
          <w:tab w:val="num" w:pos="7200"/>
        </w:tabs>
        <w:ind w:left="7200" w:hanging="360"/>
      </w:pPr>
      <w:rPr>
        <w:rFonts w:ascii="Arial" w:hAnsi="Arial" w:hint="default"/>
      </w:rPr>
    </w:lvl>
  </w:abstractNum>
  <w:abstractNum w:abstractNumId="30" w15:restartNumberingAfterBreak="0">
    <w:nsid w:val="55335CA9"/>
    <w:multiLevelType w:val="hybridMultilevel"/>
    <w:tmpl w:val="F9EE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061AF8"/>
    <w:multiLevelType w:val="hybridMultilevel"/>
    <w:tmpl w:val="8AD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04632C"/>
    <w:multiLevelType w:val="hybridMultilevel"/>
    <w:tmpl w:val="9656E134"/>
    <w:lvl w:ilvl="0" w:tplc="3F2E42A0">
      <w:start w:val="1"/>
      <w:numFmt w:val="bullet"/>
      <w:lvlText w:val="•"/>
      <w:lvlJc w:val="left"/>
      <w:pPr>
        <w:tabs>
          <w:tab w:val="num" w:pos="720"/>
        </w:tabs>
        <w:ind w:left="720" w:hanging="360"/>
      </w:pPr>
      <w:rPr>
        <w:rFonts w:ascii="Arial" w:hAnsi="Arial" w:hint="default"/>
      </w:rPr>
    </w:lvl>
    <w:lvl w:ilvl="1" w:tplc="477A8D8C" w:tentative="1">
      <w:start w:val="1"/>
      <w:numFmt w:val="bullet"/>
      <w:lvlText w:val="•"/>
      <w:lvlJc w:val="left"/>
      <w:pPr>
        <w:tabs>
          <w:tab w:val="num" w:pos="1440"/>
        </w:tabs>
        <w:ind w:left="1440" w:hanging="360"/>
      </w:pPr>
      <w:rPr>
        <w:rFonts w:ascii="Arial" w:hAnsi="Arial" w:hint="default"/>
      </w:rPr>
    </w:lvl>
    <w:lvl w:ilvl="2" w:tplc="BCB87A5C" w:tentative="1">
      <w:start w:val="1"/>
      <w:numFmt w:val="bullet"/>
      <w:lvlText w:val="•"/>
      <w:lvlJc w:val="left"/>
      <w:pPr>
        <w:tabs>
          <w:tab w:val="num" w:pos="2160"/>
        </w:tabs>
        <w:ind w:left="2160" w:hanging="360"/>
      </w:pPr>
      <w:rPr>
        <w:rFonts w:ascii="Arial" w:hAnsi="Arial" w:hint="default"/>
      </w:rPr>
    </w:lvl>
    <w:lvl w:ilvl="3" w:tplc="8A2418C6" w:tentative="1">
      <w:start w:val="1"/>
      <w:numFmt w:val="bullet"/>
      <w:lvlText w:val="•"/>
      <w:lvlJc w:val="left"/>
      <w:pPr>
        <w:tabs>
          <w:tab w:val="num" w:pos="2880"/>
        </w:tabs>
        <w:ind w:left="2880" w:hanging="360"/>
      </w:pPr>
      <w:rPr>
        <w:rFonts w:ascii="Arial" w:hAnsi="Arial" w:hint="default"/>
      </w:rPr>
    </w:lvl>
    <w:lvl w:ilvl="4" w:tplc="DE40D3F0" w:tentative="1">
      <w:start w:val="1"/>
      <w:numFmt w:val="bullet"/>
      <w:lvlText w:val="•"/>
      <w:lvlJc w:val="left"/>
      <w:pPr>
        <w:tabs>
          <w:tab w:val="num" w:pos="3600"/>
        </w:tabs>
        <w:ind w:left="3600" w:hanging="360"/>
      </w:pPr>
      <w:rPr>
        <w:rFonts w:ascii="Arial" w:hAnsi="Arial" w:hint="default"/>
      </w:rPr>
    </w:lvl>
    <w:lvl w:ilvl="5" w:tplc="418641FA" w:tentative="1">
      <w:start w:val="1"/>
      <w:numFmt w:val="bullet"/>
      <w:lvlText w:val="•"/>
      <w:lvlJc w:val="left"/>
      <w:pPr>
        <w:tabs>
          <w:tab w:val="num" w:pos="4320"/>
        </w:tabs>
        <w:ind w:left="4320" w:hanging="360"/>
      </w:pPr>
      <w:rPr>
        <w:rFonts w:ascii="Arial" w:hAnsi="Arial" w:hint="default"/>
      </w:rPr>
    </w:lvl>
    <w:lvl w:ilvl="6" w:tplc="80F26432" w:tentative="1">
      <w:start w:val="1"/>
      <w:numFmt w:val="bullet"/>
      <w:lvlText w:val="•"/>
      <w:lvlJc w:val="left"/>
      <w:pPr>
        <w:tabs>
          <w:tab w:val="num" w:pos="5040"/>
        </w:tabs>
        <w:ind w:left="5040" w:hanging="360"/>
      </w:pPr>
      <w:rPr>
        <w:rFonts w:ascii="Arial" w:hAnsi="Arial" w:hint="default"/>
      </w:rPr>
    </w:lvl>
    <w:lvl w:ilvl="7" w:tplc="44D0457E" w:tentative="1">
      <w:start w:val="1"/>
      <w:numFmt w:val="bullet"/>
      <w:lvlText w:val="•"/>
      <w:lvlJc w:val="left"/>
      <w:pPr>
        <w:tabs>
          <w:tab w:val="num" w:pos="5760"/>
        </w:tabs>
        <w:ind w:left="5760" w:hanging="360"/>
      </w:pPr>
      <w:rPr>
        <w:rFonts w:ascii="Arial" w:hAnsi="Arial" w:hint="default"/>
      </w:rPr>
    </w:lvl>
    <w:lvl w:ilvl="8" w:tplc="54D8750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856B4"/>
    <w:multiLevelType w:val="hybridMultilevel"/>
    <w:tmpl w:val="ECFE8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B4B62"/>
    <w:multiLevelType w:val="hybridMultilevel"/>
    <w:tmpl w:val="40EE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35D48"/>
    <w:multiLevelType w:val="multilevel"/>
    <w:tmpl w:val="9CEA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E82ADD"/>
    <w:multiLevelType w:val="hybridMultilevel"/>
    <w:tmpl w:val="1BF02760"/>
    <w:lvl w:ilvl="0" w:tplc="1BE227F4">
      <w:start w:val="1"/>
      <w:numFmt w:val="bullet"/>
      <w:lvlText w:val="•"/>
      <w:lvlJc w:val="left"/>
      <w:pPr>
        <w:tabs>
          <w:tab w:val="num" w:pos="720"/>
        </w:tabs>
        <w:ind w:left="720" w:hanging="360"/>
      </w:pPr>
      <w:rPr>
        <w:rFonts w:ascii="Arial" w:hAnsi="Arial" w:hint="default"/>
      </w:rPr>
    </w:lvl>
    <w:lvl w:ilvl="1" w:tplc="11BA901E" w:tentative="1">
      <w:start w:val="1"/>
      <w:numFmt w:val="bullet"/>
      <w:lvlText w:val="•"/>
      <w:lvlJc w:val="left"/>
      <w:pPr>
        <w:tabs>
          <w:tab w:val="num" w:pos="1440"/>
        </w:tabs>
        <w:ind w:left="1440" w:hanging="360"/>
      </w:pPr>
      <w:rPr>
        <w:rFonts w:ascii="Arial" w:hAnsi="Arial" w:hint="default"/>
      </w:rPr>
    </w:lvl>
    <w:lvl w:ilvl="2" w:tplc="368CE866" w:tentative="1">
      <w:start w:val="1"/>
      <w:numFmt w:val="bullet"/>
      <w:lvlText w:val="•"/>
      <w:lvlJc w:val="left"/>
      <w:pPr>
        <w:tabs>
          <w:tab w:val="num" w:pos="2160"/>
        </w:tabs>
        <w:ind w:left="2160" w:hanging="360"/>
      </w:pPr>
      <w:rPr>
        <w:rFonts w:ascii="Arial" w:hAnsi="Arial" w:hint="default"/>
      </w:rPr>
    </w:lvl>
    <w:lvl w:ilvl="3" w:tplc="3C667240" w:tentative="1">
      <w:start w:val="1"/>
      <w:numFmt w:val="bullet"/>
      <w:lvlText w:val="•"/>
      <w:lvlJc w:val="left"/>
      <w:pPr>
        <w:tabs>
          <w:tab w:val="num" w:pos="2880"/>
        </w:tabs>
        <w:ind w:left="2880" w:hanging="360"/>
      </w:pPr>
      <w:rPr>
        <w:rFonts w:ascii="Arial" w:hAnsi="Arial" w:hint="default"/>
      </w:rPr>
    </w:lvl>
    <w:lvl w:ilvl="4" w:tplc="95181FA6" w:tentative="1">
      <w:start w:val="1"/>
      <w:numFmt w:val="bullet"/>
      <w:lvlText w:val="•"/>
      <w:lvlJc w:val="left"/>
      <w:pPr>
        <w:tabs>
          <w:tab w:val="num" w:pos="3600"/>
        </w:tabs>
        <w:ind w:left="3600" w:hanging="360"/>
      </w:pPr>
      <w:rPr>
        <w:rFonts w:ascii="Arial" w:hAnsi="Arial" w:hint="default"/>
      </w:rPr>
    </w:lvl>
    <w:lvl w:ilvl="5" w:tplc="A1D4D36E" w:tentative="1">
      <w:start w:val="1"/>
      <w:numFmt w:val="bullet"/>
      <w:lvlText w:val="•"/>
      <w:lvlJc w:val="left"/>
      <w:pPr>
        <w:tabs>
          <w:tab w:val="num" w:pos="4320"/>
        </w:tabs>
        <w:ind w:left="4320" w:hanging="360"/>
      </w:pPr>
      <w:rPr>
        <w:rFonts w:ascii="Arial" w:hAnsi="Arial" w:hint="default"/>
      </w:rPr>
    </w:lvl>
    <w:lvl w:ilvl="6" w:tplc="A27CF400" w:tentative="1">
      <w:start w:val="1"/>
      <w:numFmt w:val="bullet"/>
      <w:lvlText w:val="•"/>
      <w:lvlJc w:val="left"/>
      <w:pPr>
        <w:tabs>
          <w:tab w:val="num" w:pos="5040"/>
        </w:tabs>
        <w:ind w:left="5040" w:hanging="360"/>
      </w:pPr>
      <w:rPr>
        <w:rFonts w:ascii="Arial" w:hAnsi="Arial" w:hint="default"/>
      </w:rPr>
    </w:lvl>
    <w:lvl w:ilvl="7" w:tplc="2B6C2F82" w:tentative="1">
      <w:start w:val="1"/>
      <w:numFmt w:val="bullet"/>
      <w:lvlText w:val="•"/>
      <w:lvlJc w:val="left"/>
      <w:pPr>
        <w:tabs>
          <w:tab w:val="num" w:pos="5760"/>
        </w:tabs>
        <w:ind w:left="5760" w:hanging="360"/>
      </w:pPr>
      <w:rPr>
        <w:rFonts w:ascii="Arial" w:hAnsi="Arial" w:hint="default"/>
      </w:rPr>
    </w:lvl>
    <w:lvl w:ilvl="8" w:tplc="F4C26CF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0920933">
    <w:abstractNumId w:val="36"/>
  </w:num>
  <w:num w:numId="2" w16cid:durableId="1478912296">
    <w:abstractNumId w:val="27"/>
  </w:num>
  <w:num w:numId="3" w16cid:durableId="294216860">
    <w:abstractNumId w:val="37"/>
  </w:num>
  <w:num w:numId="4" w16cid:durableId="189955320">
    <w:abstractNumId w:val="40"/>
  </w:num>
  <w:num w:numId="5" w16cid:durableId="1229269705">
    <w:abstractNumId w:val="38"/>
  </w:num>
  <w:num w:numId="6" w16cid:durableId="344937885">
    <w:abstractNumId w:val="39"/>
  </w:num>
  <w:num w:numId="7" w16cid:durableId="2109232320">
    <w:abstractNumId w:val="20"/>
  </w:num>
  <w:num w:numId="8" w16cid:durableId="290286617">
    <w:abstractNumId w:val="9"/>
  </w:num>
  <w:num w:numId="9" w16cid:durableId="578557450">
    <w:abstractNumId w:val="7"/>
  </w:num>
  <w:num w:numId="10" w16cid:durableId="1595628571">
    <w:abstractNumId w:val="6"/>
  </w:num>
  <w:num w:numId="11" w16cid:durableId="665550055">
    <w:abstractNumId w:val="43"/>
  </w:num>
  <w:num w:numId="12" w16cid:durableId="42102792">
    <w:abstractNumId w:val="16"/>
  </w:num>
  <w:num w:numId="13" w16cid:durableId="1602755901">
    <w:abstractNumId w:val="45"/>
  </w:num>
  <w:num w:numId="14" w16cid:durableId="227955523">
    <w:abstractNumId w:val="12"/>
  </w:num>
  <w:num w:numId="15" w16cid:durableId="1641880368">
    <w:abstractNumId w:val="31"/>
  </w:num>
  <w:num w:numId="16" w16cid:durableId="151020605">
    <w:abstractNumId w:val="22"/>
  </w:num>
  <w:num w:numId="17" w16cid:durableId="1761216826">
    <w:abstractNumId w:val="14"/>
  </w:num>
  <w:num w:numId="18" w16cid:durableId="1664357480">
    <w:abstractNumId w:val="13"/>
  </w:num>
  <w:num w:numId="19" w16cid:durableId="702511303">
    <w:abstractNumId w:val="1"/>
  </w:num>
  <w:num w:numId="20" w16cid:durableId="26420052">
    <w:abstractNumId w:val="24"/>
  </w:num>
  <w:num w:numId="21" w16cid:durableId="1681077179">
    <w:abstractNumId w:val="32"/>
  </w:num>
  <w:num w:numId="22" w16cid:durableId="1212308259">
    <w:abstractNumId w:val="34"/>
  </w:num>
  <w:num w:numId="23" w16cid:durableId="1897742373">
    <w:abstractNumId w:val="15"/>
  </w:num>
  <w:num w:numId="24" w16cid:durableId="2068020354">
    <w:abstractNumId w:val="26"/>
  </w:num>
  <w:num w:numId="25" w16cid:durableId="1016620114">
    <w:abstractNumId w:val="44"/>
  </w:num>
  <w:num w:numId="26" w16cid:durableId="715667125">
    <w:abstractNumId w:val="0"/>
  </w:num>
  <w:num w:numId="27" w16cid:durableId="1560285056">
    <w:abstractNumId w:val="18"/>
  </w:num>
  <w:num w:numId="28" w16cid:durableId="1213887550">
    <w:abstractNumId w:val="26"/>
  </w:num>
  <w:num w:numId="29" w16cid:durableId="2032412143">
    <w:abstractNumId w:val="29"/>
  </w:num>
  <w:num w:numId="30" w16cid:durableId="1888295545">
    <w:abstractNumId w:val="11"/>
  </w:num>
  <w:num w:numId="31" w16cid:durableId="657392226">
    <w:abstractNumId w:val="25"/>
  </w:num>
  <w:num w:numId="32" w16cid:durableId="1546209283">
    <w:abstractNumId w:val="33"/>
  </w:num>
  <w:num w:numId="33" w16cid:durableId="1206332029">
    <w:abstractNumId w:val="17"/>
  </w:num>
  <w:num w:numId="34" w16cid:durableId="206258008">
    <w:abstractNumId w:val="30"/>
  </w:num>
  <w:num w:numId="35" w16cid:durableId="645285010">
    <w:abstractNumId w:val="23"/>
  </w:num>
  <w:num w:numId="36" w16cid:durableId="646208861">
    <w:abstractNumId w:val="2"/>
  </w:num>
  <w:num w:numId="37" w16cid:durableId="371736594">
    <w:abstractNumId w:val="19"/>
  </w:num>
  <w:num w:numId="38" w16cid:durableId="1274946089">
    <w:abstractNumId w:val="4"/>
  </w:num>
  <w:num w:numId="39" w16cid:durableId="539821744">
    <w:abstractNumId w:val="8"/>
  </w:num>
  <w:num w:numId="40" w16cid:durableId="35547009">
    <w:abstractNumId w:val="42"/>
  </w:num>
  <w:num w:numId="41" w16cid:durableId="84041473">
    <w:abstractNumId w:val="35"/>
  </w:num>
  <w:num w:numId="42" w16cid:durableId="822041199">
    <w:abstractNumId w:val="10"/>
  </w:num>
  <w:num w:numId="43" w16cid:durableId="939072429">
    <w:abstractNumId w:val="21"/>
  </w:num>
  <w:num w:numId="44" w16cid:durableId="297299013">
    <w:abstractNumId w:val="41"/>
  </w:num>
  <w:num w:numId="45" w16cid:durableId="2136941999">
    <w:abstractNumId w:val="5"/>
  </w:num>
  <w:num w:numId="46" w16cid:durableId="1388724552">
    <w:abstractNumId w:val="28"/>
  </w:num>
  <w:num w:numId="47" w16cid:durableId="51288719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07ED6"/>
    <w:rsid w:val="000127F5"/>
    <w:rsid w:val="000136DB"/>
    <w:rsid w:val="00014A38"/>
    <w:rsid w:val="00016AA4"/>
    <w:rsid w:val="00016F7E"/>
    <w:rsid w:val="000204AB"/>
    <w:rsid w:val="00020EA9"/>
    <w:rsid w:val="00021BB0"/>
    <w:rsid w:val="00024380"/>
    <w:rsid w:val="00025914"/>
    <w:rsid w:val="00026C18"/>
    <w:rsid w:val="000309CD"/>
    <w:rsid w:val="00034B1F"/>
    <w:rsid w:val="000413C8"/>
    <w:rsid w:val="00043834"/>
    <w:rsid w:val="00044F05"/>
    <w:rsid w:val="00046D37"/>
    <w:rsid w:val="000474C9"/>
    <w:rsid w:val="00047C0B"/>
    <w:rsid w:val="0005041A"/>
    <w:rsid w:val="00052B41"/>
    <w:rsid w:val="00054417"/>
    <w:rsid w:val="000548F4"/>
    <w:rsid w:val="000558DD"/>
    <w:rsid w:val="00055DF4"/>
    <w:rsid w:val="00056425"/>
    <w:rsid w:val="0005737B"/>
    <w:rsid w:val="00063061"/>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54E6"/>
    <w:rsid w:val="00096039"/>
    <w:rsid w:val="00096B55"/>
    <w:rsid w:val="000A373D"/>
    <w:rsid w:val="000A40AB"/>
    <w:rsid w:val="000A67DF"/>
    <w:rsid w:val="000B19CB"/>
    <w:rsid w:val="000B1C9E"/>
    <w:rsid w:val="000B207C"/>
    <w:rsid w:val="000B3BF6"/>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12E9F"/>
    <w:rsid w:val="001147FB"/>
    <w:rsid w:val="00116D46"/>
    <w:rsid w:val="00122964"/>
    <w:rsid w:val="00124C90"/>
    <w:rsid w:val="00125B56"/>
    <w:rsid w:val="001262B6"/>
    <w:rsid w:val="00126640"/>
    <w:rsid w:val="00126919"/>
    <w:rsid w:val="001318C6"/>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63B"/>
    <w:rsid w:val="001C175D"/>
    <w:rsid w:val="001C389D"/>
    <w:rsid w:val="001C59CC"/>
    <w:rsid w:val="001D0A77"/>
    <w:rsid w:val="001D193B"/>
    <w:rsid w:val="001D3459"/>
    <w:rsid w:val="001D383E"/>
    <w:rsid w:val="001D3B82"/>
    <w:rsid w:val="001D5D68"/>
    <w:rsid w:val="001D698D"/>
    <w:rsid w:val="001D6B1E"/>
    <w:rsid w:val="001E2606"/>
    <w:rsid w:val="001E3A76"/>
    <w:rsid w:val="001F0134"/>
    <w:rsid w:val="001F186F"/>
    <w:rsid w:val="001F62ED"/>
    <w:rsid w:val="001F7ADF"/>
    <w:rsid w:val="00202510"/>
    <w:rsid w:val="00204836"/>
    <w:rsid w:val="002074D6"/>
    <w:rsid w:val="00207514"/>
    <w:rsid w:val="002121E5"/>
    <w:rsid w:val="00212269"/>
    <w:rsid w:val="00212E84"/>
    <w:rsid w:val="00212FAB"/>
    <w:rsid w:val="0021499F"/>
    <w:rsid w:val="002163A6"/>
    <w:rsid w:val="00220D59"/>
    <w:rsid w:val="0022145D"/>
    <w:rsid w:val="00221EA4"/>
    <w:rsid w:val="0022274F"/>
    <w:rsid w:val="00230379"/>
    <w:rsid w:val="00230A9B"/>
    <w:rsid w:val="00231A2B"/>
    <w:rsid w:val="002324E3"/>
    <w:rsid w:val="00234097"/>
    <w:rsid w:val="00234902"/>
    <w:rsid w:val="00235189"/>
    <w:rsid w:val="00235CE1"/>
    <w:rsid w:val="00235DD8"/>
    <w:rsid w:val="002400C8"/>
    <w:rsid w:val="00240C2F"/>
    <w:rsid w:val="0024118F"/>
    <w:rsid w:val="002411F8"/>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6985"/>
    <w:rsid w:val="002878C8"/>
    <w:rsid w:val="002907ED"/>
    <w:rsid w:val="00290C62"/>
    <w:rsid w:val="00292588"/>
    <w:rsid w:val="00292838"/>
    <w:rsid w:val="002936F4"/>
    <w:rsid w:val="00295C0F"/>
    <w:rsid w:val="00295E54"/>
    <w:rsid w:val="00296DA6"/>
    <w:rsid w:val="0029757F"/>
    <w:rsid w:val="002A0601"/>
    <w:rsid w:val="002A09BF"/>
    <w:rsid w:val="002A14AA"/>
    <w:rsid w:val="002A2031"/>
    <w:rsid w:val="002A411B"/>
    <w:rsid w:val="002A6581"/>
    <w:rsid w:val="002A6C2E"/>
    <w:rsid w:val="002A70CC"/>
    <w:rsid w:val="002B3CE6"/>
    <w:rsid w:val="002B49CC"/>
    <w:rsid w:val="002B64DB"/>
    <w:rsid w:val="002C0324"/>
    <w:rsid w:val="002C0A20"/>
    <w:rsid w:val="002C18B0"/>
    <w:rsid w:val="002C352D"/>
    <w:rsid w:val="002C52D1"/>
    <w:rsid w:val="002C5C6A"/>
    <w:rsid w:val="002C7013"/>
    <w:rsid w:val="002C763D"/>
    <w:rsid w:val="002C77AA"/>
    <w:rsid w:val="002D0471"/>
    <w:rsid w:val="002D226D"/>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404C"/>
    <w:rsid w:val="00305DAD"/>
    <w:rsid w:val="003071CC"/>
    <w:rsid w:val="00310738"/>
    <w:rsid w:val="0031170D"/>
    <w:rsid w:val="0031179F"/>
    <w:rsid w:val="00312759"/>
    <w:rsid w:val="00312FC5"/>
    <w:rsid w:val="00317120"/>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31F"/>
    <w:rsid w:val="003709C0"/>
    <w:rsid w:val="003723BB"/>
    <w:rsid w:val="0037353E"/>
    <w:rsid w:val="00373919"/>
    <w:rsid w:val="003744B1"/>
    <w:rsid w:val="00375BB8"/>
    <w:rsid w:val="003767EB"/>
    <w:rsid w:val="00377959"/>
    <w:rsid w:val="00377FB7"/>
    <w:rsid w:val="0038190C"/>
    <w:rsid w:val="003830A0"/>
    <w:rsid w:val="00384588"/>
    <w:rsid w:val="00390AD5"/>
    <w:rsid w:val="003911CD"/>
    <w:rsid w:val="003939B9"/>
    <w:rsid w:val="003959DA"/>
    <w:rsid w:val="00395EA4"/>
    <w:rsid w:val="003A0C0B"/>
    <w:rsid w:val="003A2B6F"/>
    <w:rsid w:val="003B3014"/>
    <w:rsid w:val="003B3597"/>
    <w:rsid w:val="003B3B44"/>
    <w:rsid w:val="003C058E"/>
    <w:rsid w:val="003C1124"/>
    <w:rsid w:val="003C312A"/>
    <w:rsid w:val="003C5EEA"/>
    <w:rsid w:val="003D4A46"/>
    <w:rsid w:val="003D5BBE"/>
    <w:rsid w:val="003E24CB"/>
    <w:rsid w:val="003E351D"/>
    <w:rsid w:val="003E723C"/>
    <w:rsid w:val="003E7453"/>
    <w:rsid w:val="003E791C"/>
    <w:rsid w:val="003E7925"/>
    <w:rsid w:val="003E79E3"/>
    <w:rsid w:val="003F1A04"/>
    <w:rsid w:val="003F2197"/>
    <w:rsid w:val="003F435A"/>
    <w:rsid w:val="004024FB"/>
    <w:rsid w:val="00402D47"/>
    <w:rsid w:val="00403596"/>
    <w:rsid w:val="00403FF5"/>
    <w:rsid w:val="00404CE0"/>
    <w:rsid w:val="00407010"/>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0FA7"/>
    <w:rsid w:val="0047139A"/>
    <w:rsid w:val="00472478"/>
    <w:rsid w:val="0047313A"/>
    <w:rsid w:val="004748A1"/>
    <w:rsid w:val="00475CE3"/>
    <w:rsid w:val="00476B5C"/>
    <w:rsid w:val="004778EF"/>
    <w:rsid w:val="00482CDA"/>
    <w:rsid w:val="00483A54"/>
    <w:rsid w:val="004928B6"/>
    <w:rsid w:val="0049458D"/>
    <w:rsid w:val="0049465B"/>
    <w:rsid w:val="00494A56"/>
    <w:rsid w:val="00494D94"/>
    <w:rsid w:val="0049524E"/>
    <w:rsid w:val="00495E9C"/>
    <w:rsid w:val="00497187"/>
    <w:rsid w:val="004A1956"/>
    <w:rsid w:val="004A1E93"/>
    <w:rsid w:val="004A2BEB"/>
    <w:rsid w:val="004A32D5"/>
    <w:rsid w:val="004B09A2"/>
    <w:rsid w:val="004B11F3"/>
    <w:rsid w:val="004B21A7"/>
    <w:rsid w:val="004B325A"/>
    <w:rsid w:val="004B3352"/>
    <w:rsid w:val="004B4BD3"/>
    <w:rsid w:val="004B734D"/>
    <w:rsid w:val="004B7B08"/>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E1A8B"/>
    <w:rsid w:val="004E4435"/>
    <w:rsid w:val="004E51FF"/>
    <w:rsid w:val="004E6621"/>
    <w:rsid w:val="004E7BDD"/>
    <w:rsid w:val="004F3856"/>
    <w:rsid w:val="004F471A"/>
    <w:rsid w:val="00500040"/>
    <w:rsid w:val="005005A2"/>
    <w:rsid w:val="0050070D"/>
    <w:rsid w:val="00502AE5"/>
    <w:rsid w:val="005036DF"/>
    <w:rsid w:val="00511AAD"/>
    <w:rsid w:val="005121E7"/>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8F2"/>
    <w:rsid w:val="00590126"/>
    <w:rsid w:val="00591B7D"/>
    <w:rsid w:val="005920B1"/>
    <w:rsid w:val="0059243D"/>
    <w:rsid w:val="00593811"/>
    <w:rsid w:val="00593C09"/>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851"/>
    <w:rsid w:val="005C5A47"/>
    <w:rsid w:val="005C63B8"/>
    <w:rsid w:val="005C693B"/>
    <w:rsid w:val="005D009B"/>
    <w:rsid w:val="005D0922"/>
    <w:rsid w:val="005D0D31"/>
    <w:rsid w:val="005D223A"/>
    <w:rsid w:val="005D2C29"/>
    <w:rsid w:val="005D3FB4"/>
    <w:rsid w:val="005D5C7A"/>
    <w:rsid w:val="005D6513"/>
    <w:rsid w:val="005E49C3"/>
    <w:rsid w:val="005E5673"/>
    <w:rsid w:val="005F4F3C"/>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30028"/>
    <w:rsid w:val="00634F4C"/>
    <w:rsid w:val="0063559C"/>
    <w:rsid w:val="00636361"/>
    <w:rsid w:val="00636EB5"/>
    <w:rsid w:val="00641115"/>
    <w:rsid w:val="0064182C"/>
    <w:rsid w:val="00641B08"/>
    <w:rsid w:val="00643706"/>
    <w:rsid w:val="006467C5"/>
    <w:rsid w:val="00646A65"/>
    <w:rsid w:val="00646C7E"/>
    <w:rsid w:val="006554CE"/>
    <w:rsid w:val="00656CDF"/>
    <w:rsid w:val="00657D8E"/>
    <w:rsid w:val="00660283"/>
    <w:rsid w:val="006608D3"/>
    <w:rsid w:val="0066246C"/>
    <w:rsid w:val="00663B29"/>
    <w:rsid w:val="00667591"/>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A1D"/>
    <w:rsid w:val="00692982"/>
    <w:rsid w:val="00692DC8"/>
    <w:rsid w:val="006A1F47"/>
    <w:rsid w:val="006A4008"/>
    <w:rsid w:val="006A6E5A"/>
    <w:rsid w:val="006B5247"/>
    <w:rsid w:val="006B59ED"/>
    <w:rsid w:val="006B7294"/>
    <w:rsid w:val="006C1FC4"/>
    <w:rsid w:val="006C2843"/>
    <w:rsid w:val="006C2D2C"/>
    <w:rsid w:val="006C47F9"/>
    <w:rsid w:val="006C4F0F"/>
    <w:rsid w:val="006D180D"/>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7011F3"/>
    <w:rsid w:val="00702128"/>
    <w:rsid w:val="00702AAF"/>
    <w:rsid w:val="00703F48"/>
    <w:rsid w:val="00705294"/>
    <w:rsid w:val="00705B84"/>
    <w:rsid w:val="0071319A"/>
    <w:rsid w:val="00714C1D"/>
    <w:rsid w:val="007166C7"/>
    <w:rsid w:val="007173C9"/>
    <w:rsid w:val="00722683"/>
    <w:rsid w:val="007249A3"/>
    <w:rsid w:val="00727879"/>
    <w:rsid w:val="00732D00"/>
    <w:rsid w:val="00733567"/>
    <w:rsid w:val="00736A8C"/>
    <w:rsid w:val="0073741E"/>
    <w:rsid w:val="007413F1"/>
    <w:rsid w:val="00741737"/>
    <w:rsid w:val="00741D3D"/>
    <w:rsid w:val="00743520"/>
    <w:rsid w:val="007439E4"/>
    <w:rsid w:val="007450ED"/>
    <w:rsid w:val="007464E0"/>
    <w:rsid w:val="0074756D"/>
    <w:rsid w:val="00747CB1"/>
    <w:rsid w:val="00750B0E"/>
    <w:rsid w:val="007544F4"/>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5A03"/>
    <w:rsid w:val="007811A3"/>
    <w:rsid w:val="00782FF2"/>
    <w:rsid w:val="00783308"/>
    <w:rsid w:val="00784969"/>
    <w:rsid w:val="007855EC"/>
    <w:rsid w:val="007863AC"/>
    <w:rsid w:val="0079101C"/>
    <w:rsid w:val="00794C46"/>
    <w:rsid w:val="00794C86"/>
    <w:rsid w:val="00794D7E"/>
    <w:rsid w:val="0079728F"/>
    <w:rsid w:val="007A3873"/>
    <w:rsid w:val="007A5966"/>
    <w:rsid w:val="007B13A8"/>
    <w:rsid w:val="007B31DC"/>
    <w:rsid w:val="007B648F"/>
    <w:rsid w:val="007B68BE"/>
    <w:rsid w:val="007B69F6"/>
    <w:rsid w:val="007B7561"/>
    <w:rsid w:val="007C13B3"/>
    <w:rsid w:val="007C1682"/>
    <w:rsid w:val="007C42AF"/>
    <w:rsid w:val="007C62CC"/>
    <w:rsid w:val="007C7A0B"/>
    <w:rsid w:val="007C7A6A"/>
    <w:rsid w:val="007D070E"/>
    <w:rsid w:val="007D0B53"/>
    <w:rsid w:val="007D11E7"/>
    <w:rsid w:val="007D168D"/>
    <w:rsid w:val="007D35FB"/>
    <w:rsid w:val="007D3D4B"/>
    <w:rsid w:val="007D4F9D"/>
    <w:rsid w:val="007E0633"/>
    <w:rsid w:val="007E4393"/>
    <w:rsid w:val="007E6554"/>
    <w:rsid w:val="007E7591"/>
    <w:rsid w:val="007F0A81"/>
    <w:rsid w:val="007F0EF4"/>
    <w:rsid w:val="007F180F"/>
    <w:rsid w:val="007F1C8C"/>
    <w:rsid w:val="007F3FC6"/>
    <w:rsid w:val="007F4185"/>
    <w:rsid w:val="007F46DE"/>
    <w:rsid w:val="0080165B"/>
    <w:rsid w:val="0080213C"/>
    <w:rsid w:val="008023BA"/>
    <w:rsid w:val="00803468"/>
    <w:rsid w:val="00810966"/>
    <w:rsid w:val="00810A10"/>
    <w:rsid w:val="00811793"/>
    <w:rsid w:val="008117E2"/>
    <w:rsid w:val="008122A8"/>
    <w:rsid w:val="00812562"/>
    <w:rsid w:val="00812690"/>
    <w:rsid w:val="00813A6D"/>
    <w:rsid w:val="00816455"/>
    <w:rsid w:val="00816C8F"/>
    <w:rsid w:val="00817CA9"/>
    <w:rsid w:val="00821F2A"/>
    <w:rsid w:val="008223B5"/>
    <w:rsid w:val="008279FD"/>
    <w:rsid w:val="00831CB3"/>
    <w:rsid w:val="0083365D"/>
    <w:rsid w:val="008348B6"/>
    <w:rsid w:val="00834B41"/>
    <w:rsid w:val="00835F86"/>
    <w:rsid w:val="0083745E"/>
    <w:rsid w:val="00840DF6"/>
    <w:rsid w:val="00842C06"/>
    <w:rsid w:val="00843F7B"/>
    <w:rsid w:val="0084755C"/>
    <w:rsid w:val="00847BC4"/>
    <w:rsid w:val="00847CA6"/>
    <w:rsid w:val="00847D0F"/>
    <w:rsid w:val="00847EF2"/>
    <w:rsid w:val="00855605"/>
    <w:rsid w:val="008568FE"/>
    <w:rsid w:val="00856BF6"/>
    <w:rsid w:val="00862AD6"/>
    <w:rsid w:val="00862DC9"/>
    <w:rsid w:val="00863977"/>
    <w:rsid w:val="008646D3"/>
    <w:rsid w:val="00864FE0"/>
    <w:rsid w:val="008676DC"/>
    <w:rsid w:val="00870FA7"/>
    <w:rsid w:val="008716E1"/>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1F8B"/>
    <w:rsid w:val="00897BAC"/>
    <w:rsid w:val="008A00BB"/>
    <w:rsid w:val="008A1ACA"/>
    <w:rsid w:val="008A63E8"/>
    <w:rsid w:val="008A6C30"/>
    <w:rsid w:val="008B0414"/>
    <w:rsid w:val="008B2E0E"/>
    <w:rsid w:val="008B2E67"/>
    <w:rsid w:val="008B3A60"/>
    <w:rsid w:val="008B5D15"/>
    <w:rsid w:val="008C01E5"/>
    <w:rsid w:val="008C113A"/>
    <w:rsid w:val="008C739C"/>
    <w:rsid w:val="008C7D4A"/>
    <w:rsid w:val="008D07A7"/>
    <w:rsid w:val="008D2197"/>
    <w:rsid w:val="008D21B3"/>
    <w:rsid w:val="008D23F7"/>
    <w:rsid w:val="008D4DA1"/>
    <w:rsid w:val="008E3E5C"/>
    <w:rsid w:val="008E4914"/>
    <w:rsid w:val="008E4B4F"/>
    <w:rsid w:val="008E78B7"/>
    <w:rsid w:val="008E7CE9"/>
    <w:rsid w:val="008F1DF5"/>
    <w:rsid w:val="008F48FC"/>
    <w:rsid w:val="008F5512"/>
    <w:rsid w:val="008F761F"/>
    <w:rsid w:val="0090041A"/>
    <w:rsid w:val="00900815"/>
    <w:rsid w:val="00901172"/>
    <w:rsid w:val="00902FEA"/>
    <w:rsid w:val="00903A18"/>
    <w:rsid w:val="00905256"/>
    <w:rsid w:val="009119BA"/>
    <w:rsid w:val="00911C1E"/>
    <w:rsid w:val="009123CB"/>
    <w:rsid w:val="00912646"/>
    <w:rsid w:val="009142B4"/>
    <w:rsid w:val="009179C5"/>
    <w:rsid w:val="00922577"/>
    <w:rsid w:val="00923E79"/>
    <w:rsid w:val="009256ED"/>
    <w:rsid w:val="00926A1A"/>
    <w:rsid w:val="009275BC"/>
    <w:rsid w:val="00927A85"/>
    <w:rsid w:val="0093537C"/>
    <w:rsid w:val="009361C7"/>
    <w:rsid w:val="0093673C"/>
    <w:rsid w:val="00936A8B"/>
    <w:rsid w:val="00940ADB"/>
    <w:rsid w:val="00942C6A"/>
    <w:rsid w:val="009435E6"/>
    <w:rsid w:val="0094465B"/>
    <w:rsid w:val="00947A01"/>
    <w:rsid w:val="00953A3F"/>
    <w:rsid w:val="00953E7F"/>
    <w:rsid w:val="0095418A"/>
    <w:rsid w:val="00954A9F"/>
    <w:rsid w:val="00954BE3"/>
    <w:rsid w:val="009550BB"/>
    <w:rsid w:val="00957520"/>
    <w:rsid w:val="00957B72"/>
    <w:rsid w:val="009609D9"/>
    <w:rsid w:val="009614AD"/>
    <w:rsid w:val="00961E9C"/>
    <w:rsid w:val="00962EF8"/>
    <w:rsid w:val="009631D2"/>
    <w:rsid w:val="00971C4F"/>
    <w:rsid w:val="00972326"/>
    <w:rsid w:val="00973E9A"/>
    <w:rsid w:val="0097424B"/>
    <w:rsid w:val="00974DF1"/>
    <w:rsid w:val="00975A9E"/>
    <w:rsid w:val="009761A2"/>
    <w:rsid w:val="00980CFB"/>
    <w:rsid w:val="009816AC"/>
    <w:rsid w:val="009817CB"/>
    <w:rsid w:val="00981FF6"/>
    <w:rsid w:val="00982A9C"/>
    <w:rsid w:val="0098685A"/>
    <w:rsid w:val="009869A3"/>
    <w:rsid w:val="00992A29"/>
    <w:rsid w:val="0099362B"/>
    <w:rsid w:val="0099615B"/>
    <w:rsid w:val="009971EE"/>
    <w:rsid w:val="009A0E5C"/>
    <w:rsid w:val="009A1674"/>
    <w:rsid w:val="009A18D3"/>
    <w:rsid w:val="009A1FCE"/>
    <w:rsid w:val="009A25DB"/>
    <w:rsid w:val="009A4869"/>
    <w:rsid w:val="009B0668"/>
    <w:rsid w:val="009B23D6"/>
    <w:rsid w:val="009B263A"/>
    <w:rsid w:val="009B296F"/>
    <w:rsid w:val="009B33E8"/>
    <w:rsid w:val="009B3D47"/>
    <w:rsid w:val="009B3E6C"/>
    <w:rsid w:val="009B4C60"/>
    <w:rsid w:val="009C490D"/>
    <w:rsid w:val="009C4BCA"/>
    <w:rsid w:val="009C60B2"/>
    <w:rsid w:val="009C65AA"/>
    <w:rsid w:val="009D10F6"/>
    <w:rsid w:val="009D3535"/>
    <w:rsid w:val="009E12DB"/>
    <w:rsid w:val="009E29F0"/>
    <w:rsid w:val="009E503D"/>
    <w:rsid w:val="009E7533"/>
    <w:rsid w:val="009E7547"/>
    <w:rsid w:val="009F07E4"/>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31D6"/>
    <w:rsid w:val="00A44813"/>
    <w:rsid w:val="00A44E7F"/>
    <w:rsid w:val="00A4523B"/>
    <w:rsid w:val="00A461FD"/>
    <w:rsid w:val="00A46277"/>
    <w:rsid w:val="00A467F0"/>
    <w:rsid w:val="00A47E8D"/>
    <w:rsid w:val="00A5025E"/>
    <w:rsid w:val="00A50C95"/>
    <w:rsid w:val="00A512FD"/>
    <w:rsid w:val="00A51C0F"/>
    <w:rsid w:val="00A52136"/>
    <w:rsid w:val="00A5660C"/>
    <w:rsid w:val="00A56EBF"/>
    <w:rsid w:val="00A60611"/>
    <w:rsid w:val="00A6084E"/>
    <w:rsid w:val="00A60B39"/>
    <w:rsid w:val="00A61324"/>
    <w:rsid w:val="00A63631"/>
    <w:rsid w:val="00A65ABD"/>
    <w:rsid w:val="00A668AC"/>
    <w:rsid w:val="00A67D7D"/>
    <w:rsid w:val="00A71E48"/>
    <w:rsid w:val="00A72464"/>
    <w:rsid w:val="00A747D1"/>
    <w:rsid w:val="00A75DF9"/>
    <w:rsid w:val="00A76301"/>
    <w:rsid w:val="00A77C0F"/>
    <w:rsid w:val="00A80339"/>
    <w:rsid w:val="00A818F2"/>
    <w:rsid w:val="00A82D10"/>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5C58"/>
    <w:rsid w:val="00AE6122"/>
    <w:rsid w:val="00AF06E1"/>
    <w:rsid w:val="00AF117B"/>
    <w:rsid w:val="00AF1555"/>
    <w:rsid w:val="00AF3976"/>
    <w:rsid w:val="00AF511A"/>
    <w:rsid w:val="00AF7882"/>
    <w:rsid w:val="00B051B8"/>
    <w:rsid w:val="00B054B5"/>
    <w:rsid w:val="00B05761"/>
    <w:rsid w:val="00B11D9E"/>
    <w:rsid w:val="00B1364A"/>
    <w:rsid w:val="00B1378C"/>
    <w:rsid w:val="00B15B6F"/>
    <w:rsid w:val="00B162D1"/>
    <w:rsid w:val="00B177BA"/>
    <w:rsid w:val="00B20B3A"/>
    <w:rsid w:val="00B21073"/>
    <w:rsid w:val="00B21115"/>
    <w:rsid w:val="00B22906"/>
    <w:rsid w:val="00B22AAE"/>
    <w:rsid w:val="00B22CB2"/>
    <w:rsid w:val="00B25CBE"/>
    <w:rsid w:val="00B26966"/>
    <w:rsid w:val="00B269C6"/>
    <w:rsid w:val="00B312FC"/>
    <w:rsid w:val="00B343A9"/>
    <w:rsid w:val="00B40040"/>
    <w:rsid w:val="00B4120F"/>
    <w:rsid w:val="00B41261"/>
    <w:rsid w:val="00B42B26"/>
    <w:rsid w:val="00B435C4"/>
    <w:rsid w:val="00B43F06"/>
    <w:rsid w:val="00B452FC"/>
    <w:rsid w:val="00B457FD"/>
    <w:rsid w:val="00B46039"/>
    <w:rsid w:val="00B517EC"/>
    <w:rsid w:val="00B53BD3"/>
    <w:rsid w:val="00B540E5"/>
    <w:rsid w:val="00B54FE9"/>
    <w:rsid w:val="00B57360"/>
    <w:rsid w:val="00B62989"/>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D6854"/>
    <w:rsid w:val="00BE1CBA"/>
    <w:rsid w:val="00BE27EC"/>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982"/>
    <w:rsid w:val="00C168CD"/>
    <w:rsid w:val="00C200A7"/>
    <w:rsid w:val="00C20C85"/>
    <w:rsid w:val="00C20DD0"/>
    <w:rsid w:val="00C2279F"/>
    <w:rsid w:val="00C2341B"/>
    <w:rsid w:val="00C238C0"/>
    <w:rsid w:val="00C24C4E"/>
    <w:rsid w:val="00C24CB9"/>
    <w:rsid w:val="00C255BB"/>
    <w:rsid w:val="00C26383"/>
    <w:rsid w:val="00C26CA9"/>
    <w:rsid w:val="00C30553"/>
    <w:rsid w:val="00C30558"/>
    <w:rsid w:val="00C31B06"/>
    <w:rsid w:val="00C33392"/>
    <w:rsid w:val="00C3446A"/>
    <w:rsid w:val="00C346F1"/>
    <w:rsid w:val="00C41023"/>
    <w:rsid w:val="00C41B94"/>
    <w:rsid w:val="00C43538"/>
    <w:rsid w:val="00C444A4"/>
    <w:rsid w:val="00C449B2"/>
    <w:rsid w:val="00C4584C"/>
    <w:rsid w:val="00C470E9"/>
    <w:rsid w:val="00C52CD9"/>
    <w:rsid w:val="00C53B72"/>
    <w:rsid w:val="00C5411F"/>
    <w:rsid w:val="00C5662D"/>
    <w:rsid w:val="00C60A1F"/>
    <w:rsid w:val="00C60FC7"/>
    <w:rsid w:val="00C61062"/>
    <w:rsid w:val="00C61189"/>
    <w:rsid w:val="00C628E9"/>
    <w:rsid w:val="00C63285"/>
    <w:rsid w:val="00C64465"/>
    <w:rsid w:val="00C65CE8"/>
    <w:rsid w:val="00C65FB1"/>
    <w:rsid w:val="00C662E5"/>
    <w:rsid w:val="00C72EDA"/>
    <w:rsid w:val="00C733CB"/>
    <w:rsid w:val="00C7439A"/>
    <w:rsid w:val="00C7646A"/>
    <w:rsid w:val="00C776D8"/>
    <w:rsid w:val="00C806B7"/>
    <w:rsid w:val="00C814E0"/>
    <w:rsid w:val="00C83061"/>
    <w:rsid w:val="00C83632"/>
    <w:rsid w:val="00C83C29"/>
    <w:rsid w:val="00C842C4"/>
    <w:rsid w:val="00C87BE7"/>
    <w:rsid w:val="00C87ECB"/>
    <w:rsid w:val="00C87F34"/>
    <w:rsid w:val="00C90334"/>
    <w:rsid w:val="00C93845"/>
    <w:rsid w:val="00C967BC"/>
    <w:rsid w:val="00C97484"/>
    <w:rsid w:val="00C97D1E"/>
    <w:rsid w:val="00CA06B9"/>
    <w:rsid w:val="00CA0C24"/>
    <w:rsid w:val="00CA42B5"/>
    <w:rsid w:val="00CA6386"/>
    <w:rsid w:val="00CA689E"/>
    <w:rsid w:val="00CB0F59"/>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1D0"/>
    <w:rsid w:val="00CE3535"/>
    <w:rsid w:val="00CE5592"/>
    <w:rsid w:val="00CE73AA"/>
    <w:rsid w:val="00CF06A5"/>
    <w:rsid w:val="00CF2499"/>
    <w:rsid w:val="00CF39B3"/>
    <w:rsid w:val="00CF42CC"/>
    <w:rsid w:val="00CF688D"/>
    <w:rsid w:val="00D00A9C"/>
    <w:rsid w:val="00D01948"/>
    <w:rsid w:val="00D024F1"/>
    <w:rsid w:val="00D05AD3"/>
    <w:rsid w:val="00D11365"/>
    <w:rsid w:val="00D11C8C"/>
    <w:rsid w:val="00D15DB3"/>
    <w:rsid w:val="00D16017"/>
    <w:rsid w:val="00D16116"/>
    <w:rsid w:val="00D16C06"/>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304"/>
    <w:rsid w:val="00D458F8"/>
    <w:rsid w:val="00D46330"/>
    <w:rsid w:val="00D5012E"/>
    <w:rsid w:val="00D50358"/>
    <w:rsid w:val="00D50975"/>
    <w:rsid w:val="00D51CE1"/>
    <w:rsid w:val="00D548D4"/>
    <w:rsid w:val="00D54B34"/>
    <w:rsid w:val="00D54F43"/>
    <w:rsid w:val="00D554F5"/>
    <w:rsid w:val="00D56432"/>
    <w:rsid w:val="00D5668F"/>
    <w:rsid w:val="00D56A10"/>
    <w:rsid w:val="00D57D77"/>
    <w:rsid w:val="00D62F80"/>
    <w:rsid w:val="00D65797"/>
    <w:rsid w:val="00D67616"/>
    <w:rsid w:val="00D72ECD"/>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22D1"/>
    <w:rsid w:val="00D92A18"/>
    <w:rsid w:val="00D93AF9"/>
    <w:rsid w:val="00D94DCC"/>
    <w:rsid w:val="00D96A10"/>
    <w:rsid w:val="00D97345"/>
    <w:rsid w:val="00DA0A6F"/>
    <w:rsid w:val="00DA293E"/>
    <w:rsid w:val="00DA37E0"/>
    <w:rsid w:val="00DA4B02"/>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DF32D0"/>
    <w:rsid w:val="00E021A8"/>
    <w:rsid w:val="00E06B6F"/>
    <w:rsid w:val="00E074E1"/>
    <w:rsid w:val="00E07CAD"/>
    <w:rsid w:val="00E114E3"/>
    <w:rsid w:val="00E16336"/>
    <w:rsid w:val="00E168ED"/>
    <w:rsid w:val="00E2095D"/>
    <w:rsid w:val="00E23A33"/>
    <w:rsid w:val="00E2477A"/>
    <w:rsid w:val="00E30681"/>
    <w:rsid w:val="00E3133C"/>
    <w:rsid w:val="00E31548"/>
    <w:rsid w:val="00E31573"/>
    <w:rsid w:val="00E31C76"/>
    <w:rsid w:val="00E322B0"/>
    <w:rsid w:val="00E3282E"/>
    <w:rsid w:val="00E33295"/>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2D69"/>
    <w:rsid w:val="00E53D7C"/>
    <w:rsid w:val="00E54D40"/>
    <w:rsid w:val="00E55AC1"/>
    <w:rsid w:val="00E61700"/>
    <w:rsid w:val="00E660BE"/>
    <w:rsid w:val="00E669EE"/>
    <w:rsid w:val="00E70EDC"/>
    <w:rsid w:val="00E712F3"/>
    <w:rsid w:val="00E7140A"/>
    <w:rsid w:val="00E727F1"/>
    <w:rsid w:val="00E739B0"/>
    <w:rsid w:val="00E74610"/>
    <w:rsid w:val="00E75780"/>
    <w:rsid w:val="00E7657C"/>
    <w:rsid w:val="00E77783"/>
    <w:rsid w:val="00E82FB6"/>
    <w:rsid w:val="00E84D07"/>
    <w:rsid w:val="00E85441"/>
    <w:rsid w:val="00E86886"/>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C7282"/>
    <w:rsid w:val="00ED105A"/>
    <w:rsid w:val="00ED16AE"/>
    <w:rsid w:val="00ED1C32"/>
    <w:rsid w:val="00ED37D7"/>
    <w:rsid w:val="00ED45CC"/>
    <w:rsid w:val="00ED4C80"/>
    <w:rsid w:val="00ED7CB1"/>
    <w:rsid w:val="00EE0FEE"/>
    <w:rsid w:val="00EE1E30"/>
    <w:rsid w:val="00EE2C03"/>
    <w:rsid w:val="00EE32D5"/>
    <w:rsid w:val="00EE39AF"/>
    <w:rsid w:val="00EE3E9B"/>
    <w:rsid w:val="00EE4E65"/>
    <w:rsid w:val="00EE74AB"/>
    <w:rsid w:val="00EE7D91"/>
    <w:rsid w:val="00EF0CE1"/>
    <w:rsid w:val="00EF18D7"/>
    <w:rsid w:val="00EF227F"/>
    <w:rsid w:val="00EF3417"/>
    <w:rsid w:val="00F04404"/>
    <w:rsid w:val="00F04AC0"/>
    <w:rsid w:val="00F05BA1"/>
    <w:rsid w:val="00F0716E"/>
    <w:rsid w:val="00F110D7"/>
    <w:rsid w:val="00F125A6"/>
    <w:rsid w:val="00F1330D"/>
    <w:rsid w:val="00F13F3F"/>
    <w:rsid w:val="00F16DBB"/>
    <w:rsid w:val="00F17250"/>
    <w:rsid w:val="00F20275"/>
    <w:rsid w:val="00F20D36"/>
    <w:rsid w:val="00F21534"/>
    <w:rsid w:val="00F2187C"/>
    <w:rsid w:val="00F224F1"/>
    <w:rsid w:val="00F22BB6"/>
    <w:rsid w:val="00F2573E"/>
    <w:rsid w:val="00F25E29"/>
    <w:rsid w:val="00F266B0"/>
    <w:rsid w:val="00F27226"/>
    <w:rsid w:val="00F33E1A"/>
    <w:rsid w:val="00F36CCB"/>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567D"/>
    <w:rsid w:val="00F563A2"/>
    <w:rsid w:val="00F57E20"/>
    <w:rsid w:val="00F63E84"/>
    <w:rsid w:val="00F66231"/>
    <w:rsid w:val="00F678A3"/>
    <w:rsid w:val="00F70ADA"/>
    <w:rsid w:val="00F73B78"/>
    <w:rsid w:val="00F73E7E"/>
    <w:rsid w:val="00F75710"/>
    <w:rsid w:val="00F759AE"/>
    <w:rsid w:val="00F76181"/>
    <w:rsid w:val="00F76594"/>
    <w:rsid w:val="00F77A92"/>
    <w:rsid w:val="00F862C7"/>
    <w:rsid w:val="00F866DD"/>
    <w:rsid w:val="00F87A49"/>
    <w:rsid w:val="00F87F2E"/>
    <w:rsid w:val="00F90BF2"/>
    <w:rsid w:val="00F90EA8"/>
    <w:rsid w:val="00F90F12"/>
    <w:rsid w:val="00F91862"/>
    <w:rsid w:val="00F93BE5"/>
    <w:rsid w:val="00FA1698"/>
    <w:rsid w:val="00FA2B0A"/>
    <w:rsid w:val="00FA4194"/>
    <w:rsid w:val="00FA4FB3"/>
    <w:rsid w:val="00FA5479"/>
    <w:rsid w:val="00FA6E7C"/>
    <w:rsid w:val="00FB0208"/>
    <w:rsid w:val="00FB0CF8"/>
    <w:rsid w:val="00FB264D"/>
    <w:rsid w:val="00FB2C20"/>
    <w:rsid w:val="00FB31C3"/>
    <w:rsid w:val="00FB32A6"/>
    <w:rsid w:val="00FB40AA"/>
    <w:rsid w:val="00FB420B"/>
    <w:rsid w:val="00FB4EFB"/>
    <w:rsid w:val="00FC0B9E"/>
    <w:rsid w:val="00FC5FD9"/>
    <w:rsid w:val="00FD0BAE"/>
    <w:rsid w:val="00FD128C"/>
    <w:rsid w:val="00FD1D03"/>
    <w:rsid w:val="00FD2846"/>
    <w:rsid w:val="00FD386C"/>
    <w:rsid w:val="00FD4FC0"/>
    <w:rsid w:val="00FD6102"/>
    <w:rsid w:val="00FE07C6"/>
    <w:rsid w:val="00FE0B36"/>
    <w:rsid w:val="00FE1E1A"/>
    <w:rsid w:val="00FE2563"/>
    <w:rsid w:val="00FE35FE"/>
    <w:rsid w:val="00FE6EE5"/>
    <w:rsid w:val="00FF1FC7"/>
    <w:rsid w:val="00FF269B"/>
    <w:rsid w:val="00FF3C71"/>
    <w:rsid w:val="00FF4468"/>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4</Pages>
  <Words>3627</Words>
  <Characters>3628</Characters>
  <Application>Microsoft Office Word</Application>
  <DocSecurity>0</DocSecurity>
  <Lines>3628</Lines>
  <Paragraphs>3627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56</cp:revision>
  <dcterms:created xsi:type="dcterms:W3CDTF">2023-01-25T00:19:00Z</dcterms:created>
  <dcterms:modified xsi:type="dcterms:W3CDTF">2023-02-09T02:50:00Z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