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59975A46" w:rsidR="00354581" w:rsidRPr="00E70EDC" w:rsidRDefault="00230DA3">
      <w:pPr>
        <w:spacing w:line="288" w:lineRule="auto"/>
        <w:jc w:val="center"/>
        <w:rPr>
          <w:rFonts w:ascii="Arial" w:eastAsia="Arial" w:hAnsi="Arial" w:cs="Arial"/>
          <w:b/>
          <w:sz w:val="24"/>
        </w:rPr>
      </w:pPr>
      <w:r>
        <w:rPr>
          <w:rFonts w:ascii="Arial" w:eastAsia="Arial" w:hAnsi="Arial" w:cs="Arial"/>
          <w:b/>
          <w:sz w:val="24"/>
        </w:rPr>
        <w:t>Washington D.C.</w:t>
      </w:r>
    </w:p>
    <w:p w14:paraId="44DFAFF7" w14:textId="0411DE72" w:rsidR="00354581" w:rsidRDefault="00C44C4A">
      <w:pPr>
        <w:spacing w:line="288" w:lineRule="auto"/>
        <w:jc w:val="center"/>
        <w:rPr>
          <w:rFonts w:ascii="Arial" w:eastAsia="Arial" w:hAnsi="Arial" w:cs="Arial"/>
          <w:b/>
          <w:sz w:val="24"/>
        </w:rPr>
      </w:pPr>
      <w:r>
        <w:rPr>
          <w:rFonts w:ascii="Arial" w:eastAsia="Arial" w:hAnsi="Arial" w:cs="Arial"/>
          <w:b/>
          <w:sz w:val="24"/>
        </w:rPr>
        <w:t>October 5</w:t>
      </w:r>
      <w:r w:rsidR="008D21B3">
        <w:rPr>
          <w:rFonts w:ascii="Arial" w:eastAsia="Arial" w:hAnsi="Arial" w:cs="Arial"/>
          <w:b/>
          <w:sz w:val="24"/>
        </w:rPr>
        <w:t>, 202</w:t>
      </w:r>
      <w:r w:rsidR="007B13A8">
        <w:rPr>
          <w:rFonts w:ascii="Arial" w:eastAsia="Arial" w:hAnsi="Arial" w:cs="Arial"/>
          <w:b/>
          <w:sz w:val="24"/>
        </w:rPr>
        <w:t>3</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0B96C64"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917E38">
        <w:rPr>
          <w:rFonts w:ascii="Arial" w:eastAsia="Arial" w:hAnsi="Arial" w:cs="Arial"/>
          <w:sz w:val="22"/>
        </w:rPr>
        <w:t>Charles Kessler</w:t>
      </w:r>
      <w:r w:rsidR="00495CB2">
        <w:rPr>
          <w:rFonts w:ascii="Arial" w:eastAsia="Arial" w:hAnsi="Arial" w:cs="Arial"/>
          <w:sz w:val="22"/>
        </w:rPr>
        <w:t>,</w:t>
      </w:r>
      <w:r w:rsidR="00E525B9">
        <w:rPr>
          <w:rFonts w:ascii="Arial" w:eastAsia="Arial" w:hAnsi="Arial" w:cs="Arial"/>
          <w:sz w:val="22"/>
        </w:rPr>
        <w:t xml:space="preserve"> </w:t>
      </w:r>
      <w:r w:rsidR="003D0C27">
        <w:rPr>
          <w:rFonts w:ascii="Arial" w:eastAsia="Arial" w:hAnsi="Arial" w:cs="Arial"/>
          <w:sz w:val="22"/>
        </w:rPr>
        <w:t xml:space="preserve">Pranav Ghai, </w:t>
      </w:r>
      <w:r w:rsidR="00A10BA5">
        <w:rPr>
          <w:rFonts w:ascii="Arial" w:eastAsia="Arial" w:hAnsi="Arial" w:cs="Arial"/>
          <w:sz w:val="22"/>
        </w:rPr>
        <w:t>Glad Sully</w:t>
      </w:r>
      <w:r w:rsidR="00696C4F">
        <w:rPr>
          <w:rFonts w:ascii="Arial" w:eastAsia="Arial" w:hAnsi="Arial" w:cs="Arial"/>
          <w:sz w:val="22"/>
        </w:rPr>
        <w:t>,</w:t>
      </w:r>
      <w:r w:rsidR="00FD4FC0">
        <w:rPr>
          <w:rFonts w:ascii="Arial" w:eastAsia="Arial" w:hAnsi="Arial" w:cs="Arial"/>
          <w:sz w:val="22"/>
        </w:rPr>
        <w:t xml:space="preserve"> </w:t>
      </w:r>
      <w:r w:rsidR="00696C4F">
        <w:rPr>
          <w:rFonts w:ascii="Arial" w:eastAsia="Arial" w:hAnsi="Arial" w:cs="Arial"/>
          <w:sz w:val="22"/>
        </w:rPr>
        <w:t>Brian Bracey</w:t>
      </w:r>
      <w:r w:rsidR="00230DA3">
        <w:rPr>
          <w:rFonts w:ascii="Arial" w:eastAsia="Arial" w:hAnsi="Arial" w:cs="Arial"/>
          <w:sz w:val="22"/>
        </w:rPr>
        <w:t>,</w:t>
      </w:r>
      <w:r w:rsidR="00230DA3" w:rsidRPr="00230DA3">
        <w:rPr>
          <w:rFonts w:ascii="Arial" w:eastAsia="Arial" w:hAnsi="Arial" w:cs="Arial"/>
          <w:sz w:val="22"/>
        </w:rPr>
        <w:t xml:space="preserve"> </w:t>
      </w:r>
      <w:r w:rsidR="00230DA3">
        <w:rPr>
          <w:rFonts w:ascii="Arial" w:eastAsia="Arial" w:hAnsi="Arial" w:cs="Arial"/>
          <w:sz w:val="22"/>
        </w:rPr>
        <w:t>Mohini Singh</w:t>
      </w:r>
      <w:r w:rsidR="00975C14">
        <w:rPr>
          <w:rFonts w:ascii="Arial" w:eastAsia="Arial" w:hAnsi="Arial" w:cs="Arial"/>
          <w:sz w:val="22"/>
        </w:rPr>
        <w:t>, 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49155CC5" w:rsidR="00A5025E" w:rsidRDefault="00BF6D3C">
      <w:pPr>
        <w:spacing w:line="332" w:lineRule="auto"/>
        <w:rPr>
          <w:rFonts w:ascii="Arial" w:eastAsia="Arial" w:hAnsi="Arial" w:cs="Arial"/>
          <w:sz w:val="22"/>
        </w:rPr>
      </w:pPr>
      <w:r>
        <w:rPr>
          <w:rFonts w:ascii="Arial" w:eastAsia="Arial" w:hAnsi="Arial" w:cs="Arial"/>
          <w:sz w:val="22"/>
        </w:rPr>
        <w:t>Adrian Cloutier</w:t>
      </w:r>
      <w:r w:rsidR="00850812">
        <w:rPr>
          <w:rFonts w:ascii="Arial" w:eastAsia="Arial" w:hAnsi="Arial" w:cs="Arial"/>
          <w:sz w:val="22"/>
        </w:rPr>
        <w:t>,</w:t>
      </w:r>
      <w:r w:rsidR="0073483D" w:rsidRPr="0073483D">
        <w:rPr>
          <w:rFonts w:ascii="Arial" w:eastAsia="Arial" w:hAnsi="Arial" w:cs="Arial"/>
          <w:sz w:val="22"/>
        </w:rPr>
        <w:t xml:space="preserve"> </w:t>
      </w:r>
      <w:r w:rsidR="00495CB2">
        <w:rPr>
          <w:rFonts w:ascii="Arial" w:eastAsia="Arial" w:hAnsi="Arial" w:cs="Arial"/>
          <w:sz w:val="22"/>
        </w:rPr>
        <w:t>Jennifer Liu</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5D1BA06B"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495CB2">
        <w:rPr>
          <w:rFonts w:ascii="Arial" w:eastAsia="Arial" w:hAnsi="Arial" w:cs="Arial"/>
          <w:sz w:val="22"/>
        </w:rPr>
        <w:t>, Marc Ward</w:t>
      </w:r>
      <w:r w:rsidR="00DC6B57">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0E24C24D" w:rsidR="00354581" w:rsidRDefault="00D72ECD">
      <w:pPr>
        <w:spacing w:line="332" w:lineRule="auto"/>
        <w:rPr>
          <w:rFonts w:ascii="Arial" w:eastAsia="Arial" w:hAnsi="Arial" w:cs="Arial"/>
          <w:sz w:val="22"/>
        </w:rPr>
      </w:pPr>
      <w:r>
        <w:rPr>
          <w:rFonts w:ascii="Arial" w:eastAsia="Arial" w:hAnsi="Arial" w:cs="Arial"/>
          <w:sz w:val="22"/>
        </w:rPr>
        <w:t>Louis Matherne</w:t>
      </w:r>
      <w:r w:rsidR="003D0C27">
        <w:rPr>
          <w:rFonts w:ascii="Arial" w:eastAsia="Arial" w:hAnsi="Arial" w:cs="Arial"/>
          <w:sz w:val="22"/>
        </w:rPr>
        <w:t>, Iza Ruta</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7F009DED"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 xml:space="preserve">introduced </w:t>
      </w:r>
      <w:r w:rsidR="009614AD">
        <w:t>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4C73D859"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495CB2">
        <w:rPr>
          <w:rFonts w:eastAsia="Times New Roman"/>
        </w:rPr>
        <w:t>July 6</w:t>
      </w:r>
      <w:r w:rsidR="00850812">
        <w:rPr>
          <w:rFonts w:eastAsia="Times New Roman"/>
        </w:rPr>
        <w:t>, 2023</w:t>
      </w:r>
      <w:r w:rsidRPr="00B61CA4">
        <w:rPr>
          <w:rFonts w:eastAsia="Times New Roman"/>
        </w:rPr>
        <w:t xml:space="preserve"> DQC meeting</w:t>
      </w:r>
      <w:r>
        <w:rPr>
          <w:rFonts w:eastAsia="Times New Roman"/>
        </w:rPr>
        <w:t xml:space="preserve">, </w:t>
      </w:r>
      <w:r w:rsidRPr="00B61CA4">
        <w:rPr>
          <w:rFonts w:eastAsia="Times New Roman"/>
        </w:rPr>
        <w:t>by</w:t>
      </w:r>
      <w:r w:rsidR="00020F2C">
        <w:rPr>
          <w:rFonts w:eastAsia="Times New Roman"/>
        </w:rPr>
        <w:t xml:space="preserve"> </w:t>
      </w:r>
      <w:r w:rsidR="001058C7">
        <w:rPr>
          <w:rFonts w:eastAsia="Times New Roman"/>
        </w:rPr>
        <w:t>Campbell Pryde</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1058C7">
        <w:rPr>
          <w:rFonts w:eastAsia="Times New Roman"/>
        </w:rPr>
        <w:t>Mohini Singh</w:t>
      </w:r>
    </w:p>
    <w:p w14:paraId="358805D7" w14:textId="0CEC131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C31FC9">
        <w:rPr>
          <w:rFonts w:eastAsia="Times New Roman"/>
          <w:bCs/>
          <w:color w:val="auto"/>
          <w:szCs w:val="22"/>
        </w:rPr>
        <w:t>8</w:t>
      </w:r>
      <w:r w:rsidRPr="009E29DC">
        <w:rPr>
          <w:rFonts w:eastAsia="Times New Roman"/>
          <w:bCs/>
          <w:color w:val="auto"/>
          <w:szCs w:val="22"/>
        </w:rPr>
        <w:t>, 0 Against)</w:t>
      </w:r>
    </w:p>
    <w:p w14:paraId="3E54DDDA" w14:textId="499DD156"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495CB2">
        <w:rPr>
          <w:rFonts w:eastAsia="Times New Roman"/>
        </w:rPr>
        <w:t>July 6</w:t>
      </w:r>
      <w:r w:rsidR="00850812">
        <w:rPr>
          <w:rFonts w:eastAsia="Times New Roman"/>
        </w:rPr>
        <w:t>, 2023</w:t>
      </w:r>
      <w:r w:rsidR="00850812"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0399C5B8"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w:t>
      </w:r>
      <w:r w:rsidR="00893502">
        <w:rPr>
          <w:rFonts w:ascii="Arial" w:eastAsia="Arial" w:hAnsi="Arial" w:cs="Arial"/>
          <w:b/>
          <w:sz w:val="22"/>
        </w:rPr>
        <w:t xml:space="preserve">Final </w:t>
      </w:r>
      <w:r w:rsidR="00196466" w:rsidRPr="00196466">
        <w:rPr>
          <w:rFonts w:ascii="Arial" w:eastAsia="Arial" w:hAnsi="Arial" w:cs="Arial"/>
          <w:b/>
          <w:sz w:val="22"/>
        </w:rPr>
        <w:t xml:space="preserve">Version </w:t>
      </w:r>
      <w:r w:rsidR="008B3A60">
        <w:rPr>
          <w:rFonts w:ascii="Arial" w:eastAsia="Arial" w:hAnsi="Arial" w:cs="Arial"/>
          <w:b/>
          <w:sz w:val="22"/>
        </w:rPr>
        <w:t>2</w:t>
      </w:r>
      <w:r w:rsidR="00495CB2">
        <w:rPr>
          <w:rFonts w:ascii="Arial" w:eastAsia="Arial" w:hAnsi="Arial" w:cs="Arial"/>
          <w:b/>
          <w:sz w:val="22"/>
        </w:rPr>
        <w:t>2</w:t>
      </w:r>
      <w:r w:rsidR="00196466" w:rsidRPr="00196466">
        <w:rPr>
          <w:rFonts w:ascii="Arial" w:eastAsia="Arial" w:hAnsi="Arial" w:cs="Arial"/>
          <w:b/>
          <w:sz w:val="22"/>
        </w:rPr>
        <w:t xml:space="preserve"> DQC Rules</w:t>
      </w:r>
      <w:r w:rsidR="00850812">
        <w:rPr>
          <w:rFonts w:ascii="Arial" w:eastAsia="Arial" w:hAnsi="Arial" w:cs="Arial"/>
          <w:b/>
          <w:sz w:val="22"/>
        </w:rPr>
        <w:t xml:space="preserve"> </w:t>
      </w:r>
    </w:p>
    <w:p w14:paraId="6ED7DC28" w14:textId="4B84C0B5" w:rsidR="00F903B1" w:rsidRPr="00284D42" w:rsidRDefault="00981FF6" w:rsidP="00284D42">
      <w:pPr>
        <w:pStyle w:val="ListParagraph"/>
        <w:numPr>
          <w:ilvl w:val="0"/>
          <w:numId w:val="1"/>
        </w:numPr>
        <w:spacing w:line="240" w:lineRule="auto"/>
        <w:rPr>
          <w:rFonts w:eastAsia="Times New Roman"/>
        </w:rPr>
      </w:pPr>
      <w:r>
        <w:rPr>
          <w:rFonts w:eastAsia="Times New Roman"/>
        </w:rPr>
        <w:t xml:space="preserve">Campbell </w:t>
      </w:r>
      <w:r w:rsidR="00C37488">
        <w:rPr>
          <w:rFonts w:eastAsia="Times New Roman"/>
        </w:rPr>
        <w:t>introduced</w:t>
      </w:r>
      <w:r w:rsidR="008568FE">
        <w:rPr>
          <w:rFonts w:eastAsia="Times New Roman"/>
        </w:rPr>
        <w:t xml:space="preserve"> Version 2</w:t>
      </w:r>
      <w:r w:rsidR="00495CB2">
        <w:rPr>
          <w:rFonts w:eastAsia="Times New Roman"/>
        </w:rPr>
        <w:t>2</w:t>
      </w:r>
      <w:r w:rsidR="00C37488">
        <w:rPr>
          <w:rFonts w:eastAsia="Times New Roman"/>
        </w:rPr>
        <w:t>:</w:t>
      </w:r>
      <w:bookmarkStart w:id="1" w:name="_241xfdaf707e" w:colFirst="0" w:colLast="0"/>
      <w:bookmarkEnd w:id="1"/>
    </w:p>
    <w:p w14:paraId="74A3EF95" w14:textId="672F2CE2" w:rsidR="00483820" w:rsidRPr="00483820" w:rsidRDefault="00284D42" w:rsidP="00483820">
      <w:pPr>
        <w:pStyle w:val="ListParagraph"/>
        <w:numPr>
          <w:ilvl w:val="1"/>
          <w:numId w:val="1"/>
        </w:numPr>
        <w:spacing w:line="240" w:lineRule="auto"/>
        <w:rPr>
          <w:rFonts w:eastAsia="Times New Roman"/>
        </w:rPr>
      </w:pPr>
      <w:r>
        <w:rPr>
          <w:rFonts w:eastAsia="Times New Roman"/>
        </w:rPr>
        <w:t xml:space="preserve">Rule DQC_0088 Operating Lease Cost and Expense - </w:t>
      </w:r>
      <w:r w:rsidR="00483820" w:rsidRPr="008D0E8F">
        <w:rPr>
          <w:rFonts w:eastAsia="Times New Roman"/>
        </w:rPr>
        <w:t>This rule identifies filings where the filer has reported the operating lease expense and variable lease expense but not the operating lease cost. A second component of the rule checks that operating lease expense is not included in the calculation of LeaseCost.</w:t>
      </w:r>
      <w:r w:rsidR="00483820">
        <w:rPr>
          <w:rFonts w:eastAsia="Times New Roman"/>
        </w:rPr>
        <w:t xml:space="preserve"> </w:t>
      </w:r>
      <w:r w:rsidR="00483820" w:rsidRPr="00483820">
        <w:rPr>
          <w:rFonts w:eastAsia="Times New Roman"/>
        </w:rPr>
        <w:t>The intent of the rule is to allow filers to check that their filing is consistent with the FASB’s XBRL implementation guide.</w:t>
      </w:r>
      <w:r w:rsidR="00297BFC">
        <w:rPr>
          <w:rFonts w:eastAsia="Times New Roman"/>
        </w:rPr>
        <w:t xml:space="preserve">  </w:t>
      </w:r>
    </w:p>
    <w:p w14:paraId="53D92B51" w14:textId="6E21724E" w:rsidR="0066162A" w:rsidRDefault="0066162A" w:rsidP="003D0CE6">
      <w:pPr>
        <w:pStyle w:val="ListParagraph"/>
        <w:numPr>
          <w:ilvl w:val="1"/>
          <w:numId w:val="1"/>
        </w:numPr>
        <w:spacing w:line="240" w:lineRule="auto"/>
        <w:rPr>
          <w:rFonts w:eastAsia="Times New Roman"/>
        </w:rPr>
      </w:pPr>
      <w:r>
        <w:rPr>
          <w:rFonts w:eastAsia="Times New Roman"/>
        </w:rPr>
        <w:t>Rule DQC_</w:t>
      </w:r>
      <w:r w:rsidR="00D9270E">
        <w:rPr>
          <w:rFonts w:eastAsia="Times New Roman"/>
        </w:rPr>
        <w:t>0</w:t>
      </w:r>
      <w:r>
        <w:rPr>
          <w:rFonts w:eastAsia="Times New Roman"/>
        </w:rPr>
        <w:t xml:space="preserve">159 </w:t>
      </w:r>
      <w:r w:rsidR="001264C4" w:rsidRPr="001264C4">
        <w:rPr>
          <w:rFonts w:eastAsia="Times New Roman"/>
        </w:rPr>
        <w:t>Financial Statement Abstract Concepts</w:t>
      </w:r>
      <w:r w:rsidR="001264C4">
        <w:rPr>
          <w:rFonts w:eastAsia="Times New Roman"/>
        </w:rPr>
        <w:t xml:space="preserve"> - </w:t>
      </w:r>
      <w:r w:rsidR="008D58FC" w:rsidRPr="00E35E87">
        <w:rPr>
          <w:rFonts w:eastAsia="Times New Roman"/>
        </w:rPr>
        <w:t>This rule identifies when the filer has not used all three financial statement abstract concepts in a filing. The rule identifies the presentation statement networks in the filing and checks that the networks identified include the abstract elements</w:t>
      </w:r>
      <w:r w:rsidR="008D58FC">
        <w:rPr>
          <w:rFonts w:ascii="Roboto" w:hAnsi="Roboto"/>
          <w:color w:val="231F20"/>
          <w:szCs w:val="22"/>
        </w:rPr>
        <w:t xml:space="preserve"> </w:t>
      </w:r>
      <w:r w:rsidR="008D58FC">
        <w:rPr>
          <w:rFonts w:ascii="Roboto" w:hAnsi="Roboto"/>
          <w:color w:val="231F20"/>
          <w:szCs w:val="22"/>
        </w:rPr>
        <w:lastRenderedPageBreak/>
        <w:t>IncomeStatementAbstract, StatementOfFinancialPositionAbstract, StatementOfCashFlowsAbstract.  If one of these elements is missing from the filing then an error is generated. This rule applies to both US GAAP and IFRS filings.</w:t>
      </w:r>
    </w:p>
    <w:p w14:paraId="3366F17C" w14:textId="02DC2DE4" w:rsidR="003D0CE6" w:rsidRPr="003D0CE6" w:rsidRDefault="003D0CE6" w:rsidP="003D0CE6">
      <w:pPr>
        <w:pStyle w:val="ListParagraph"/>
        <w:numPr>
          <w:ilvl w:val="1"/>
          <w:numId w:val="1"/>
        </w:numPr>
        <w:spacing w:line="240" w:lineRule="auto"/>
        <w:rPr>
          <w:rFonts w:eastAsia="Times New Roman"/>
        </w:rPr>
      </w:pPr>
      <w:r w:rsidRPr="003D0CE6">
        <w:rPr>
          <w:rFonts w:eastAsia="Times New Roman"/>
        </w:rPr>
        <w:t>Rule DQC_0160 Descendants of Nonrelated Party Members -This rule identifies when the filer has defined a member descendant of the element NonrelatedPartyMember and when the RelatedPartyMember is not included as a sibling to NonrelatedPartyMember.</w:t>
      </w:r>
    </w:p>
    <w:p w14:paraId="4A7487B9" w14:textId="10D68DD9" w:rsidR="003D0CE6" w:rsidRPr="003D0CE6" w:rsidRDefault="003D0CE6" w:rsidP="00D84D99">
      <w:pPr>
        <w:pStyle w:val="ListParagraph"/>
        <w:numPr>
          <w:ilvl w:val="1"/>
          <w:numId w:val="1"/>
        </w:numPr>
        <w:spacing w:line="240" w:lineRule="auto"/>
        <w:rPr>
          <w:rFonts w:eastAsia="Times New Roman"/>
        </w:rPr>
      </w:pPr>
      <w:r w:rsidRPr="003D0CE6">
        <w:rPr>
          <w:rFonts w:eastAsia="Times New Roman"/>
        </w:rPr>
        <w:t xml:space="preserve">Rule DQC_0161 Single Member Disaggregation - This rule identifies when the filer has used a single dimension member on one of the following </w:t>
      </w:r>
      <w:r w:rsidR="00D82462">
        <w:rPr>
          <w:rFonts w:eastAsia="Times New Roman"/>
        </w:rPr>
        <w:t>axes</w:t>
      </w:r>
      <w:r w:rsidRPr="003D0CE6">
        <w:rPr>
          <w:rFonts w:eastAsia="Times New Roman"/>
        </w:rPr>
        <w:t>:</w:t>
      </w:r>
    </w:p>
    <w:p w14:paraId="7387A34A"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VariableRateAxis, </w:t>
      </w:r>
    </w:p>
    <w:p w14:paraId="35903AFB"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RetirementPlanFundingStatusAxis, </w:t>
      </w:r>
    </w:p>
    <w:p w14:paraId="793374A4"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InvestmentTypeAxis, </w:t>
      </w:r>
    </w:p>
    <w:p w14:paraId="460EA007"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 xml:space="preserve">RetirementPlanTaxStatusAxis. </w:t>
      </w:r>
    </w:p>
    <w:p w14:paraId="2083CE8F" w14:textId="47A22492" w:rsidR="003D0CE6" w:rsidRPr="003D0CE6" w:rsidRDefault="003D0CE6" w:rsidP="006F58B2">
      <w:pPr>
        <w:pStyle w:val="ListParagraph"/>
        <w:numPr>
          <w:ilvl w:val="1"/>
          <w:numId w:val="1"/>
        </w:numPr>
        <w:spacing w:line="240" w:lineRule="auto"/>
        <w:rPr>
          <w:rFonts w:eastAsia="Times New Roman"/>
        </w:rPr>
      </w:pPr>
      <w:r w:rsidRPr="003D0CE6">
        <w:rPr>
          <w:rFonts w:eastAsia="Times New Roman"/>
        </w:rPr>
        <w:t>Rule DQC_0162 Trading Symbol - This rule identifies where the filer has used an invalid or inconsistent trading symbol.  The rule checks that the trading symbol does not include invalid characters, identifies if the symbol is not applicable, and the symbol is upper case.</w:t>
      </w:r>
      <w:r w:rsidR="008A34BC">
        <w:rPr>
          <w:rFonts w:eastAsia="Times New Roman"/>
        </w:rPr>
        <w:t xml:space="preserve"> This rule applies to both US GAAP and IFRS filings.</w:t>
      </w:r>
    </w:p>
    <w:p w14:paraId="2D954A18" w14:textId="25ECC256" w:rsidR="003D0CE6" w:rsidRPr="003D0CE6" w:rsidRDefault="003D0CE6" w:rsidP="003006C8">
      <w:pPr>
        <w:pStyle w:val="ListParagraph"/>
        <w:numPr>
          <w:ilvl w:val="1"/>
          <w:numId w:val="1"/>
        </w:numPr>
        <w:spacing w:line="240" w:lineRule="auto"/>
        <w:rPr>
          <w:rFonts w:eastAsia="Times New Roman"/>
        </w:rPr>
      </w:pPr>
      <w:r w:rsidRPr="003D0CE6">
        <w:rPr>
          <w:rFonts w:eastAsia="Times New Roman"/>
        </w:rPr>
        <w:t>Rule DQC_0163 Segment Expenditure Addition to Long-Lived Assets - The rule is intended to ensure that filers use the element SegmentExpenditureAdditionToLongLivedAssets in the segment rather than the cash flow element or PPE additions element.  This rule identifies where the filer has used the elements PaymentsToAcquirePropertyPlantAndEquipment or PropertyPlantAndEquipmentAdditions in the segment tables ScheduleOfSegmentReportingInformationBySegmentTable, or ScheduleOfRevenuesFromExternalCustomersAndLongLivedAssetsTable and has not included the element SegmentExpenditureAdditionToLongLivedAssets in the table</w:t>
      </w:r>
    </w:p>
    <w:p w14:paraId="0B6F8D6B" w14:textId="5ECE0999" w:rsidR="003D0CE6" w:rsidRPr="003D0CE6" w:rsidRDefault="003D0CE6" w:rsidP="00F11446">
      <w:pPr>
        <w:pStyle w:val="ListParagraph"/>
        <w:numPr>
          <w:ilvl w:val="1"/>
          <w:numId w:val="1"/>
        </w:numPr>
        <w:spacing w:line="240" w:lineRule="auto"/>
        <w:rPr>
          <w:rFonts w:eastAsia="Times New Roman"/>
        </w:rPr>
      </w:pPr>
      <w:r w:rsidRPr="003D0CE6">
        <w:rPr>
          <w:rFonts w:eastAsia="Times New Roman"/>
        </w:rPr>
        <w:t xml:space="preserve">Rule DQC_0164 Use of Location Axis - The rule is intended to identify inappropriate use of the Location Axis in the taxonomy. The rule has </w:t>
      </w:r>
      <w:r w:rsidR="00F23F75">
        <w:rPr>
          <w:rFonts w:eastAsia="Times New Roman"/>
        </w:rPr>
        <w:t>3</w:t>
      </w:r>
      <w:r w:rsidRPr="003D0CE6">
        <w:rPr>
          <w:rFonts w:eastAsia="Times New Roman"/>
        </w:rPr>
        <w:t xml:space="preserve"> different checks on the following axes: </w:t>
      </w:r>
    </w:p>
    <w:p w14:paraId="519108D4"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BalanceSheetLocationAxis, </w:t>
      </w:r>
    </w:p>
    <w:p w14:paraId="440C8761"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IncomeStatementLocationAxis, </w:t>
      </w:r>
    </w:p>
    <w:p w14:paraId="2FB27054" w14:textId="77777777" w:rsidR="003D0CE6" w:rsidRDefault="003D0CE6" w:rsidP="003D0CE6">
      <w:pPr>
        <w:pStyle w:val="ListParagraph"/>
        <w:numPr>
          <w:ilvl w:val="2"/>
          <w:numId w:val="1"/>
        </w:numPr>
        <w:spacing w:line="240" w:lineRule="auto"/>
        <w:rPr>
          <w:rFonts w:eastAsia="Times New Roman"/>
        </w:rPr>
      </w:pPr>
      <w:r w:rsidRPr="003D0CE6">
        <w:rPr>
          <w:rFonts w:eastAsia="Times New Roman"/>
        </w:rPr>
        <w:t>OtherComprehensiveIncomeLocationAxis</w:t>
      </w:r>
    </w:p>
    <w:p w14:paraId="1FE9C8C8" w14:textId="77B725CB" w:rsidR="0099457E" w:rsidRPr="0099457E" w:rsidRDefault="00F23F75" w:rsidP="0099457E">
      <w:pPr>
        <w:pStyle w:val="ListParagraph"/>
        <w:numPr>
          <w:ilvl w:val="1"/>
          <w:numId w:val="1"/>
        </w:numPr>
        <w:spacing w:line="240" w:lineRule="auto"/>
        <w:rPr>
          <w:rFonts w:eastAsia="Times New Roman"/>
        </w:rPr>
      </w:pPr>
      <w:r>
        <w:rPr>
          <w:rFonts w:eastAsia="Times New Roman"/>
        </w:rPr>
        <w:t xml:space="preserve">This </w:t>
      </w:r>
      <w:r w:rsidR="0099457E" w:rsidRPr="0099457E">
        <w:rPr>
          <w:rFonts w:eastAsia="Times New Roman"/>
        </w:rPr>
        <w:t xml:space="preserve">rule was adjusted </w:t>
      </w:r>
      <w:r w:rsidR="00D1797E">
        <w:rPr>
          <w:rFonts w:eastAsia="Times New Roman"/>
        </w:rPr>
        <w:t xml:space="preserve">during public review </w:t>
      </w:r>
      <w:r w:rsidR="0099457E" w:rsidRPr="0099457E">
        <w:rPr>
          <w:rFonts w:eastAsia="Times New Roman"/>
        </w:rPr>
        <w:t>to remove identification of the following line items used with the BalanceSheetLocationAxis due to false positive results:</w:t>
      </w:r>
    </w:p>
    <w:p w14:paraId="66C86D15" w14:textId="77777777" w:rsidR="0099457E" w:rsidRPr="0099457E" w:rsidRDefault="0099457E" w:rsidP="00A83F69">
      <w:pPr>
        <w:pStyle w:val="ListParagraph"/>
        <w:numPr>
          <w:ilvl w:val="2"/>
          <w:numId w:val="1"/>
        </w:numPr>
        <w:spacing w:line="240" w:lineRule="auto"/>
        <w:rPr>
          <w:rFonts w:eastAsia="Times New Roman"/>
        </w:rPr>
      </w:pPr>
      <w:r w:rsidRPr="0099457E">
        <w:rPr>
          <w:rFonts w:eastAsia="Times New Roman"/>
        </w:rPr>
        <w:t xml:space="preserve">FairValueAssetsMeasuredOnRecurringBasisUnobservableInputReconciliationLineItems </w:t>
      </w:r>
    </w:p>
    <w:p w14:paraId="4444CDD3" w14:textId="79555910" w:rsidR="00F23F75" w:rsidRPr="003D122A" w:rsidRDefault="0099457E" w:rsidP="00A83F69">
      <w:pPr>
        <w:pStyle w:val="ListParagraph"/>
        <w:numPr>
          <w:ilvl w:val="2"/>
          <w:numId w:val="1"/>
        </w:numPr>
        <w:spacing w:line="240" w:lineRule="auto"/>
        <w:rPr>
          <w:rFonts w:eastAsia="Times New Roman"/>
        </w:rPr>
      </w:pPr>
      <w:r w:rsidRPr="003D122A">
        <w:rPr>
          <w:rFonts w:eastAsia="Times New Roman"/>
        </w:rPr>
        <w:t>FairValueLiabilitiesMeasuredOnRecurringBasisUnobservableInputReconciliationLineItems</w:t>
      </w:r>
    </w:p>
    <w:p w14:paraId="78A39442" w14:textId="42D8EF72" w:rsidR="00882229" w:rsidRPr="003D122A" w:rsidRDefault="00882229" w:rsidP="00882229">
      <w:pPr>
        <w:pStyle w:val="ListParagraph"/>
        <w:numPr>
          <w:ilvl w:val="1"/>
          <w:numId w:val="1"/>
        </w:numPr>
        <w:spacing w:line="240" w:lineRule="auto"/>
        <w:rPr>
          <w:rFonts w:eastAsia="Times New Roman"/>
        </w:rPr>
      </w:pPr>
      <w:r w:rsidRPr="003D122A">
        <w:rPr>
          <w:rFonts w:eastAsia="Times New Roman"/>
        </w:rPr>
        <w:t>There was an exception added to the rule</w:t>
      </w:r>
      <w:r w:rsidR="00CD5059" w:rsidRPr="003D122A">
        <w:rPr>
          <w:rFonts w:eastAsia="Times New Roman"/>
        </w:rPr>
        <w:t>, the rule will not flag when</w:t>
      </w:r>
      <w:r w:rsidRPr="003D122A">
        <w:rPr>
          <w:rFonts w:eastAsia="Times New Roman"/>
        </w:rPr>
        <w:t xml:space="preserve"> sharebasedcompensationlineitem </w:t>
      </w:r>
      <w:r w:rsidR="00CD5059" w:rsidRPr="003D122A">
        <w:rPr>
          <w:rFonts w:eastAsia="Times New Roman"/>
        </w:rPr>
        <w:t xml:space="preserve">is </w:t>
      </w:r>
      <w:r w:rsidRPr="003D122A">
        <w:rPr>
          <w:rFonts w:eastAsia="Times New Roman"/>
        </w:rPr>
        <w:t>on the IncomeStatementLocationAxis</w:t>
      </w:r>
    </w:p>
    <w:p w14:paraId="4EA6560A" w14:textId="7545D6F8" w:rsidR="003D0CE6" w:rsidRDefault="003D0CE6" w:rsidP="00B65129">
      <w:pPr>
        <w:pStyle w:val="ListParagraph"/>
        <w:numPr>
          <w:ilvl w:val="1"/>
          <w:numId w:val="1"/>
        </w:numPr>
        <w:spacing w:line="240" w:lineRule="auto"/>
        <w:rPr>
          <w:rFonts w:eastAsia="Times New Roman"/>
        </w:rPr>
      </w:pPr>
      <w:r w:rsidRPr="003D0CE6">
        <w:rPr>
          <w:rFonts w:eastAsia="Times New Roman"/>
        </w:rPr>
        <w:t xml:space="preserve">Rule DQC_0165 Useful Life of Leasehold Improvements - This rule supports FASB guidance for the reporting of the useful life of term leases. If the element PropertyPlantAndEquipmentUsefulLifeDescriptionOfTermExtensibleEnumeration is used with a value of UsefulLifeTermOfLeaseMember, then this implies that no value would be provided for the concept PropertyPlantAndEquipmentUsefulLife. If the useful life is the actual term of the lease then the extensible enumeration does not have to be provided. This rule identifies where the filer has used the </w:t>
      </w:r>
      <w:r w:rsidRPr="003D0CE6">
        <w:rPr>
          <w:rFonts w:eastAsia="Times New Roman"/>
        </w:rPr>
        <w:lastRenderedPageBreak/>
        <w:t>extensible enumeration element PropertyPlantAndEquipmentUsefulLifeDescriptionOfTermExtensibleEnumeration with LeaseholdImprovementsMember on the PropertyPlantAndEquipmentByTypeAxis with a value of ‘UsefulLifeTermOfLeaseMember’.</w:t>
      </w:r>
    </w:p>
    <w:p w14:paraId="76B658EC" w14:textId="77777777" w:rsidR="006C7707" w:rsidRPr="00CC668E" w:rsidRDefault="006C7707" w:rsidP="006C7707">
      <w:pPr>
        <w:pStyle w:val="ListParagraph"/>
        <w:numPr>
          <w:ilvl w:val="1"/>
          <w:numId w:val="1"/>
        </w:numPr>
        <w:spacing w:line="240" w:lineRule="auto"/>
        <w:rPr>
          <w:rFonts w:eastAsia="Times New Roman"/>
        </w:rPr>
      </w:pPr>
      <w:r w:rsidRPr="00CC668E">
        <w:rPr>
          <w:rFonts w:eastAsia="Times New Roman"/>
        </w:rPr>
        <w:t>Rule DQC_0166 – Facts without Hypercubes</w:t>
      </w:r>
      <w:r>
        <w:rPr>
          <w:rFonts w:eastAsia="Times New Roman"/>
        </w:rPr>
        <w:t xml:space="preserve"> - </w:t>
      </w:r>
      <w:r w:rsidRPr="00CC668E">
        <w:t>This rule identifies where the filer has created facts with dimensions that do not fit into a hypercube defined in the extension taxonomy</w:t>
      </w:r>
      <w:r>
        <w:t>.</w:t>
      </w:r>
    </w:p>
    <w:p w14:paraId="174CDDC7" w14:textId="32F81D59" w:rsidR="005D6DA8" w:rsidRPr="005D6DA8" w:rsidRDefault="00207F7C" w:rsidP="005D6DA8">
      <w:pPr>
        <w:pStyle w:val="ListParagraph"/>
        <w:numPr>
          <w:ilvl w:val="1"/>
          <w:numId w:val="1"/>
        </w:numPr>
        <w:spacing w:line="240" w:lineRule="auto"/>
      </w:pPr>
      <w:r w:rsidRPr="005D6DA8">
        <w:t>Rule DQC_0174 Conditional NonNegs – This rule identifies where filers have reported a negative value for the conc</w:t>
      </w:r>
      <w:r w:rsidR="000078D5" w:rsidRPr="005D6DA8">
        <w:t xml:space="preserve">ept </w:t>
      </w:r>
      <w:r w:rsidR="008D53F5" w:rsidRPr="005D6DA8">
        <w:t>FinancingReceivableAllowanceForCreditLossesIndividuallyEvaluatedForImpairment1</w:t>
      </w:r>
      <w:r w:rsidR="005D6DA8" w:rsidRPr="005D6DA8">
        <w:t>. The rule identifies where the value is negative but does not produce false positives where in some cases the value can be netted against the collectively evaluated for impairment</w:t>
      </w:r>
      <w:r w:rsidR="005D6DA8">
        <w:t xml:space="preserve"> </w:t>
      </w:r>
      <w:r w:rsidR="005D6DA8" w:rsidRPr="005D6DA8">
        <w:t>element.</w:t>
      </w:r>
    </w:p>
    <w:p w14:paraId="30886C29" w14:textId="77777777" w:rsidR="003D0CE6" w:rsidRPr="003D0CE6" w:rsidRDefault="003D0CE6" w:rsidP="003D0CE6">
      <w:pPr>
        <w:pStyle w:val="ListParagraph"/>
        <w:spacing w:line="240" w:lineRule="auto"/>
        <w:ind w:left="1440"/>
        <w:rPr>
          <w:rFonts w:eastAsia="Times New Roman"/>
        </w:rPr>
      </w:pPr>
    </w:p>
    <w:p w14:paraId="471E5B24" w14:textId="38F2ABD2" w:rsidR="003D0CE6" w:rsidRPr="0013768C" w:rsidRDefault="003D0CE6" w:rsidP="003D0CE6">
      <w:pPr>
        <w:pStyle w:val="ListParagraph"/>
        <w:numPr>
          <w:ilvl w:val="0"/>
          <w:numId w:val="1"/>
        </w:numPr>
        <w:spacing w:line="332" w:lineRule="auto"/>
      </w:pPr>
      <w:r w:rsidRPr="0013768C">
        <w:t>Motion to approve rules</w:t>
      </w:r>
      <w:r>
        <w:t xml:space="preserve"> </w:t>
      </w:r>
      <w:r w:rsidR="00A83F69">
        <w:t xml:space="preserve">DQC_0088, </w:t>
      </w:r>
      <w:r w:rsidR="008D58FC">
        <w:t xml:space="preserve">DQC_0159, </w:t>
      </w:r>
      <w:r>
        <w:t>DQC_0</w:t>
      </w:r>
      <w:r w:rsidR="004C286E">
        <w:t>1</w:t>
      </w:r>
      <w:r>
        <w:t>60, DQC_0</w:t>
      </w:r>
      <w:r w:rsidR="004C286E">
        <w:t>16</w:t>
      </w:r>
      <w:r>
        <w:t>1, DQC_01</w:t>
      </w:r>
      <w:r w:rsidR="004C286E">
        <w:t>62</w:t>
      </w:r>
      <w:r>
        <w:t>, DQC_01</w:t>
      </w:r>
      <w:r w:rsidR="004C286E">
        <w:t>6</w:t>
      </w:r>
      <w:r>
        <w:t>3, DQC_01</w:t>
      </w:r>
      <w:r w:rsidR="004C286E">
        <w:t>6</w:t>
      </w:r>
      <w:r>
        <w:t>4, DQC_01</w:t>
      </w:r>
      <w:r w:rsidR="004C286E">
        <w:t>6</w:t>
      </w:r>
      <w:r>
        <w:t>5,</w:t>
      </w:r>
      <w:r w:rsidR="00F25C5E">
        <w:t xml:space="preserve"> </w:t>
      </w:r>
      <w:r w:rsidR="006C7707">
        <w:t xml:space="preserve">DQC_0166, </w:t>
      </w:r>
      <w:r w:rsidR="00F25C5E">
        <w:t>and DQC_0174, effective</w:t>
      </w:r>
      <w:r w:rsidR="004F0BBD">
        <w:t xml:space="preserve"> December 1</w:t>
      </w:r>
      <w:r w:rsidR="004C286E">
        <w:t>,</w:t>
      </w:r>
      <w:r>
        <w:t xml:space="preserve"> 2023 by </w:t>
      </w:r>
      <w:r w:rsidR="008B2AF7">
        <w:t>Pranav Ghai</w:t>
      </w:r>
      <w:r>
        <w:t xml:space="preserve">, </w:t>
      </w:r>
      <w:r w:rsidRPr="0013768C">
        <w:t xml:space="preserve">seconded by </w:t>
      </w:r>
      <w:r w:rsidR="004F0BBD">
        <w:t>Mohini Singh</w:t>
      </w:r>
    </w:p>
    <w:p w14:paraId="729B5316" w14:textId="60C4BE88" w:rsidR="003D0CE6" w:rsidRPr="0013768C" w:rsidRDefault="003D0CE6" w:rsidP="003D0CE6">
      <w:pPr>
        <w:pStyle w:val="ListParagraph"/>
        <w:numPr>
          <w:ilvl w:val="0"/>
          <w:numId w:val="1"/>
        </w:numPr>
        <w:spacing w:line="332" w:lineRule="auto"/>
      </w:pPr>
      <w:r w:rsidRPr="0013768C">
        <w:t xml:space="preserve">Vote (For </w:t>
      </w:r>
      <w:r w:rsidR="00C31FC9">
        <w:t>8</w:t>
      </w:r>
      <w:r w:rsidRPr="0013768C">
        <w:t>, 0 Against)</w:t>
      </w:r>
    </w:p>
    <w:p w14:paraId="4BCF591E" w14:textId="328C6A3B" w:rsidR="003D0CE6" w:rsidRDefault="003D0CE6" w:rsidP="003D0CE6">
      <w:pPr>
        <w:pStyle w:val="ListParagraph"/>
        <w:numPr>
          <w:ilvl w:val="0"/>
          <w:numId w:val="1"/>
        </w:numPr>
        <w:spacing w:line="332" w:lineRule="auto"/>
      </w:pPr>
      <w:r w:rsidRPr="0013768C">
        <w:t>Motion passed.</w:t>
      </w:r>
      <w:r w:rsidRPr="001359A2">
        <w:t xml:space="preserve"> </w:t>
      </w:r>
      <w:r w:rsidR="00F25C5E">
        <w:t xml:space="preserve">DQC_0088, </w:t>
      </w:r>
      <w:r w:rsidR="008D58FC">
        <w:t xml:space="preserve">DQC_0159, </w:t>
      </w:r>
      <w:r w:rsidR="004C286E">
        <w:t xml:space="preserve">DQC_0160, DQC_0161, DQC_0162, DQC_0163, DQC_0164, DQC_0165, </w:t>
      </w:r>
      <w:r w:rsidR="006C7707">
        <w:t xml:space="preserve">DQC_0166, </w:t>
      </w:r>
      <w:r w:rsidR="00F25C5E">
        <w:t xml:space="preserve">and DQC_0174 </w:t>
      </w:r>
      <w:r w:rsidR="004C286E">
        <w:t xml:space="preserve">for </w:t>
      </w:r>
      <w:r w:rsidR="00F25C5E">
        <w:t xml:space="preserve">effective </w:t>
      </w:r>
      <w:r w:rsidR="004F0BBD">
        <w:t>December 1</w:t>
      </w:r>
      <w:r w:rsidR="00F25C5E">
        <w:t>, 2023</w:t>
      </w:r>
      <w:r>
        <w:t xml:space="preserve">. </w:t>
      </w:r>
    </w:p>
    <w:p w14:paraId="1D2DB772" w14:textId="77777777" w:rsidR="003D0CE6" w:rsidRDefault="003D0CE6" w:rsidP="004C286E">
      <w:pPr>
        <w:pStyle w:val="ListParagraph"/>
        <w:spacing w:line="240" w:lineRule="auto"/>
        <w:rPr>
          <w:rFonts w:eastAsia="Times New Roman"/>
        </w:rPr>
      </w:pPr>
    </w:p>
    <w:p w14:paraId="02D01780" w14:textId="17C30E1C" w:rsidR="0015513D" w:rsidRDefault="0015513D" w:rsidP="0015513D">
      <w:pPr>
        <w:spacing w:line="332" w:lineRule="auto"/>
        <w:rPr>
          <w:rFonts w:ascii="Arial" w:eastAsia="Arial" w:hAnsi="Arial" w:cs="Arial"/>
          <w:b/>
          <w:sz w:val="22"/>
        </w:rPr>
      </w:pPr>
      <w:r>
        <w:rPr>
          <w:rFonts w:ascii="Arial" w:eastAsia="Arial" w:hAnsi="Arial" w:cs="Arial"/>
          <w:b/>
          <w:sz w:val="22"/>
        </w:rPr>
        <w:t>Review</w:t>
      </w:r>
      <w:r w:rsidRPr="00196466">
        <w:rPr>
          <w:rFonts w:ascii="Arial" w:eastAsia="Arial" w:hAnsi="Arial" w:cs="Arial"/>
          <w:b/>
          <w:sz w:val="22"/>
        </w:rPr>
        <w:t xml:space="preserve"> and Approval of Version </w:t>
      </w:r>
      <w:r>
        <w:rPr>
          <w:rFonts w:ascii="Arial" w:eastAsia="Arial" w:hAnsi="Arial" w:cs="Arial"/>
          <w:b/>
          <w:sz w:val="22"/>
        </w:rPr>
        <w:t>2</w:t>
      </w:r>
      <w:r w:rsidR="004F0BBD">
        <w:rPr>
          <w:rFonts w:ascii="Arial" w:eastAsia="Arial" w:hAnsi="Arial" w:cs="Arial"/>
          <w:b/>
          <w:sz w:val="22"/>
        </w:rPr>
        <w:t>3</w:t>
      </w:r>
      <w:r w:rsidRPr="00196466">
        <w:rPr>
          <w:rFonts w:ascii="Arial" w:eastAsia="Arial" w:hAnsi="Arial" w:cs="Arial"/>
          <w:b/>
          <w:sz w:val="22"/>
        </w:rPr>
        <w:t xml:space="preserve"> DQC Rules</w:t>
      </w:r>
      <w:r>
        <w:rPr>
          <w:rFonts w:ascii="Arial" w:eastAsia="Arial" w:hAnsi="Arial" w:cs="Arial"/>
          <w:b/>
          <w:sz w:val="22"/>
        </w:rPr>
        <w:t xml:space="preserve"> for Public Review</w:t>
      </w:r>
    </w:p>
    <w:p w14:paraId="042233B0" w14:textId="0ED3F4B2" w:rsidR="0015513D" w:rsidRDefault="0015513D" w:rsidP="0015513D">
      <w:pPr>
        <w:pStyle w:val="ListParagraph"/>
        <w:numPr>
          <w:ilvl w:val="0"/>
          <w:numId w:val="1"/>
        </w:numPr>
        <w:spacing w:line="240" w:lineRule="auto"/>
        <w:rPr>
          <w:rFonts w:eastAsia="Times New Roman"/>
        </w:rPr>
      </w:pPr>
      <w:r>
        <w:rPr>
          <w:rFonts w:eastAsia="Times New Roman"/>
        </w:rPr>
        <w:t>Campbell introduced Version 2</w:t>
      </w:r>
      <w:r w:rsidR="004F0BBD">
        <w:rPr>
          <w:rFonts w:eastAsia="Times New Roman"/>
        </w:rPr>
        <w:t>3</w:t>
      </w:r>
      <w:r>
        <w:rPr>
          <w:rFonts w:eastAsia="Times New Roman"/>
        </w:rPr>
        <w:t xml:space="preserve"> proposed rules:</w:t>
      </w:r>
    </w:p>
    <w:p w14:paraId="7487716F" w14:textId="00A31B59" w:rsidR="00CC668E" w:rsidRPr="00CC668E" w:rsidRDefault="00CC668E" w:rsidP="00E064C3">
      <w:pPr>
        <w:pStyle w:val="ListParagraph"/>
        <w:numPr>
          <w:ilvl w:val="1"/>
          <w:numId w:val="1"/>
        </w:numPr>
        <w:spacing w:line="240" w:lineRule="auto"/>
        <w:rPr>
          <w:rFonts w:eastAsia="Times New Roman"/>
        </w:rPr>
      </w:pPr>
      <w:r w:rsidRPr="00CC668E">
        <w:rPr>
          <w:rFonts w:eastAsia="Times New Roman"/>
        </w:rPr>
        <w:t>Rule DQC_0167 – Inconsistent Calculation Roots -The rule is intended to detect those filings where filers have not defined the calculation linkbase correctly for the Balance Sheet, Income Statement and Statement of Comprehensive Income.</w:t>
      </w:r>
    </w:p>
    <w:p w14:paraId="7759D61D" w14:textId="45DA632D" w:rsidR="00CC668E" w:rsidRPr="00CC668E" w:rsidRDefault="00CC668E" w:rsidP="0014577F">
      <w:pPr>
        <w:pStyle w:val="ListParagraph"/>
        <w:numPr>
          <w:ilvl w:val="1"/>
          <w:numId w:val="1"/>
        </w:numPr>
        <w:spacing w:line="240" w:lineRule="auto"/>
        <w:rPr>
          <w:rFonts w:eastAsia="Times New Roman"/>
        </w:rPr>
      </w:pPr>
      <w:r w:rsidRPr="00CC668E">
        <w:rPr>
          <w:rFonts w:eastAsia="Times New Roman"/>
        </w:rPr>
        <w:t xml:space="preserve">Rule DQC_0168 – Tax Reconciliation Calculation - This rule identifies where the filer has not reported a calculation linkbase for the monetary and </w:t>
      </w:r>
      <w:r w:rsidR="00171E5B">
        <w:rPr>
          <w:rFonts w:eastAsia="Times New Roman"/>
        </w:rPr>
        <w:t>rate-based</w:t>
      </w:r>
      <w:r w:rsidRPr="00CC668E">
        <w:rPr>
          <w:rFonts w:eastAsia="Times New Roman"/>
        </w:rPr>
        <w:t xml:space="preserve"> tax reconciliation in a 10-K or 20-F filing.</w:t>
      </w:r>
    </w:p>
    <w:p w14:paraId="6C2C95FA" w14:textId="60BC88C3" w:rsidR="00CC668E" w:rsidRPr="00CC668E" w:rsidRDefault="00CC668E" w:rsidP="006B1724">
      <w:pPr>
        <w:pStyle w:val="ListParagraph"/>
        <w:numPr>
          <w:ilvl w:val="1"/>
          <w:numId w:val="1"/>
        </w:numPr>
        <w:spacing w:line="240" w:lineRule="auto"/>
        <w:rPr>
          <w:rFonts w:eastAsia="Times New Roman"/>
        </w:rPr>
      </w:pPr>
      <w:r w:rsidRPr="00CC668E">
        <w:rPr>
          <w:rFonts w:eastAsia="Times New Roman"/>
        </w:rPr>
        <w:t>Rule DQC_0169 – Calculation in the Parenthetical Disclosure - This rule identifies where the filer has defined a calculation in the parenthetical disclosure network of a Statement.</w:t>
      </w:r>
    </w:p>
    <w:p w14:paraId="7C658310" w14:textId="0404C5EF" w:rsidR="00CC668E" w:rsidRPr="00CC668E" w:rsidRDefault="00CC668E" w:rsidP="002E2503">
      <w:pPr>
        <w:pStyle w:val="ListParagraph"/>
        <w:numPr>
          <w:ilvl w:val="1"/>
          <w:numId w:val="1"/>
        </w:numPr>
        <w:spacing w:line="240" w:lineRule="auto"/>
        <w:rPr>
          <w:rFonts w:eastAsia="Times New Roman"/>
        </w:rPr>
      </w:pPr>
      <w:r w:rsidRPr="00CC668E">
        <w:rPr>
          <w:rFonts w:eastAsia="Times New Roman"/>
        </w:rPr>
        <w:t>Rule DQC_0170 – ECD Rule 10b51 Flag Disclosures - This rule identifies where the filer has not reported the ECD Rule 10b51 Flag Disclosures that should be reported with a value of false if they had no such disclosures to make. The rule identifies if this flag is not reported in 10-K and 20-F filings with a document period end date after 2023-12-31. The rule checks if the following 4 flags defined in the ECD taxonomy are missing:</w:t>
      </w:r>
    </w:p>
    <w:p w14:paraId="5D61FFA3"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Rule10b51ArrAdoptedFlag,</w:t>
      </w:r>
    </w:p>
    <w:p w14:paraId="1398EFC0"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NonRule10b51ArrAdoptedFlag,</w:t>
      </w:r>
    </w:p>
    <w:p w14:paraId="6D3262ED"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Rule10b51ArrTrmntdFlag,</w:t>
      </w:r>
    </w:p>
    <w:p w14:paraId="410A178F"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NonRule10b51ArrTrmntdFlag</w:t>
      </w:r>
    </w:p>
    <w:p w14:paraId="3B368D5C" w14:textId="77777777" w:rsidR="00CC668E" w:rsidRDefault="00CC668E" w:rsidP="00CC668E">
      <w:pPr>
        <w:pStyle w:val="ListParagraph"/>
        <w:numPr>
          <w:ilvl w:val="1"/>
          <w:numId w:val="1"/>
        </w:numPr>
        <w:spacing w:line="240" w:lineRule="auto"/>
        <w:rPr>
          <w:rFonts w:eastAsia="Times New Roman"/>
        </w:rPr>
      </w:pPr>
      <w:r w:rsidRPr="00CC668E">
        <w:rPr>
          <w:rFonts w:eastAsia="Times New Roman"/>
        </w:rPr>
        <w:t>The SEC ECD taxonomy requires that these 4 flags are tagged even if the values are false.</w:t>
      </w:r>
    </w:p>
    <w:p w14:paraId="02217323" w14:textId="5936E619" w:rsidR="0009695E" w:rsidRPr="00CC668E" w:rsidRDefault="0009695E" w:rsidP="00CC668E">
      <w:pPr>
        <w:pStyle w:val="ListParagraph"/>
        <w:numPr>
          <w:ilvl w:val="1"/>
          <w:numId w:val="1"/>
        </w:numPr>
        <w:spacing w:line="240" w:lineRule="auto"/>
        <w:rPr>
          <w:rFonts w:eastAsia="Times New Roman"/>
        </w:rPr>
      </w:pPr>
      <w:r>
        <w:rPr>
          <w:rFonts w:eastAsia="Times New Roman"/>
        </w:rPr>
        <w:lastRenderedPageBreak/>
        <w:t>Shelly proposed a change to allow for one flag to be tagged</w:t>
      </w:r>
      <w:r w:rsidR="00042FA3">
        <w:rPr>
          <w:rFonts w:eastAsia="Times New Roman"/>
        </w:rPr>
        <w:t>, rule will be updated.</w:t>
      </w:r>
      <w:r>
        <w:rPr>
          <w:rFonts w:eastAsia="Times New Roman"/>
        </w:rPr>
        <w:t xml:space="preserve"> </w:t>
      </w:r>
    </w:p>
    <w:p w14:paraId="22A89F8E" w14:textId="662A5C95" w:rsidR="00CC668E" w:rsidRPr="00CC668E" w:rsidRDefault="00CC668E" w:rsidP="00CF6093">
      <w:pPr>
        <w:pStyle w:val="ListParagraph"/>
        <w:numPr>
          <w:ilvl w:val="1"/>
          <w:numId w:val="1"/>
        </w:numPr>
        <w:spacing w:line="240" w:lineRule="auto"/>
        <w:rPr>
          <w:rFonts w:eastAsia="Times New Roman"/>
        </w:rPr>
      </w:pPr>
      <w:r w:rsidRPr="00CC668E">
        <w:rPr>
          <w:rFonts w:eastAsia="Times New Roman"/>
        </w:rPr>
        <w:t>Rule DQC_0171 – ASU 201613 Transition Elements - This rule identifies where the filer has reported ASU 201613 Transition elements in the filing. The rule will flag fact values with an end date greater than 2023-09-30 using one of these elements.  Exceptions include:</w:t>
      </w:r>
    </w:p>
    <w:p w14:paraId="39FDE014"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FinancingReceivableAllowanceForCreditLossesIndividuallyEvaluatedForImpairment1, </w:t>
      </w:r>
    </w:p>
    <w:p w14:paraId="5B8A42C5"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FinancingReceivableAllowanceForCreditLossesCollectivelyEvaluatedForImpairment, </w:t>
      </w:r>
    </w:p>
    <w:p w14:paraId="623061CC"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ImpairedFinancingReceivableAverageRecordedInvestment,</w:t>
      </w:r>
    </w:p>
    <w:p w14:paraId="7524ADF7"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ImpairedFinancingReceivableWithNoRelatedAllowanceAverageRecordedInvestment,</w:t>
      </w:r>
    </w:p>
    <w:p w14:paraId="1B32DB49" w14:textId="77777777" w:rsidR="00CC668E" w:rsidRPr="00CC668E" w:rsidRDefault="00CC668E" w:rsidP="00CC668E">
      <w:pPr>
        <w:pStyle w:val="ListParagraph"/>
        <w:numPr>
          <w:ilvl w:val="2"/>
          <w:numId w:val="1"/>
        </w:numPr>
        <w:spacing w:line="240" w:lineRule="auto"/>
        <w:rPr>
          <w:rFonts w:eastAsia="Times New Roman"/>
        </w:rPr>
      </w:pPr>
      <w:r w:rsidRPr="00CC668E">
        <w:rPr>
          <w:rFonts w:eastAsia="Times New Roman"/>
        </w:rPr>
        <w:t>HeldToMaturitySecuritiesInUnrealizedLossPositionsQualitativeDisclosureNumberOfPositions</w:t>
      </w:r>
    </w:p>
    <w:p w14:paraId="3A98A4E8" w14:textId="4299EAFD" w:rsidR="00CC668E" w:rsidRPr="00CC668E" w:rsidRDefault="00CC668E" w:rsidP="007F502F">
      <w:pPr>
        <w:pStyle w:val="ListParagraph"/>
        <w:numPr>
          <w:ilvl w:val="1"/>
          <w:numId w:val="1"/>
        </w:numPr>
        <w:spacing w:line="240" w:lineRule="auto"/>
        <w:rPr>
          <w:rFonts w:eastAsia="Times New Roman"/>
        </w:rPr>
      </w:pPr>
      <w:r w:rsidRPr="00CC668E">
        <w:rPr>
          <w:rFonts w:eastAsia="Times New Roman"/>
        </w:rPr>
        <w:t xml:space="preserve">Rule DQC_0172 – Reporting Right of use Assets </w:t>
      </w:r>
      <w:r w:rsidR="00644FD0">
        <w:rPr>
          <w:rFonts w:eastAsia="Times New Roman"/>
        </w:rPr>
        <w:t>–</w:t>
      </w:r>
      <w:r w:rsidRPr="00CC668E">
        <w:rPr>
          <w:rFonts w:eastAsia="Times New Roman"/>
        </w:rPr>
        <w:t xml:space="preserve"> Th</w:t>
      </w:r>
      <w:r w:rsidR="00644FD0">
        <w:rPr>
          <w:rFonts w:eastAsia="Times New Roman"/>
        </w:rPr>
        <w:t>is is an IFRS rule. Th</w:t>
      </w:r>
      <w:r w:rsidRPr="00CC668E">
        <w:rPr>
          <w:rFonts w:eastAsia="Times New Roman"/>
        </w:rPr>
        <w:t>e rule detects where filers have reported RightofuseAssets but not included it on the Statements and have used the element PropertyPlantAndEquipment instead of the correct element PropertyPlantAndEquipmentIncludingRightofuseAssets.</w:t>
      </w:r>
    </w:p>
    <w:p w14:paraId="0D85F1DC" w14:textId="3BB6A5E7" w:rsidR="00CC668E" w:rsidRDefault="00CC668E" w:rsidP="00550091">
      <w:pPr>
        <w:pStyle w:val="ListParagraph"/>
        <w:numPr>
          <w:ilvl w:val="1"/>
          <w:numId w:val="1"/>
        </w:numPr>
        <w:spacing w:line="240" w:lineRule="auto"/>
        <w:rPr>
          <w:rFonts w:eastAsia="Times New Roman"/>
        </w:rPr>
      </w:pPr>
      <w:r w:rsidRPr="00CC668E">
        <w:rPr>
          <w:rFonts w:eastAsia="Times New Roman"/>
        </w:rPr>
        <w:t>Rule DQC_0173 – IFRS Transition Elements - This rule identifies concepts in the IFRS taxonomy that are being transitioned and that should not be used in filings after 2023-01-01.</w:t>
      </w:r>
    </w:p>
    <w:p w14:paraId="29D5A12F" w14:textId="5FC0D897" w:rsidR="004A4A08" w:rsidRDefault="004A4A08" w:rsidP="00550091">
      <w:pPr>
        <w:pStyle w:val="ListParagraph"/>
        <w:numPr>
          <w:ilvl w:val="1"/>
          <w:numId w:val="1"/>
        </w:numPr>
        <w:spacing w:line="240" w:lineRule="auto"/>
        <w:rPr>
          <w:rFonts w:eastAsia="Times New Roman"/>
        </w:rPr>
      </w:pPr>
      <w:r>
        <w:rPr>
          <w:rFonts w:eastAsia="Times New Roman"/>
        </w:rPr>
        <w:t xml:space="preserve">Rule DQC_0152 – FASB guidance allows for lists of years for a fact value for the Tax Period Axis.  </w:t>
      </w:r>
    </w:p>
    <w:p w14:paraId="77F59BF6" w14:textId="332BD001" w:rsidR="004A4A08" w:rsidRPr="00CC668E" w:rsidRDefault="004A4A08" w:rsidP="00550091">
      <w:pPr>
        <w:pStyle w:val="ListParagraph"/>
        <w:numPr>
          <w:ilvl w:val="1"/>
          <w:numId w:val="1"/>
        </w:numPr>
        <w:spacing w:line="240" w:lineRule="auto"/>
        <w:rPr>
          <w:rFonts w:eastAsia="Times New Roman"/>
        </w:rPr>
      </w:pPr>
      <w:r>
        <w:rPr>
          <w:rFonts w:eastAsia="Times New Roman"/>
        </w:rPr>
        <w:t>DQC will approve</w:t>
      </w:r>
      <w:r w:rsidR="0031488F">
        <w:rPr>
          <w:rFonts w:eastAsia="Times New Roman"/>
        </w:rPr>
        <w:t xml:space="preserve"> these rules for public review in November</w:t>
      </w:r>
      <w:r w:rsidR="005C5B78">
        <w:rPr>
          <w:rFonts w:eastAsia="Times New Roman"/>
        </w:rPr>
        <w:t xml:space="preserve"> via email for a public review starting November 15, 2023</w:t>
      </w:r>
      <w:r w:rsidR="0031488F">
        <w:rPr>
          <w:rFonts w:eastAsia="Times New Roman"/>
        </w:rPr>
        <w:t>.  Additional rules are expected to be added to this version which will be sent to DQC members for approval via email prior to release.</w:t>
      </w:r>
    </w:p>
    <w:p w14:paraId="669C4C1A" w14:textId="77777777" w:rsidR="00CC668E" w:rsidRPr="00CC668E" w:rsidRDefault="00CC668E" w:rsidP="00CC668E">
      <w:pPr>
        <w:pStyle w:val="ListParagraph"/>
        <w:spacing w:line="240" w:lineRule="auto"/>
        <w:ind w:left="1440"/>
        <w:rPr>
          <w:rFonts w:eastAsia="Times New Roman"/>
        </w:rPr>
      </w:pPr>
    </w:p>
    <w:p w14:paraId="08D063B0" w14:textId="77777777" w:rsidR="006D2EFE" w:rsidRDefault="006D2EFE" w:rsidP="003D5064">
      <w:pPr>
        <w:spacing w:line="332" w:lineRule="auto"/>
        <w:rPr>
          <w:rFonts w:ascii="Arial" w:eastAsia="Arial" w:hAnsi="Arial" w:cs="Arial"/>
          <w:sz w:val="22"/>
        </w:rPr>
      </w:pPr>
    </w:p>
    <w:p w14:paraId="67BAA1EC" w14:textId="6DE27993" w:rsidR="005A13E0" w:rsidRPr="003D5064" w:rsidRDefault="003D5064" w:rsidP="003D5064">
      <w:pPr>
        <w:spacing w:line="332" w:lineRule="auto"/>
        <w:rPr>
          <w:bCs/>
        </w:rPr>
      </w:pPr>
      <w:r>
        <w:rPr>
          <w:rFonts w:ascii="Arial" w:eastAsia="Arial" w:hAnsi="Arial" w:cs="Arial"/>
          <w:sz w:val="22"/>
        </w:rPr>
        <w:t>Meeting adjourned 12:</w:t>
      </w:r>
      <w:r w:rsidR="00EE0024">
        <w:rPr>
          <w:rFonts w:ascii="Arial" w:eastAsia="Arial" w:hAnsi="Arial" w:cs="Arial"/>
          <w:sz w:val="22"/>
        </w:rPr>
        <w:t>0</w:t>
      </w:r>
      <w:r w:rsidR="0089799B">
        <w:rPr>
          <w:rFonts w:ascii="Arial" w:eastAsia="Arial" w:hAnsi="Arial" w:cs="Arial"/>
          <w:sz w:val="22"/>
        </w:rPr>
        <w:t>0</w:t>
      </w:r>
      <w:r w:rsidR="00650F01">
        <w:rPr>
          <w:rFonts w:ascii="Arial" w:eastAsia="Arial" w:hAnsi="Arial" w:cs="Arial"/>
          <w:sz w:val="22"/>
        </w:rPr>
        <w:t xml:space="preserve"> </w:t>
      </w:r>
      <w:r>
        <w:rPr>
          <w:rFonts w:ascii="Arial" w:eastAsia="Arial" w:hAnsi="Arial" w:cs="Arial"/>
          <w:sz w:val="22"/>
        </w:rPr>
        <w:t>PM</w:t>
      </w:r>
      <w:r w:rsidR="00EE0024" w:rsidRPr="00EE0024">
        <w:rPr>
          <w:rFonts w:ascii="Arial" w:eastAsia="Arial" w:hAnsi="Arial" w:cs="Arial"/>
          <w:sz w:val="22"/>
        </w:rPr>
        <w:t xml:space="preserve"> </w:t>
      </w:r>
      <w:r w:rsidR="00EE0024" w:rsidRPr="003D5064">
        <w:rPr>
          <w:rFonts w:ascii="Arial" w:eastAsia="Arial" w:hAnsi="Arial" w:cs="Arial"/>
          <w:sz w:val="22"/>
        </w:rPr>
        <w:t>after which, DQC held a closed session</w:t>
      </w:r>
      <w:r w:rsidRPr="003D5064">
        <w:rPr>
          <w:rFonts w:ascii="Arial" w:eastAsia="Arial" w:hAnsi="Arial" w:cs="Arial"/>
          <w:sz w:val="22"/>
        </w:rPr>
        <w:t xml:space="preserve"> </w:t>
      </w:r>
    </w:p>
    <w:p w14:paraId="1E1C695A" w14:textId="39631C41" w:rsidR="002121E5" w:rsidRDefault="002121E5" w:rsidP="002121E5">
      <w:pPr>
        <w:spacing w:line="332" w:lineRule="auto"/>
        <w:ind w:left="1440"/>
        <w:rPr>
          <w:bCs/>
        </w:rPr>
      </w:pPr>
      <w:bookmarkStart w:id="2" w:name="_jlfzh4shieuy" w:colFirst="0" w:colLast="0"/>
      <w:bookmarkEnd w:id="2"/>
    </w:p>
    <w:p w14:paraId="6BFEC3D6" w14:textId="1D132763" w:rsidR="00A33193" w:rsidRDefault="00A33193" w:rsidP="00A33193">
      <w:pPr>
        <w:spacing w:line="332" w:lineRule="auto"/>
        <w:rPr>
          <w:rFonts w:ascii="Arial" w:eastAsia="Arial" w:hAnsi="Arial" w:cs="Arial"/>
          <w:sz w:val="22"/>
        </w:rPr>
      </w:pP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DF4E" w14:textId="77777777" w:rsidR="008F1F3B" w:rsidRDefault="008F1F3B">
      <w:r>
        <w:separator/>
      </w:r>
    </w:p>
  </w:endnote>
  <w:endnote w:type="continuationSeparator" w:id="0">
    <w:p w14:paraId="275B1FFC" w14:textId="77777777" w:rsidR="008F1F3B" w:rsidRDefault="008F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2A9C" w14:textId="77777777" w:rsidR="008F1F3B" w:rsidRDefault="008F1F3B">
      <w:r>
        <w:separator/>
      </w:r>
    </w:p>
  </w:footnote>
  <w:footnote w:type="continuationSeparator" w:id="0">
    <w:p w14:paraId="16622B4B" w14:textId="77777777" w:rsidR="008F1F3B" w:rsidRDefault="008F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789"/>
    <w:multiLevelType w:val="multilevel"/>
    <w:tmpl w:val="2DC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2F2CAA"/>
    <w:multiLevelType w:val="hybridMultilevel"/>
    <w:tmpl w:val="859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4009"/>
    <w:multiLevelType w:val="multilevel"/>
    <w:tmpl w:val="A1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5"/>
  </w:num>
  <w:num w:numId="2" w16cid:durableId="1478912296">
    <w:abstractNumId w:val="4"/>
  </w:num>
  <w:num w:numId="3" w16cid:durableId="646208861">
    <w:abstractNumId w:val="1"/>
  </w:num>
  <w:num w:numId="4" w16cid:durableId="478347418">
    <w:abstractNumId w:val="2"/>
  </w:num>
  <w:num w:numId="5" w16cid:durableId="1289820612">
    <w:abstractNumId w:val="3"/>
  </w:num>
  <w:num w:numId="6" w16cid:durableId="48524873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8D5"/>
    <w:rsid w:val="00007E68"/>
    <w:rsid w:val="00007ED6"/>
    <w:rsid w:val="000127F5"/>
    <w:rsid w:val="000136DB"/>
    <w:rsid w:val="00014A38"/>
    <w:rsid w:val="00016AA4"/>
    <w:rsid w:val="00016F7E"/>
    <w:rsid w:val="000204AB"/>
    <w:rsid w:val="00020EA9"/>
    <w:rsid w:val="00020F2C"/>
    <w:rsid w:val="00021BB0"/>
    <w:rsid w:val="00024380"/>
    <w:rsid w:val="00025914"/>
    <w:rsid w:val="00026C18"/>
    <w:rsid w:val="000309CD"/>
    <w:rsid w:val="00034B1F"/>
    <w:rsid w:val="000413C8"/>
    <w:rsid w:val="00042FA3"/>
    <w:rsid w:val="00043834"/>
    <w:rsid w:val="00044F05"/>
    <w:rsid w:val="00046D37"/>
    <w:rsid w:val="000474C9"/>
    <w:rsid w:val="00047C0B"/>
    <w:rsid w:val="0005041A"/>
    <w:rsid w:val="00052B41"/>
    <w:rsid w:val="00054417"/>
    <w:rsid w:val="000548F4"/>
    <w:rsid w:val="000558DD"/>
    <w:rsid w:val="00055DF4"/>
    <w:rsid w:val="00056425"/>
    <w:rsid w:val="0005737B"/>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95E"/>
    <w:rsid w:val="00096B55"/>
    <w:rsid w:val="000A373D"/>
    <w:rsid w:val="000A40AB"/>
    <w:rsid w:val="000A67DF"/>
    <w:rsid w:val="000B19CB"/>
    <w:rsid w:val="000B1C9E"/>
    <w:rsid w:val="000B207C"/>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058C7"/>
    <w:rsid w:val="00112E9F"/>
    <w:rsid w:val="001147FB"/>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513D"/>
    <w:rsid w:val="0015637A"/>
    <w:rsid w:val="0015767B"/>
    <w:rsid w:val="00157ECE"/>
    <w:rsid w:val="00163718"/>
    <w:rsid w:val="00164E8B"/>
    <w:rsid w:val="00164F24"/>
    <w:rsid w:val="001666E4"/>
    <w:rsid w:val="00171E5B"/>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193B"/>
    <w:rsid w:val="001D3459"/>
    <w:rsid w:val="001D383E"/>
    <w:rsid w:val="001D3B82"/>
    <w:rsid w:val="001D5D68"/>
    <w:rsid w:val="001D698D"/>
    <w:rsid w:val="001D6B1E"/>
    <w:rsid w:val="001E2606"/>
    <w:rsid w:val="001E3A76"/>
    <w:rsid w:val="001F0134"/>
    <w:rsid w:val="001F186F"/>
    <w:rsid w:val="001F62ED"/>
    <w:rsid w:val="001F7ADF"/>
    <w:rsid w:val="00202510"/>
    <w:rsid w:val="00204836"/>
    <w:rsid w:val="002074D6"/>
    <w:rsid w:val="00207514"/>
    <w:rsid w:val="00207F7C"/>
    <w:rsid w:val="002121E5"/>
    <w:rsid w:val="00212269"/>
    <w:rsid w:val="00212E84"/>
    <w:rsid w:val="00212FAB"/>
    <w:rsid w:val="0021499F"/>
    <w:rsid w:val="002163A6"/>
    <w:rsid w:val="00220D59"/>
    <w:rsid w:val="0022145D"/>
    <w:rsid w:val="00221EA4"/>
    <w:rsid w:val="0022274F"/>
    <w:rsid w:val="00230379"/>
    <w:rsid w:val="00230A9B"/>
    <w:rsid w:val="00230DA3"/>
    <w:rsid w:val="00231A2B"/>
    <w:rsid w:val="002324E3"/>
    <w:rsid w:val="00234097"/>
    <w:rsid w:val="0023482A"/>
    <w:rsid w:val="00234902"/>
    <w:rsid w:val="00235189"/>
    <w:rsid w:val="00235CE1"/>
    <w:rsid w:val="00235DD8"/>
    <w:rsid w:val="002400C8"/>
    <w:rsid w:val="00240C2F"/>
    <w:rsid w:val="0024118F"/>
    <w:rsid w:val="002411F8"/>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4D42"/>
    <w:rsid w:val="00286985"/>
    <w:rsid w:val="002878C8"/>
    <w:rsid w:val="002907ED"/>
    <w:rsid w:val="00290C62"/>
    <w:rsid w:val="00292588"/>
    <w:rsid w:val="00292838"/>
    <w:rsid w:val="00292B3F"/>
    <w:rsid w:val="002936F4"/>
    <w:rsid w:val="00295C0F"/>
    <w:rsid w:val="00295E54"/>
    <w:rsid w:val="00296DA6"/>
    <w:rsid w:val="0029757F"/>
    <w:rsid w:val="00297BFC"/>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352D"/>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3B93"/>
    <w:rsid w:val="0030404C"/>
    <w:rsid w:val="00305DAD"/>
    <w:rsid w:val="003071CC"/>
    <w:rsid w:val="00310738"/>
    <w:rsid w:val="0031170D"/>
    <w:rsid w:val="0031179F"/>
    <w:rsid w:val="00312759"/>
    <w:rsid w:val="00312FC5"/>
    <w:rsid w:val="0031488F"/>
    <w:rsid w:val="003160F4"/>
    <w:rsid w:val="00317120"/>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0C27"/>
    <w:rsid w:val="003D0CE6"/>
    <w:rsid w:val="003D122A"/>
    <w:rsid w:val="003D4A46"/>
    <w:rsid w:val="003D5064"/>
    <w:rsid w:val="003D5BBE"/>
    <w:rsid w:val="003E24CB"/>
    <w:rsid w:val="003E351D"/>
    <w:rsid w:val="003E723C"/>
    <w:rsid w:val="003E7453"/>
    <w:rsid w:val="003E791C"/>
    <w:rsid w:val="003E7925"/>
    <w:rsid w:val="003E79E3"/>
    <w:rsid w:val="003F1A04"/>
    <w:rsid w:val="003F2197"/>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264A"/>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820"/>
    <w:rsid w:val="00483A54"/>
    <w:rsid w:val="004928B6"/>
    <w:rsid w:val="0049458D"/>
    <w:rsid w:val="0049465B"/>
    <w:rsid w:val="00494A56"/>
    <w:rsid w:val="00494D94"/>
    <w:rsid w:val="0049524E"/>
    <w:rsid w:val="00495CB2"/>
    <w:rsid w:val="00495E9C"/>
    <w:rsid w:val="00497187"/>
    <w:rsid w:val="004A1956"/>
    <w:rsid w:val="004A1E93"/>
    <w:rsid w:val="004A2BEB"/>
    <w:rsid w:val="004A32D5"/>
    <w:rsid w:val="004A4A08"/>
    <w:rsid w:val="004B09A2"/>
    <w:rsid w:val="004B11F3"/>
    <w:rsid w:val="004B21A7"/>
    <w:rsid w:val="004B325A"/>
    <w:rsid w:val="004B3352"/>
    <w:rsid w:val="004B4BD3"/>
    <w:rsid w:val="004B734D"/>
    <w:rsid w:val="004B7B08"/>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0BBD"/>
    <w:rsid w:val="004F3856"/>
    <w:rsid w:val="004F471A"/>
    <w:rsid w:val="00500040"/>
    <w:rsid w:val="005005A2"/>
    <w:rsid w:val="0050070D"/>
    <w:rsid w:val="0050255E"/>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5BE"/>
    <w:rsid w:val="005C1851"/>
    <w:rsid w:val="005C5A47"/>
    <w:rsid w:val="005C5B78"/>
    <w:rsid w:val="005C63B8"/>
    <w:rsid w:val="005C693B"/>
    <w:rsid w:val="005D009B"/>
    <w:rsid w:val="005D0922"/>
    <w:rsid w:val="005D0D31"/>
    <w:rsid w:val="005D223A"/>
    <w:rsid w:val="005D2C29"/>
    <w:rsid w:val="005D3FB4"/>
    <w:rsid w:val="005D5C7A"/>
    <w:rsid w:val="005D6513"/>
    <w:rsid w:val="005D6DA8"/>
    <w:rsid w:val="005E49C3"/>
    <w:rsid w:val="005E5673"/>
    <w:rsid w:val="005F4F3C"/>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25218"/>
    <w:rsid w:val="00630028"/>
    <w:rsid w:val="00634F4C"/>
    <w:rsid w:val="0063559C"/>
    <w:rsid w:val="00636361"/>
    <w:rsid w:val="00636EB5"/>
    <w:rsid w:val="00641115"/>
    <w:rsid w:val="0064182C"/>
    <w:rsid w:val="00641B08"/>
    <w:rsid w:val="00643706"/>
    <w:rsid w:val="00644FD0"/>
    <w:rsid w:val="006467C5"/>
    <w:rsid w:val="00646A65"/>
    <w:rsid w:val="00646C7E"/>
    <w:rsid w:val="00650F01"/>
    <w:rsid w:val="006554CE"/>
    <w:rsid w:val="00656CDF"/>
    <w:rsid w:val="00657D8E"/>
    <w:rsid w:val="00660283"/>
    <w:rsid w:val="006608D3"/>
    <w:rsid w:val="0066162A"/>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93256"/>
    <w:rsid w:val="00696C4F"/>
    <w:rsid w:val="006A1F47"/>
    <w:rsid w:val="006A35E1"/>
    <w:rsid w:val="006A4008"/>
    <w:rsid w:val="006A6E5A"/>
    <w:rsid w:val="006B5247"/>
    <w:rsid w:val="006B59ED"/>
    <w:rsid w:val="006B7294"/>
    <w:rsid w:val="006C1FC4"/>
    <w:rsid w:val="006C2843"/>
    <w:rsid w:val="006C2D2C"/>
    <w:rsid w:val="006C47F9"/>
    <w:rsid w:val="006C4F0F"/>
    <w:rsid w:val="006C7707"/>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483D"/>
    <w:rsid w:val="0073629B"/>
    <w:rsid w:val="00736A8C"/>
    <w:rsid w:val="0073741E"/>
    <w:rsid w:val="0074061A"/>
    <w:rsid w:val="007413F1"/>
    <w:rsid w:val="00741737"/>
    <w:rsid w:val="00741D3D"/>
    <w:rsid w:val="00743520"/>
    <w:rsid w:val="007439E4"/>
    <w:rsid w:val="007450ED"/>
    <w:rsid w:val="007464E0"/>
    <w:rsid w:val="0074756D"/>
    <w:rsid w:val="00747CB1"/>
    <w:rsid w:val="00750B0E"/>
    <w:rsid w:val="007544F4"/>
    <w:rsid w:val="00754952"/>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C86"/>
    <w:rsid w:val="00794D7E"/>
    <w:rsid w:val="0079728F"/>
    <w:rsid w:val="007A3873"/>
    <w:rsid w:val="007A5966"/>
    <w:rsid w:val="007B13A8"/>
    <w:rsid w:val="007B31DC"/>
    <w:rsid w:val="007B3D98"/>
    <w:rsid w:val="007B648F"/>
    <w:rsid w:val="007B68BE"/>
    <w:rsid w:val="007B69F6"/>
    <w:rsid w:val="007B7561"/>
    <w:rsid w:val="007C13B3"/>
    <w:rsid w:val="007C1682"/>
    <w:rsid w:val="007C42AF"/>
    <w:rsid w:val="007C531C"/>
    <w:rsid w:val="007C62CC"/>
    <w:rsid w:val="007C7A0B"/>
    <w:rsid w:val="007C7A6A"/>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185"/>
    <w:rsid w:val="007F4645"/>
    <w:rsid w:val="007F46DE"/>
    <w:rsid w:val="0080165B"/>
    <w:rsid w:val="0080213C"/>
    <w:rsid w:val="008023BA"/>
    <w:rsid w:val="00803468"/>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BC4"/>
    <w:rsid w:val="00847CA6"/>
    <w:rsid w:val="00847D0F"/>
    <w:rsid w:val="00847EF2"/>
    <w:rsid w:val="00850812"/>
    <w:rsid w:val="00855605"/>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2229"/>
    <w:rsid w:val="008832AA"/>
    <w:rsid w:val="00883931"/>
    <w:rsid w:val="00883D13"/>
    <w:rsid w:val="00885777"/>
    <w:rsid w:val="008859AF"/>
    <w:rsid w:val="0088690D"/>
    <w:rsid w:val="00891F8B"/>
    <w:rsid w:val="00893502"/>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531"/>
    <w:rsid w:val="008D07A7"/>
    <w:rsid w:val="008D2197"/>
    <w:rsid w:val="008D21B3"/>
    <w:rsid w:val="008D23F7"/>
    <w:rsid w:val="008D4DA1"/>
    <w:rsid w:val="008D53F5"/>
    <w:rsid w:val="008D58FC"/>
    <w:rsid w:val="008D6FA6"/>
    <w:rsid w:val="008E3E5C"/>
    <w:rsid w:val="008E4914"/>
    <w:rsid w:val="008E4B4F"/>
    <w:rsid w:val="008E78B7"/>
    <w:rsid w:val="008E7CE9"/>
    <w:rsid w:val="008F1DF5"/>
    <w:rsid w:val="008F1F3B"/>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17E38"/>
    <w:rsid w:val="00922577"/>
    <w:rsid w:val="00923E79"/>
    <w:rsid w:val="00923F18"/>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4AD"/>
    <w:rsid w:val="00961E9C"/>
    <w:rsid w:val="00962EF8"/>
    <w:rsid w:val="009631D2"/>
    <w:rsid w:val="00971C4F"/>
    <w:rsid w:val="00972326"/>
    <w:rsid w:val="00973E9A"/>
    <w:rsid w:val="0097424B"/>
    <w:rsid w:val="00974DF1"/>
    <w:rsid w:val="00975A9E"/>
    <w:rsid w:val="00975C14"/>
    <w:rsid w:val="009761A2"/>
    <w:rsid w:val="00980CFB"/>
    <w:rsid w:val="009816AC"/>
    <w:rsid w:val="009817CB"/>
    <w:rsid w:val="00981FF6"/>
    <w:rsid w:val="00982A9C"/>
    <w:rsid w:val="0098685A"/>
    <w:rsid w:val="009869A3"/>
    <w:rsid w:val="00992A29"/>
    <w:rsid w:val="0099362B"/>
    <w:rsid w:val="0099457E"/>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3630"/>
    <w:rsid w:val="009C490D"/>
    <w:rsid w:val="009C4BCA"/>
    <w:rsid w:val="009C60B2"/>
    <w:rsid w:val="009C65AA"/>
    <w:rsid w:val="009D10F6"/>
    <w:rsid w:val="009D3535"/>
    <w:rsid w:val="009D7B81"/>
    <w:rsid w:val="009E12DB"/>
    <w:rsid w:val="009E236D"/>
    <w:rsid w:val="009E29F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0339"/>
    <w:rsid w:val="00A818F2"/>
    <w:rsid w:val="00A82D10"/>
    <w:rsid w:val="00A83F69"/>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D6854"/>
    <w:rsid w:val="00BE1CBA"/>
    <w:rsid w:val="00BE27EC"/>
    <w:rsid w:val="00BE2FE1"/>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30553"/>
    <w:rsid w:val="00C30558"/>
    <w:rsid w:val="00C31B06"/>
    <w:rsid w:val="00C31FC9"/>
    <w:rsid w:val="00C33392"/>
    <w:rsid w:val="00C3446A"/>
    <w:rsid w:val="00C346F1"/>
    <w:rsid w:val="00C37488"/>
    <w:rsid w:val="00C41023"/>
    <w:rsid w:val="00C41B94"/>
    <w:rsid w:val="00C43538"/>
    <w:rsid w:val="00C444A4"/>
    <w:rsid w:val="00C449B2"/>
    <w:rsid w:val="00C44C4A"/>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19A4"/>
    <w:rsid w:val="00CA42B5"/>
    <w:rsid w:val="00CA6386"/>
    <w:rsid w:val="00CA689E"/>
    <w:rsid w:val="00CB0F59"/>
    <w:rsid w:val="00CB688B"/>
    <w:rsid w:val="00CC039A"/>
    <w:rsid w:val="00CC0943"/>
    <w:rsid w:val="00CC37D4"/>
    <w:rsid w:val="00CC4283"/>
    <w:rsid w:val="00CC4A96"/>
    <w:rsid w:val="00CC4BFD"/>
    <w:rsid w:val="00CC668E"/>
    <w:rsid w:val="00CC7AAD"/>
    <w:rsid w:val="00CD1EB4"/>
    <w:rsid w:val="00CD32C0"/>
    <w:rsid w:val="00CD44A5"/>
    <w:rsid w:val="00CD5059"/>
    <w:rsid w:val="00CD6364"/>
    <w:rsid w:val="00CD7EFA"/>
    <w:rsid w:val="00CE00F7"/>
    <w:rsid w:val="00CE030F"/>
    <w:rsid w:val="00CE063F"/>
    <w:rsid w:val="00CE08E3"/>
    <w:rsid w:val="00CE1215"/>
    <w:rsid w:val="00CE31D0"/>
    <w:rsid w:val="00CE3535"/>
    <w:rsid w:val="00CE5592"/>
    <w:rsid w:val="00CE73AA"/>
    <w:rsid w:val="00CF06A5"/>
    <w:rsid w:val="00CF2499"/>
    <w:rsid w:val="00CF39B3"/>
    <w:rsid w:val="00CF42CC"/>
    <w:rsid w:val="00CF688D"/>
    <w:rsid w:val="00D00A9C"/>
    <w:rsid w:val="00D01948"/>
    <w:rsid w:val="00D024F1"/>
    <w:rsid w:val="00D05AD3"/>
    <w:rsid w:val="00D11365"/>
    <w:rsid w:val="00D11C8C"/>
    <w:rsid w:val="00D1429A"/>
    <w:rsid w:val="00D15DB3"/>
    <w:rsid w:val="00D16017"/>
    <w:rsid w:val="00D16116"/>
    <w:rsid w:val="00D16C06"/>
    <w:rsid w:val="00D1797E"/>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B34"/>
    <w:rsid w:val="00D54F43"/>
    <w:rsid w:val="00D554F5"/>
    <w:rsid w:val="00D56432"/>
    <w:rsid w:val="00D5668F"/>
    <w:rsid w:val="00D56A10"/>
    <w:rsid w:val="00D57D77"/>
    <w:rsid w:val="00D62F80"/>
    <w:rsid w:val="00D6384C"/>
    <w:rsid w:val="00D65797"/>
    <w:rsid w:val="00D67616"/>
    <w:rsid w:val="00D72ECD"/>
    <w:rsid w:val="00D73839"/>
    <w:rsid w:val="00D73A2F"/>
    <w:rsid w:val="00D74899"/>
    <w:rsid w:val="00D749F7"/>
    <w:rsid w:val="00D74FAA"/>
    <w:rsid w:val="00D820AF"/>
    <w:rsid w:val="00D82434"/>
    <w:rsid w:val="00D82462"/>
    <w:rsid w:val="00D843AE"/>
    <w:rsid w:val="00D85383"/>
    <w:rsid w:val="00D85972"/>
    <w:rsid w:val="00D85F7A"/>
    <w:rsid w:val="00D863FD"/>
    <w:rsid w:val="00D867F7"/>
    <w:rsid w:val="00D91EDB"/>
    <w:rsid w:val="00D922D1"/>
    <w:rsid w:val="00D9270E"/>
    <w:rsid w:val="00D92A18"/>
    <w:rsid w:val="00D93AF9"/>
    <w:rsid w:val="00D94DCC"/>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A9D"/>
    <w:rsid w:val="00E35E87"/>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25B9"/>
    <w:rsid w:val="00E52D69"/>
    <w:rsid w:val="00E53D7C"/>
    <w:rsid w:val="00E54D40"/>
    <w:rsid w:val="00E55AC1"/>
    <w:rsid w:val="00E61700"/>
    <w:rsid w:val="00E660BE"/>
    <w:rsid w:val="00E669EE"/>
    <w:rsid w:val="00E67D56"/>
    <w:rsid w:val="00E7085B"/>
    <w:rsid w:val="00E70EDC"/>
    <w:rsid w:val="00E712F3"/>
    <w:rsid w:val="00E7140A"/>
    <w:rsid w:val="00E727F1"/>
    <w:rsid w:val="00E739B0"/>
    <w:rsid w:val="00E74610"/>
    <w:rsid w:val="00E75780"/>
    <w:rsid w:val="00E7657C"/>
    <w:rsid w:val="00E77621"/>
    <w:rsid w:val="00E77783"/>
    <w:rsid w:val="00E82FB6"/>
    <w:rsid w:val="00E838E5"/>
    <w:rsid w:val="00E84D07"/>
    <w:rsid w:val="00E85441"/>
    <w:rsid w:val="00E86886"/>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C7282"/>
    <w:rsid w:val="00ED105A"/>
    <w:rsid w:val="00ED16AE"/>
    <w:rsid w:val="00ED1C32"/>
    <w:rsid w:val="00ED37D7"/>
    <w:rsid w:val="00ED45CC"/>
    <w:rsid w:val="00ED4C80"/>
    <w:rsid w:val="00ED7CB1"/>
    <w:rsid w:val="00EE0024"/>
    <w:rsid w:val="00EE0FEE"/>
    <w:rsid w:val="00EE1E30"/>
    <w:rsid w:val="00EE24F9"/>
    <w:rsid w:val="00EE2C03"/>
    <w:rsid w:val="00EE32D5"/>
    <w:rsid w:val="00EE39AF"/>
    <w:rsid w:val="00EE3E9B"/>
    <w:rsid w:val="00EE4E65"/>
    <w:rsid w:val="00EE5E84"/>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3F75"/>
    <w:rsid w:val="00F2573E"/>
    <w:rsid w:val="00F25C5E"/>
    <w:rsid w:val="00F25E29"/>
    <w:rsid w:val="00F266B0"/>
    <w:rsid w:val="00F27226"/>
    <w:rsid w:val="00F33E1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3B1"/>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3D4F"/>
    <w:rsid w:val="00FB40AA"/>
    <w:rsid w:val="00FB420B"/>
    <w:rsid w:val="00FB4EFB"/>
    <w:rsid w:val="00FC0B9E"/>
    <w:rsid w:val="00FC5FD9"/>
    <w:rsid w:val="00FD0BAE"/>
    <w:rsid w:val="00FD128C"/>
    <w:rsid w:val="00FD1D03"/>
    <w:rsid w:val="00FD2846"/>
    <w:rsid w:val="00FD2E0D"/>
    <w:rsid w:val="00FD386C"/>
    <w:rsid w:val="00FD4FC0"/>
    <w:rsid w:val="00FD6102"/>
    <w:rsid w:val="00FE07C6"/>
    <w:rsid w:val="00FE0B36"/>
    <w:rsid w:val="00FE1E1A"/>
    <w:rsid w:val="00FE2563"/>
    <w:rsid w:val="00FE293A"/>
    <w:rsid w:val="00FE35FE"/>
    <w:rsid w:val="00FE6EE5"/>
    <w:rsid w:val="00FF1B5F"/>
    <w:rsid w:val="00FF1FC7"/>
    <w:rsid w:val="00FF269B"/>
    <w:rsid w:val="00FF3C71"/>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 w:type="paragraph" w:styleId="FootnoteText">
    <w:name w:val="footnote text"/>
    <w:basedOn w:val="Normal"/>
    <w:link w:val="FootnoteTextChar"/>
    <w:uiPriority w:val="99"/>
    <w:semiHidden/>
    <w:unhideWhenUsed/>
    <w:rsid w:val="00230DA3"/>
  </w:style>
  <w:style w:type="character" w:customStyle="1" w:styleId="FootnoteTextChar">
    <w:name w:val="Footnote Text Char"/>
    <w:basedOn w:val="DefaultParagraphFont"/>
    <w:link w:val="FootnoteText"/>
    <w:uiPriority w:val="99"/>
    <w:semiHidden/>
    <w:rsid w:val="00230DA3"/>
  </w:style>
  <w:style w:type="character" w:styleId="FootnoteReference">
    <w:name w:val="footnote reference"/>
    <w:basedOn w:val="DefaultParagraphFont"/>
    <w:uiPriority w:val="99"/>
    <w:semiHidden/>
    <w:unhideWhenUsed/>
    <w:rsid w:val="00230D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1171</Words>
  <Characters>7374</Characters>
  <Application>Microsoft Office Word</Application>
  <DocSecurity>0</DocSecurity>
  <Lines>171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56</cp:revision>
  <dcterms:created xsi:type="dcterms:W3CDTF">2023-10-04T23:08:00Z</dcterms:created>
  <dcterms:modified xsi:type="dcterms:W3CDTF">2024-02-27T15:02:00Z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