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404" w:rsidRDefault="0043431A">
      <w:pPr>
        <w:pStyle w:val="Heading1"/>
        <w:pBdr>
          <w:top w:val="nil"/>
          <w:left w:val="nil"/>
          <w:bottom w:val="nil"/>
          <w:right w:val="nil"/>
          <w:between w:val="nil"/>
        </w:pBdr>
      </w:pPr>
      <w:bookmarkStart w:id="0" w:name="_9cqjz1me3vop" w:colFirst="0" w:colLast="0"/>
      <w:bookmarkStart w:id="1" w:name="_GoBack"/>
      <w:bookmarkEnd w:id="0"/>
      <w:bookmarkEnd w:id="1"/>
      <w:r>
        <w:t>Breakdown of Operating Lease liabilities across Financial Statement Lines Items</w:t>
      </w:r>
    </w:p>
    <w:p w:rsidR="007D6404" w:rsidRDefault="0043431A">
      <w:pPr>
        <w:pBdr>
          <w:top w:val="nil"/>
          <w:left w:val="nil"/>
          <w:bottom w:val="nil"/>
          <w:right w:val="nil"/>
          <w:between w:val="nil"/>
        </w:pBdr>
      </w:pPr>
      <w:r>
        <w:t>Rule ID: DQC_0087</w:t>
      </w:r>
    </w:p>
    <w:p w:rsidR="007D6404" w:rsidRDefault="0043431A">
      <w:pPr>
        <w:pStyle w:val="Heading3"/>
        <w:pBdr>
          <w:top w:val="nil"/>
          <w:left w:val="nil"/>
          <w:bottom w:val="nil"/>
          <w:right w:val="nil"/>
          <w:between w:val="nil"/>
        </w:pBdr>
      </w:pPr>
      <w:bookmarkStart w:id="2" w:name="_jcnmuin87d7z" w:colFirst="0" w:colLast="0"/>
      <w:bookmarkEnd w:id="2"/>
      <w:r>
        <w:t>Rule function</w:t>
      </w:r>
    </w:p>
    <w:p w:rsidR="007D6404" w:rsidRDefault="0043431A">
      <w:pPr>
        <w:spacing w:line="240" w:lineRule="auto"/>
        <w:jc w:val="both"/>
      </w:pPr>
      <w:r>
        <w:t>This rule identifies 10-K, 10-K/A and 20-F filings where the filer has operating lease liabilities but has not included those operating lease liabilities in the financial statements. In these cases it is expected that the filer would indicate which financi</w:t>
      </w:r>
      <w:r>
        <w:t>al statement line item the operating lease liability is included in.  This can be performed one of two ways:</w:t>
      </w:r>
    </w:p>
    <w:p w:rsidR="007D6404" w:rsidRDefault="0043431A">
      <w:pPr>
        <w:numPr>
          <w:ilvl w:val="0"/>
          <w:numId w:val="1"/>
        </w:numPr>
        <w:spacing w:line="240" w:lineRule="auto"/>
        <w:jc w:val="both"/>
      </w:pPr>
      <w:r>
        <w:t xml:space="preserve">Use the Operating Lease Liability Extensible List item if the operating lease liability allocated </w:t>
      </w:r>
      <w:proofErr w:type="gramStart"/>
      <w:r>
        <w:t>to  one</w:t>
      </w:r>
      <w:proofErr w:type="gramEnd"/>
      <w:r>
        <w:t xml:space="preserve"> or more accounts. This should be used if </w:t>
      </w:r>
      <w:r>
        <w:t>the values allocated to each account are not provided.</w:t>
      </w:r>
    </w:p>
    <w:p w:rsidR="007D6404" w:rsidRDefault="0043431A">
      <w:pPr>
        <w:numPr>
          <w:ilvl w:val="0"/>
          <w:numId w:val="1"/>
        </w:numPr>
        <w:spacing w:line="240" w:lineRule="auto"/>
        <w:jc w:val="both"/>
      </w:pPr>
      <w:r>
        <w:t>Use the balance sheet location axis when the filer reports the specific amounts of operating lease liability apportioned to separate balance sheet accounts.</w:t>
      </w:r>
    </w:p>
    <w:p w:rsidR="007D6404" w:rsidRDefault="007D6404">
      <w:pPr>
        <w:spacing w:line="240" w:lineRule="auto"/>
        <w:jc w:val="both"/>
      </w:pPr>
    </w:p>
    <w:p w:rsidR="007D6404" w:rsidRDefault="0043431A">
      <w:pPr>
        <w:spacing w:line="240" w:lineRule="auto"/>
        <w:jc w:val="both"/>
      </w:pPr>
      <w:r>
        <w:t>If the extensible list item or Balance Shee</w:t>
      </w:r>
      <w:r>
        <w:t>t Location Axis is not used then the rule will report an error.</w:t>
      </w:r>
    </w:p>
    <w:p w:rsidR="007D6404" w:rsidRDefault="007D6404">
      <w:pPr>
        <w:spacing w:line="240" w:lineRule="auto"/>
        <w:jc w:val="both"/>
      </w:pPr>
    </w:p>
    <w:p w:rsidR="007D6404" w:rsidRDefault="0043431A">
      <w:pPr>
        <w:spacing w:line="240" w:lineRule="auto"/>
        <w:jc w:val="both"/>
      </w:pPr>
      <w:r>
        <w:t>The rule applies to the following items used to record operating lease liabilities on the balance sheet:</w:t>
      </w:r>
    </w:p>
    <w:p w:rsidR="007D6404" w:rsidRDefault="0043431A">
      <w:pPr>
        <w:numPr>
          <w:ilvl w:val="0"/>
          <w:numId w:val="3"/>
        </w:numPr>
        <w:spacing w:line="240" w:lineRule="auto"/>
        <w:jc w:val="both"/>
      </w:pPr>
      <w:proofErr w:type="spellStart"/>
      <w:r>
        <w:t>OperatingLeaseLiability</w:t>
      </w:r>
      <w:proofErr w:type="spellEnd"/>
    </w:p>
    <w:p w:rsidR="007D6404" w:rsidRDefault="0043431A">
      <w:pPr>
        <w:numPr>
          <w:ilvl w:val="0"/>
          <w:numId w:val="3"/>
        </w:numPr>
        <w:spacing w:line="240" w:lineRule="auto"/>
        <w:jc w:val="both"/>
      </w:pPr>
      <w:proofErr w:type="spellStart"/>
      <w:r>
        <w:t>OperatingLeaseLiabilityCurrent</w:t>
      </w:r>
      <w:proofErr w:type="spellEnd"/>
    </w:p>
    <w:p w:rsidR="007D6404" w:rsidRDefault="0043431A">
      <w:pPr>
        <w:numPr>
          <w:ilvl w:val="0"/>
          <w:numId w:val="3"/>
        </w:numPr>
        <w:spacing w:line="240" w:lineRule="auto"/>
        <w:jc w:val="both"/>
      </w:pPr>
      <w:proofErr w:type="spellStart"/>
      <w:r>
        <w:t>OperatingLeaseLiabilityNoncurrent</w:t>
      </w:r>
      <w:proofErr w:type="spellEnd"/>
    </w:p>
    <w:p w:rsidR="007D6404" w:rsidRDefault="007D6404">
      <w:pPr>
        <w:spacing w:line="240" w:lineRule="auto"/>
        <w:jc w:val="both"/>
      </w:pPr>
    </w:p>
    <w:p w:rsidR="007D6404" w:rsidRDefault="0043431A">
      <w:pPr>
        <w:spacing w:line="240" w:lineRule="auto"/>
        <w:jc w:val="both"/>
      </w:pPr>
      <w:r>
        <w:t>The associated extensible list items required for each of these elements is as follows:</w:t>
      </w:r>
    </w:p>
    <w:p w:rsidR="007D6404" w:rsidRDefault="007D6404">
      <w:pPr>
        <w:spacing w:line="240" w:lineRule="auto"/>
        <w:jc w:val="both"/>
      </w:pPr>
    </w:p>
    <w:p w:rsidR="007D6404" w:rsidRDefault="0043431A">
      <w:pPr>
        <w:numPr>
          <w:ilvl w:val="0"/>
          <w:numId w:val="2"/>
        </w:numPr>
        <w:spacing w:line="240" w:lineRule="auto"/>
        <w:jc w:val="both"/>
      </w:pPr>
      <w:r>
        <w:t>OperatingLeaseLiabilityStatementOfFinancialPositionExtensibleList</w:t>
      </w:r>
    </w:p>
    <w:p w:rsidR="007D6404" w:rsidRDefault="0043431A">
      <w:pPr>
        <w:numPr>
          <w:ilvl w:val="0"/>
          <w:numId w:val="2"/>
        </w:numPr>
        <w:spacing w:line="240" w:lineRule="auto"/>
        <w:jc w:val="both"/>
      </w:pPr>
      <w:r>
        <w:t>OperatingLeaseLiabilityCurrentStatementOfFinancialPositionExtensib</w:t>
      </w:r>
      <w:r>
        <w:t>leList</w:t>
      </w:r>
    </w:p>
    <w:p w:rsidR="007D6404" w:rsidRDefault="0043431A">
      <w:pPr>
        <w:numPr>
          <w:ilvl w:val="0"/>
          <w:numId w:val="2"/>
        </w:numPr>
        <w:spacing w:line="240" w:lineRule="auto"/>
        <w:jc w:val="both"/>
      </w:pPr>
      <w:r>
        <w:t>OperatingLeaseLiabilityNoncurrentStatementOfFinancialPositionExtensibleList</w:t>
      </w:r>
    </w:p>
    <w:p w:rsidR="007D6404" w:rsidRDefault="007D6404">
      <w:pPr>
        <w:spacing w:line="240" w:lineRule="auto"/>
        <w:jc w:val="both"/>
      </w:pPr>
    </w:p>
    <w:p w:rsidR="007D6404" w:rsidRDefault="0043431A">
      <w:pPr>
        <w:spacing w:line="240" w:lineRule="auto"/>
        <w:jc w:val="both"/>
      </w:pPr>
      <w:r>
        <w:t>In those cases where the filer has used the balance sheet location axis, the rule checks to ensure that two or more values have been tagged with the operating lease liabili</w:t>
      </w:r>
      <w:r>
        <w:t>ty and the balance sheet location axis.  If only one value has been tagged with the balance sheet location axis</w:t>
      </w:r>
      <w:r>
        <w:rPr>
          <w:vertAlign w:val="superscript"/>
        </w:rPr>
        <w:footnoteReference w:id="1"/>
      </w:r>
      <w:r>
        <w:t>, then the extensible enumeration element should be used instead.</w:t>
      </w:r>
    </w:p>
    <w:p w:rsidR="007D6404" w:rsidRDefault="0043431A">
      <w:pPr>
        <w:pStyle w:val="Heading3"/>
        <w:pBdr>
          <w:top w:val="nil"/>
          <w:left w:val="nil"/>
          <w:bottom w:val="nil"/>
          <w:right w:val="nil"/>
          <w:between w:val="nil"/>
        </w:pBdr>
        <w:jc w:val="both"/>
      </w:pPr>
      <w:bookmarkStart w:id="3" w:name="_l5kh25i2qzjr" w:colFirst="0" w:colLast="0"/>
      <w:bookmarkEnd w:id="3"/>
      <w:r>
        <w:t>Problem solved by the rule</w:t>
      </w:r>
    </w:p>
    <w:p w:rsidR="007D6404" w:rsidRDefault="0043431A">
      <w:r>
        <w:t xml:space="preserve">The intent of the rule is to allow filers to check </w:t>
      </w:r>
      <w:r>
        <w:t xml:space="preserve">that their filing is consistent with </w:t>
      </w:r>
      <w:proofErr w:type="gramStart"/>
      <w:r>
        <w:t>the  FASB’s</w:t>
      </w:r>
      <w:proofErr w:type="gramEnd"/>
      <w:r>
        <w:t xml:space="preserve"> XBRL implementation guide.  In addition it ensures that companies following the guidance have used the correct extensible enumeration elements and Balance Sheet location axis structure.</w:t>
      </w:r>
    </w:p>
    <w:p w:rsidR="007D6404" w:rsidRDefault="007D6404">
      <w:pPr>
        <w:pBdr>
          <w:top w:val="nil"/>
          <w:left w:val="nil"/>
          <w:bottom w:val="nil"/>
          <w:right w:val="nil"/>
          <w:between w:val="nil"/>
        </w:pBdr>
        <w:jc w:val="both"/>
      </w:pPr>
    </w:p>
    <w:p w:rsidR="007D6404" w:rsidRDefault="0043431A">
      <w:pPr>
        <w:pBdr>
          <w:top w:val="nil"/>
          <w:left w:val="nil"/>
          <w:bottom w:val="nil"/>
          <w:right w:val="nil"/>
          <w:between w:val="nil"/>
        </w:pBdr>
        <w:jc w:val="both"/>
      </w:pPr>
      <w:r>
        <w:rPr>
          <w:color w:val="434343"/>
          <w:sz w:val="28"/>
          <w:szCs w:val="28"/>
        </w:rPr>
        <w:t>Example rule message</w:t>
      </w:r>
    </w:p>
    <w:p w:rsidR="007D6404" w:rsidRDefault="007D6404">
      <w:pPr>
        <w:pBdr>
          <w:top w:val="nil"/>
          <w:left w:val="nil"/>
          <w:bottom w:val="nil"/>
          <w:right w:val="nil"/>
          <w:between w:val="nil"/>
        </w:pBdr>
        <w:jc w:val="both"/>
      </w:pPr>
    </w:p>
    <w:p w:rsidR="007D6404" w:rsidRDefault="0043431A">
      <w:pPr>
        <w:pBdr>
          <w:top w:val="nil"/>
          <w:left w:val="nil"/>
          <w:bottom w:val="nil"/>
          <w:right w:val="nil"/>
          <w:between w:val="nil"/>
        </w:pBdr>
        <w:jc w:val="both"/>
      </w:pPr>
      <w:r>
        <w:t xml:space="preserve">The element </w:t>
      </w:r>
      <w:proofErr w:type="spellStart"/>
      <w:r>
        <w:t>OperatingLeaseLiability</w:t>
      </w:r>
      <w:proofErr w:type="spellEnd"/>
      <w:r>
        <w:t xml:space="preserve"> with a value of 100,000 has been used in the filing but does not appear in the financial statements of the filing. This disclosure should appear in the face financials unless it is included in another account caption. </w:t>
      </w:r>
      <w:r>
        <w:t>If this is the case, either:</w:t>
      </w:r>
    </w:p>
    <w:p w:rsidR="007D6404" w:rsidRDefault="0043431A">
      <w:pPr>
        <w:pBdr>
          <w:top w:val="nil"/>
          <w:left w:val="nil"/>
          <w:bottom w:val="nil"/>
          <w:right w:val="nil"/>
          <w:between w:val="nil"/>
        </w:pBdr>
        <w:jc w:val="both"/>
      </w:pPr>
      <w:r>
        <w:t>1. The element OperatingLeaseLiabilityStatementOfFinancialPositionExtensibleList should be used to identify the account where the Operating Lease liability is included; or</w:t>
      </w:r>
    </w:p>
    <w:p w:rsidR="007D6404" w:rsidRDefault="0043431A">
      <w:pPr>
        <w:pBdr>
          <w:top w:val="nil"/>
          <w:left w:val="nil"/>
          <w:bottom w:val="nil"/>
          <w:right w:val="nil"/>
          <w:between w:val="nil"/>
        </w:pBdr>
        <w:jc w:val="both"/>
      </w:pPr>
      <w:r>
        <w:t xml:space="preserve">2. The Balance Sheet location axis should be used with </w:t>
      </w:r>
      <w:r>
        <w:t>two or more account members to identify into which financial statement captions the Operating Lease liability has been apportioned</w:t>
      </w:r>
      <w:proofErr w:type="gramStart"/>
      <w:r>
        <w:t>..</w:t>
      </w:r>
      <w:proofErr w:type="gramEnd"/>
      <w:r>
        <w:t xml:space="preserve">  </w:t>
      </w:r>
    </w:p>
    <w:p w:rsidR="007D6404" w:rsidRDefault="007D6404">
      <w:pPr>
        <w:pBdr>
          <w:top w:val="nil"/>
          <w:left w:val="nil"/>
          <w:bottom w:val="nil"/>
          <w:right w:val="nil"/>
          <w:between w:val="nil"/>
        </w:pBdr>
        <w:jc w:val="both"/>
      </w:pPr>
    </w:p>
    <w:p w:rsidR="007D6404" w:rsidRDefault="0043431A">
      <w:pPr>
        <w:pBdr>
          <w:top w:val="nil"/>
          <w:left w:val="nil"/>
          <w:bottom w:val="nil"/>
          <w:right w:val="nil"/>
          <w:between w:val="nil"/>
        </w:pBdr>
        <w:jc w:val="both"/>
      </w:pPr>
      <w:proofErr w:type="gramStart"/>
      <w:r>
        <w:t>Period :2019</w:t>
      </w:r>
      <w:proofErr w:type="gramEnd"/>
      <w:r>
        <w:t>-12-31</w:t>
      </w:r>
    </w:p>
    <w:p w:rsidR="007D6404" w:rsidRDefault="0043431A">
      <w:pPr>
        <w:pBdr>
          <w:top w:val="nil"/>
          <w:left w:val="nil"/>
          <w:bottom w:val="nil"/>
          <w:right w:val="nil"/>
          <w:between w:val="nil"/>
        </w:pBdr>
        <w:jc w:val="both"/>
      </w:pPr>
      <w:proofErr w:type="gramStart"/>
      <w:r>
        <w:t>Dimensions :none</w:t>
      </w:r>
      <w:proofErr w:type="gramEnd"/>
    </w:p>
    <w:p w:rsidR="007D6404" w:rsidRDefault="0043431A">
      <w:pPr>
        <w:pBdr>
          <w:top w:val="nil"/>
          <w:left w:val="nil"/>
          <w:bottom w:val="nil"/>
          <w:right w:val="nil"/>
          <w:between w:val="nil"/>
        </w:pBdr>
        <w:jc w:val="both"/>
      </w:pPr>
      <w:proofErr w:type="gramStart"/>
      <w:r>
        <w:t>Unit :</w:t>
      </w:r>
      <w:proofErr w:type="gramEnd"/>
      <w:r>
        <w:t xml:space="preserve"> USD</w:t>
      </w:r>
    </w:p>
    <w:p w:rsidR="007D6404" w:rsidRDefault="0043431A">
      <w:pPr>
        <w:pBdr>
          <w:top w:val="nil"/>
          <w:left w:val="nil"/>
          <w:bottom w:val="nil"/>
          <w:right w:val="nil"/>
          <w:between w:val="nil"/>
        </w:pBdr>
        <w:jc w:val="both"/>
      </w:pPr>
      <w:r>
        <w:t>Decimals: -6</w:t>
      </w:r>
    </w:p>
    <w:p w:rsidR="007D6404" w:rsidRDefault="007D6404">
      <w:pPr>
        <w:pBdr>
          <w:top w:val="nil"/>
          <w:left w:val="nil"/>
          <w:bottom w:val="nil"/>
          <w:right w:val="nil"/>
          <w:between w:val="nil"/>
        </w:pBdr>
        <w:jc w:val="both"/>
      </w:pPr>
    </w:p>
    <w:p w:rsidR="007D6404" w:rsidRDefault="0043431A">
      <w:pPr>
        <w:pBdr>
          <w:top w:val="nil"/>
          <w:left w:val="nil"/>
          <w:bottom w:val="nil"/>
          <w:right w:val="nil"/>
          <w:between w:val="nil"/>
        </w:pBdr>
        <w:jc w:val="both"/>
      </w:pPr>
      <w:r>
        <w:t>Rule Element Id</w:t>
      </w:r>
      <w:proofErr w:type="gramStart"/>
      <w:r>
        <w:t>:9369</w:t>
      </w:r>
      <w:proofErr w:type="gramEnd"/>
    </w:p>
    <w:p w:rsidR="007D6404" w:rsidRDefault="0043431A">
      <w:pPr>
        <w:pBdr>
          <w:top w:val="nil"/>
          <w:left w:val="nil"/>
          <w:bottom w:val="nil"/>
          <w:right w:val="nil"/>
          <w:between w:val="nil"/>
        </w:pBdr>
        <w:jc w:val="both"/>
      </w:pPr>
      <w:r>
        <w:t>Rule version: 11.0</w:t>
      </w:r>
    </w:p>
    <w:p w:rsidR="007D6404" w:rsidRDefault="007D6404">
      <w:pPr>
        <w:pBdr>
          <w:top w:val="nil"/>
          <w:left w:val="nil"/>
          <w:bottom w:val="nil"/>
          <w:right w:val="nil"/>
          <w:between w:val="nil"/>
        </w:pBdr>
        <w:jc w:val="both"/>
      </w:pPr>
    </w:p>
    <w:p w:rsidR="007D6404" w:rsidRDefault="0043431A">
      <w:pPr>
        <w:pStyle w:val="Heading2"/>
        <w:spacing w:before="200" w:after="0"/>
        <w:rPr>
          <w:rFonts w:ascii="Trebuchet MS" w:eastAsia="Trebuchet MS" w:hAnsi="Trebuchet MS" w:cs="Trebuchet MS"/>
          <w:b/>
          <w:sz w:val="26"/>
          <w:szCs w:val="26"/>
        </w:rPr>
      </w:pPr>
      <w:bookmarkStart w:id="4" w:name="_1eozsadtoyqw" w:colFirst="0" w:colLast="0"/>
      <w:bookmarkEnd w:id="4"/>
      <w:r>
        <w:rPr>
          <w:rFonts w:ascii="Trebuchet MS" w:eastAsia="Trebuchet MS" w:hAnsi="Trebuchet MS" w:cs="Trebuchet MS"/>
          <w:b/>
          <w:sz w:val="26"/>
          <w:szCs w:val="26"/>
        </w:rPr>
        <w:t>For Developers</w:t>
      </w:r>
    </w:p>
    <w:p w:rsidR="007D6404" w:rsidRDefault="0043431A">
      <w:r>
        <w:t>The</w:t>
      </w:r>
      <w:r>
        <w:t xml:space="preserve"> Global Rule Logic document contains general guidelines for implementation of rules.</w:t>
      </w:r>
    </w:p>
    <w:p w:rsidR="007D6404" w:rsidRDefault="0043431A">
      <w:pPr>
        <w:rPr>
          <w:color w:val="666666"/>
          <w:sz w:val="24"/>
          <w:szCs w:val="24"/>
        </w:rPr>
      </w:pPr>
      <w:r>
        <w:t>The rule message template contains text and parametric reference to arguments of the rule operation, using the syntax ${parameter} to indicate that insertion of a paramete</w:t>
      </w:r>
      <w:r>
        <w:t xml:space="preserve">r’s value is to occur. </w:t>
      </w:r>
    </w:p>
    <w:p w:rsidR="007D6404" w:rsidRDefault="0043431A">
      <w:pPr>
        <w:pStyle w:val="Heading3"/>
        <w:spacing w:before="160" w:after="0"/>
      </w:pPr>
      <w:bookmarkStart w:id="5" w:name="_4cm4hw5n8qk7" w:colFirst="0" w:colLast="0"/>
      <w:bookmarkEnd w:id="5"/>
      <w:r>
        <w:rPr>
          <w:rFonts w:ascii="Trebuchet MS" w:eastAsia="Trebuchet MS" w:hAnsi="Trebuchet MS" w:cs="Trebuchet MS"/>
          <w:b/>
          <w:color w:val="666666"/>
          <w:sz w:val="24"/>
          <w:szCs w:val="24"/>
        </w:rPr>
        <w:t>General message template</w:t>
      </w:r>
    </w:p>
    <w:p w:rsidR="007D6404" w:rsidRDefault="0043431A">
      <w:pPr>
        <w:jc w:val="both"/>
      </w:pPr>
      <w:r>
        <w:t>The element {$leaseLiability.concept.name} with a value of {$</w:t>
      </w:r>
      <w:proofErr w:type="spellStart"/>
      <w:r>
        <w:t>leaseLiability</w:t>
      </w:r>
      <w:proofErr w:type="spellEnd"/>
      <w:r>
        <w:t>} has been used in the filing but does not appear in the financial statements of the filing. This disclosure should appear in the face financials unless it is included in another ac</w:t>
      </w:r>
      <w:r>
        <w:t>count caption. If this is the case either:</w:t>
      </w:r>
    </w:p>
    <w:p w:rsidR="007D6404" w:rsidRDefault="0043431A">
      <w:pPr>
        <w:jc w:val="both"/>
      </w:pPr>
      <w:r>
        <w:t>1. The element OperatingLeaseLiabilityCurrentStatementOfFinancialPositionExtensibleList should be used to identify the account where the Operating Lease liability Noncurrent is included; or</w:t>
      </w:r>
    </w:p>
    <w:p w:rsidR="007D6404" w:rsidRDefault="0043431A">
      <w:pPr>
        <w:jc w:val="both"/>
      </w:pPr>
      <w:r>
        <w:t>2. The Balance Sheet lo</w:t>
      </w:r>
      <w:r>
        <w:t>cation axis should be used with two or more account members to identify into which financial statement captions the Operating Lease liability Noncurrent has been apportioned.</w:t>
      </w:r>
    </w:p>
    <w:p w:rsidR="007D6404" w:rsidRDefault="0043431A">
      <w:pPr>
        <w:jc w:val="both"/>
      </w:pPr>
      <w:r>
        <w:t xml:space="preserve"> </w:t>
      </w:r>
    </w:p>
    <w:p w:rsidR="007D6404" w:rsidRDefault="0043431A">
      <w:pPr>
        <w:jc w:val="both"/>
      </w:pPr>
      <w:r>
        <w:t>Period :</w:t>
      </w:r>
      <w:proofErr w:type="gramStart"/>
      <w:r>
        <w:t>{$</w:t>
      </w:r>
      <w:proofErr w:type="spellStart"/>
      <w:proofErr w:type="gramEnd"/>
      <w:r>
        <w:t>leaseLiability.period</w:t>
      </w:r>
      <w:proofErr w:type="spellEnd"/>
      <w:r>
        <w:t>}</w:t>
      </w:r>
    </w:p>
    <w:p w:rsidR="007D6404" w:rsidRDefault="0043431A">
      <w:pPr>
        <w:jc w:val="both"/>
      </w:pPr>
      <w:proofErr w:type="gramStart"/>
      <w:r>
        <w:t>Dimensions :</w:t>
      </w:r>
      <w:proofErr w:type="gramEnd"/>
      <w:r>
        <w:t xml:space="preserve"> {$</w:t>
      </w:r>
      <w:proofErr w:type="spellStart"/>
      <w:r>
        <w:t>leaseLiability.dimensions.join</w:t>
      </w:r>
      <w:proofErr w:type="spellEnd"/>
      <w:r>
        <w:t>(', ','=')}</w:t>
      </w:r>
    </w:p>
    <w:p w:rsidR="007D6404" w:rsidRDefault="0043431A">
      <w:pPr>
        <w:jc w:val="both"/>
      </w:pPr>
      <w:proofErr w:type="gramStart"/>
      <w:r>
        <w:t>Unit :</w:t>
      </w:r>
      <w:proofErr w:type="gramEnd"/>
      <w:r>
        <w:t xml:space="preserve"> {$</w:t>
      </w:r>
      <w:proofErr w:type="spellStart"/>
      <w:r>
        <w:t>leaseLiability.unit</w:t>
      </w:r>
      <w:proofErr w:type="spellEnd"/>
      <w:r>
        <w:t>}</w:t>
      </w:r>
    </w:p>
    <w:p w:rsidR="007D6404" w:rsidRDefault="0043431A">
      <w:pPr>
        <w:jc w:val="both"/>
      </w:pPr>
      <w:r>
        <w:t>Decimals: {$</w:t>
      </w:r>
      <w:proofErr w:type="spellStart"/>
      <w:r>
        <w:t>leaseLiability.decimals</w:t>
      </w:r>
      <w:proofErr w:type="spellEnd"/>
      <w:r>
        <w:t>}</w:t>
      </w:r>
    </w:p>
    <w:p w:rsidR="007D6404" w:rsidRDefault="007D6404">
      <w:pPr>
        <w:jc w:val="both"/>
      </w:pPr>
    </w:p>
    <w:p w:rsidR="007D6404" w:rsidRDefault="0043431A">
      <w:pPr>
        <w:jc w:val="both"/>
      </w:pPr>
      <w:r>
        <w:t xml:space="preserve">Rule Element </w:t>
      </w:r>
      <w:proofErr w:type="gramStart"/>
      <w:r>
        <w:t>Id:</w:t>
      </w:r>
      <w:proofErr w:type="gramEnd"/>
      <w:r>
        <w:t>{$</w:t>
      </w:r>
      <w:proofErr w:type="spellStart"/>
      <w:r>
        <w:t>rule_id</w:t>
      </w:r>
      <w:proofErr w:type="spellEnd"/>
      <w:r>
        <w:t>}</w:t>
      </w:r>
    </w:p>
    <w:p w:rsidR="007D6404" w:rsidRDefault="0043431A">
      <w:pPr>
        <w:jc w:val="both"/>
      </w:pPr>
      <w:r>
        <w:t>Rule version: {$</w:t>
      </w:r>
      <w:proofErr w:type="spellStart"/>
      <w:r>
        <w:t>ruleVersion</w:t>
      </w:r>
      <w:proofErr w:type="spellEnd"/>
      <w:r>
        <w:t>}</w:t>
      </w:r>
    </w:p>
    <w:p w:rsidR="007D6404" w:rsidRDefault="007D6404">
      <w:pPr>
        <w:jc w:val="both"/>
      </w:pPr>
    </w:p>
    <w:p w:rsidR="007D6404" w:rsidRDefault="0043431A">
      <w:pPr>
        <w:pStyle w:val="Heading3"/>
        <w:pBdr>
          <w:top w:val="nil"/>
          <w:left w:val="nil"/>
          <w:bottom w:val="nil"/>
          <w:right w:val="nil"/>
          <w:between w:val="nil"/>
        </w:pBdr>
        <w:jc w:val="both"/>
      </w:pPr>
      <w:bookmarkStart w:id="6" w:name="_wwbedstf3ez9" w:colFirst="0" w:colLast="0"/>
      <w:bookmarkEnd w:id="6"/>
      <w:r>
        <w:lastRenderedPageBreak/>
        <w:t>Rule element ID index</w:t>
      </w:r>
    </w:p>
    <w:p w:rsidR="007D6404" w:rsidRDefault="0043431A">
      <w:pPr>
        <w:pBdr>
          <w:top w:val="nil"/>
          <w:left w:val="nil"/>
          <w:bottom w:val="nil"/>
          <w:right w:val="nil"/>
          <w:between w:val="nil"/>
        </w:pBdr>
        <w:jc w:val="both"/>
      </w:pPr>
      <w:r>
        <w:t>The rule element id is used to identify unique eleme</w:t>
      </w:r>
      <w:r>
        <w:t>nts or combinations of elements tested in the rule.</w:t>
      </w:r>
    </w:p>
    <w:p w:rsidR="007D6404" w:rsidRDefault="007D6404"/>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6435"/>
      </w:tblGrid>
      <w:tr w:rsidR="007D6404">
        <w:tc>
          <w:tcPr>
            <w:tcW w:w="2925" w:type="dxa"/>
            <w:shd w:val="clear" w:color="auto" w:fill="auto"/>
            <w:tcMar>
              <w:top w:w="100" w:type="dxa"/>
              <w:left w:w="100" w:type="dxa"/>
              <w:bottom w:w="100" w:type="dxa"/>
              <w:right w:w="100" w:type="dxa"/>
            </w:tcMar>
          </w:tcPr>
          <w:p w:rsidR="007D6404" w:rsidRDefault="0043431A">
            <w:pPr>
              <w:widowControl w:val="0"/>
              <w:spacing w:line="240" w:lineRule="auto"/>
            </w:pPr>
            <w:r>
              <w:t>Rule Element ID</w:t>
            </w:r>
          </w:p>
        </w:tc>
        <w:tc>
          <w:tcPr>
            <w:tcW w:w="6435" w:type="dxa"/>
            <w:shd w:val="clear" w:color="auto" w:fill="auto"/>
            <w:tcMar>
              <w:top w:w="100" w:type="dxa"/>
              <w:left w:w="100" w:type="dxa"/>
              <w:bottom w:w="100" w:type="dxa"/>
              <w:right w:w="100" w:type="dxa"/>
            </w:tcMar>
          </w:tcPr>
          <w:p w:rsidR="007D6404" w:rsidRDefault="0043431A">
            <w:pPr>
              <w:widowControl w:val="0"/>
              <w:spacing w:line="240" w:lineRule="auto"/>
            </w:pPr>
            <w:r>
              <w:t>Elements</w:t>
            </w:r>
          </w:p>
        </w:tc>
      </w:tr>
      <w:tr w:rsidR="007D6404">
        <w:tc>
          <w:tcPr>
            <w:tcW w:w="2925" w:type="dxa"/>
            <w:shd w:val="clear" w:color="auto" w:fill="auto"/>
            <w:tcMar>
              <w:top w:w="100" w:type="dxa"/>
              <w:left w:w="100" w:type="dxa"/>
              <w:bottom w:w="100" w:type="dxa"/>
              <w:right w:w="100" w:type="dxa"/>
            </w:tcMar>
          </w:tcPr>
          <w:p w:rsidR="007D6404" w:rsidRDefault="0043431A">
            <w:pPr>
              <w:widowControl w:val="0"/>
              <w:spacing w:line="240" w:lineRule="auto"/>
            </w:pPr>
            <w:r>
              <w:t>DQC.US.0087.9369</w:t>
            </w:r>
          </w:p>
        </w:tc>
        <w:tc>
          <w:tcPr>
            <w:tcW w:w="6435" w:type="dxa"/>
            <w:shd w:val="clear" w:color="auto" w:fill="auto"/>
            <w:tcMar>
              <w:top w:w="100" w:type="dxa"/>
              <w:left w:w="100" w:type="dxa"/>
              <w:bottom w:w="100" w:type="dxa"/>
              <w:right w:w="100" w:type="dxa"/>
            </w:tcMar>
          </w:tcPr>
          <w:p w:rsidR="007D6404" w:rsidRDefault="0043431A">
            <w:pPr>
              <w:spacing w:line="240" w:lineRule="auto"/>
              <w:jc w:val="both"/>
            </w:pPr>
            <w:proofErr w:type="spellStart"/>
            <w:r>
              <w:t>OperatingLeaseLiability</w:t>
            </w:r>
            <w:proofErr w:type="spellEnd"/>
          </w:p>
        </w:tc>
      </w:tr>
      <w:tr w:rsidR="007D6404">
        <w:tc>
          <w:tcPr>
            <w:tcW w:w="2925" w:type="dxa"/>
            <w:shd w:val="clear" w:color="auto" w:fill="auto"/>
            <w:tcMar>
              <w:top w:w="100" w:type="dxa"/>
              <w:left w:w="100" w:type="dxa"/>
              <w:bottom w:w="100" w:type="dxa"/>
              <w:right w:w="100" w:type="dxa"/>
            </w:tcMar>
          </w:tcPr>
          <w:p w:rsidR="007D6404" w:rsidRDefault="0043431A">
            <w:pPr>
              <w:widowControl w:val="0"/>
              <w:spacing w:line="240" w:lineRule="auto"/>
            </w:pPr>
            <w:r>
              <w:t>DQC.US.0087.9370</w:t>
            </w:r>
          </w:p>
        </w:tc>
        <w:tc>
          <w:tcPr>
            <w:tcW w:w="6435" w:type="dxa"/>
            <w:shd w:val="clear" w:color="auto" w:fill="auto"/>
            <w:tcMar>
              <w:top w:w="100" w:type="dxa"/>
              <w:left w:w="100" w:type="dxa"/>
              <w:bottom w:w="100" w:type="dxa"/>
              <w:right w:w="100" w:type="dxa"/>
            </w:tcMar>
          </w:tcPr>
          <w:p w:rsidR="007D6404" w:rsidRDefault="0043431A">
            <w:pPr>
              <w:spacing w:line="240" w:lineRule="auto"/>
              <w:jc w:val="both"/>
            </w:pPr>
            <w:proofErr w:type="spellStart"/>
            <w:r>
              <w:t>OperatingLeaseLiabilityCurrent</w:t>
            </w:r>
            <w:proofErr w:type="spellEnd"/>
          </w:p>
        </w:tc>
      </w:tr>
      <w:tr w:rsidR="007D6404">
        <w:tc>
          <w:tcPr>
            <w:tcW w:w="2925" w:type="dxa"/>
            <w:shd w:val="clear" w:color="auto" w:fill="auto"/>
            <w:tcMar>
              <w:top w:w="100" w:type="dxa"/>
              <w:left w:w="100" w:type="dxa"/>
              <w:bottom w:w="100" w:type="dxa"/>
              <w:right w:w="100" w:type="dxa"/>
            </w:tcMar>
          </w:tcPr>
          <w:p w:rsidR="007D6404" w:rsidRDefault="0043431A">
            <w:pPr>
              <w:widowControl w:val="0"/>
              <w:spacing w:line="240" w:lineRule="auto"/>
            </w:pPr>
            <w:r>
              <w:t>DQC.US.0087.9371</w:t>
            </w:r>
          </w:p>
        </w:tc>
        <w:tc>
          <w:tcPr>
            <w:tcW w:w="6435" w:type="dxa"/>
            <w:shd w:val="clear" w:color="auto" w:fill="auto"/>
            <w:tcMar>
              <w:top w:w="100" w:type="dxa"/>
              <w:left w:w="100" w:type="dxa"/>
              <w:bottom w:w="100" w:type="dxa"/>
              <w:right w:w="100" w:type="dxa"/>
            </w:tcMar>
          </w:tcPr>
          <w:p w:rsidR="007D6404" w:rsidRDefault="0043431A">
            <w:pPr>
              <w:spacing w:line="240" w:lineRule="auto"/>
              <w:jc w:val="both"/>
            </w:pPr>
            <w:proofErr w:type="spellStart"/>
            <w:r>
              <w:t>OperatingLeaseLiabilityNoncurrent</w:t>
            </w:r>
            <w:proofErr w:type="spellEnd"/>
          </w:p>
        </w:tc>
      </w:tr>
    </w:tbl>
    <w:p w:rsidR="007D6404" w:rsidRDefault="007D6404"/>
    <w:sectPr w:rsidR="007D640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431A" w:rsidRDefault="0043431A">
      <w:pPr>
        <w:spacing w:line="240" w:lineRule="auto"/>
      </w:pPr>
      <w:r>
        <w:separator/>
      </w:r>
    </w:p>
  </w:endnote>
  <w:endnote w:type="continuationSeparator" w:id="0">
    <w:p w:rsidR="0043431A" w:rsidRDefault="004343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431A" w:rsidRDefault="0043431A">
      <w:pPr>
        <w:spacing w:line="240" w:lineRule="auto"/>
      </w:pPr>
      <w:r>
        <w:separator/>
      </w:r>
    </w:p>
  </w:footnote>
  <w:footnote w:type="continuationSeparator" w:id="0">
    <w:p w:rsidR="0043431A" w:rsidRDefault="0043431A">
      <w:pPr>
        <w:spacing w:line="240" w:lineRule="auto"/>
      </w:pPr>
      <w:r>
        <w:continuationSeparator/>
      </w:r>
    </w:p>
  </w:footnote>
  <w:footnote w:id="1">
    <w:p w:rsidR="007D6404" w:rsidRDefault="0043431A">
      <w:pPr>
        <w:spacing w:line="240" w:lineRule="auto"/>
        <w:rPr>
          <w:sz w:val="20"/>
          <w:szCs w:val="20"/>
        </w:rPr>
      </w:pPr>
      <w:r>
        <w:rPr>
          <w:vertAlign w:val="superscript"/>
        </w:rPr>
        <w:footnoteRef/>
      </w:r>
      <w:r>
        <w:rPr>
          <w:sz w:val="20"/>
          <w:szCs w:val="20"/>
        </w:rPr>
        <w:t xml:space="preserve"> A single value disaggregated on the balance sheet location axis is not a disaggregation.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2F01FB"/>
    <w:multiLevelType w:val="multilevel"/>
    <w:tmpl w:val="3184F9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3D00B8E"/>
    <w:multiLevelType w:val="multilevel"/>
    <w:tmpl w:val="DEA4B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73F7E8A"/>
    <w:multiLevelType w:val="multilevel"/>
    <w:tmpl w:val="97F2C3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404"/>
    <w:rsid w:val="0043431A"/>
    <w:rsid w:val="007D6404"/>
    <w:rsid w:val="00A12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4E767F-6750-440A-B90E-A0D5579C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 Beers</dc:creator>
  <cp:lastModifiedBy>Ami Beers</cp:lastModifiedBy>
  <cp:revision>2</cp:revision>
  <dcterms:created xsi:type="dcterms:W3CDTF">2019-11-09T03:09:00Z</dcterms:created>
  <dcterms:modified xsi:type="dcterms:W3CDTF">2019-11-09T03:09:00Z</dcterms:modified>
</cp:coreProperties>
</file>