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4" w14:textId="77777777" w:rsidR="00286DAD" w:rsidRPr="00DD25ED" w:rsidRDefault="00EE2CE8" w:rsidP="00DD25ED">
      <w:pPr>
        <w:jc w:val="center"/>
        <w:rPr>
          <w:b/>
          <w:sz w:val="28"/>
          <w:szCs w:val="28"/>
        </w:rPr>
      </w:pPr>
      <w:r w:rsidRPr="00DD25ED">
        <w:rPr>
          <w:b/>
          <w:sz w:val="28"/>
          <w:szCs w:val="28"/>
        </w:rPr>
        <w:t xml:space="preserve">Proposed XBRL US Guidance related to SEC Test Filing Warnings And Other SEC Related </w:t>
      </w:r>
      <w:sdt>
        <w:sdtPr>
          <w:rPr>
            <w:b/>
          </w:rPr>
          <w:tag w:val="goog_rdk_0"/>
          <w:id w:val="1472025209"/>
        </w:sdtPr>
        <w:sdtEndPr/>
        <w:sdtContent/>
      </w:sdt>
      <w:r w:rsidRPr="00DD25ED">
        <w:rPr>
          <w:b/>
          <w:sz w:val="28"/>
          <w:szCs w:val="28"/>
        </w:rPr>
        <w:t>Issues</w:t>
      </w:r>
    </w:p>
    <w:p w14:paraId="00000005" w14:textId="77777777" w:rsidR="00286DAD" w:rsidRPr="00DD25ED" w:rsidRDefault="00EE2CE8" w:rsidP="00DD25ED">
      <w:r w:rsidRPr="00DD25ED">
        <w:t>The SEC test filing system currently returns warnings for several conditions which should be evaluated to ensure that there are no false positives.  XBRL US proposes issuing the following guidance on its website to address scenarios where the system provid</w:t>
      </w:r>
      <w:r w:rsidRPr="00DD25ED">
        <w:t>es false positive results:</w:t>
      </w:r>
    </w:p>
    <w:p w14:paraId="00000006" w14:textId="77777777" w:rsidR="00286DAD" w:rsidRPr="00DD25ED" w:rsidRDefault="00286DAD">
      <w:pPr>
        <w:pBdr>
          <w:top w:val="nil"/>
          <w:left w:val="nil"/>
          <w:bottom w:val="nil"/>
          <w:right w:val="nil"/>
          <w:between w:val="nil"/>
        </w:pBdr>
        <w:spacing w:after="0"/>
        <w:ind w:left="-216" w:hanging="720"/>
        <w:rPr>
          <w:color w:val="000000"/>
        </w:rPr>
      </w:pPr>
    </w:p>
    <w:p w14:paraId="00000007" w14:textId="77777777" w:rsidR="00286DAD" w:rsidRPr="00DD25ED" w:rsidRDefault="00EE2CE8">
      <w:pPr>
        <w:numPr>
          <w:ilvl w:val="0"/>
          <w:numId w:val="3"/>
        </w:numPr>
        <w:pBdr>
          <w:top w:val="nil"/>
          <w:left w:val="nil"/>
          <w:bottom w:val="nil"/>
          <w:right w:val="nil"/>
          <w:between w:val="nil"/>
        </w:pBdr>
        <w:spacing w:after="0"/>
        <w:ind w:left="360"/>
      </w:pPr>
      <w:r w:rsidRPr="00DD25ED">
        <w:rPr>
          <w:color w:val="000000"/>
        </w:rPr>
        <w:t xml:space="preserve">Elements which are deprecated in a future taxonomy.  </w:t>
      </w:r>
      <w:r w:rsidRPr="00DD25ED">
        <w:rPr>
          <w:color w:val="000000"/>
        </w:rPr>
        <w:tab/>
      </w:r>
    </w:p>
    <w:p w14:paraId="00000008" w14:textId="77777777" w:rsidR="00286DAD" w:rsidRPr="00DD25ED" w:rsidRDefault="00286DAD">
      <w:pPr>
        <w:pBdr>
          <w:top w:val="nil"/>
          <w:left w:val="nil"/>
          <w:bottom w:val="nil"/>
          <w:right w:val="nil"/>
          <w:between w:val="nil"/>
        </w:pBdr>
        <w:spacing w:after="0"/>
        <w:ind w:left="360" w:hanging="360"/>
        <w:rPr>
          <w:color w:val="000000"/>
        </w:rPr>
      </w:pPr>
    </w:p>
    <w:p w14:paraId="00000009" w14:textId="6A730C4F" w:rsidR="00286DAD" w:rsidRPr="00DD25ED" w:rsidRDefault="00EE2CE8" w:rsidP="00DD25ED">
      <w:pPr>
        <w:pBdr>
          <w:top w:val="nil"/>
          <w:left w:val="nil"/>
          <w:bottom w:val="nil"/>
          <w:right w:val="nil"/>
          <w:between w:val="nil"/>
        </w:pBdr>
        <w:spacing w:after="0"/>
        <w:ind w:left="360"/>
        <w:rPr>
          <w:color w:val="000000"/>
        </w:rPr>
      </w:pPr>
      <w:r w:rsidRPr="00DD25ED">
        <w:rPr>
          <w:color w:val="000000"/>
        </w:rPr>
        <w:t xml:space="preserve">The FASB has deprecated elements in the 2019 taxonomy which are still valid modeling selections for filers who are still reporting using the 2018 taxonomy.  For example, us-gaap_LoansReceivableCommercialRealEstate is deprecated in the 2019 taxonomy as the </w:t>
      </w:r>
      <w:r w:rsidRPr="00DD25ED">
        <w:rPr>
          <w:color w:val="000000"/>
        </w:rPr>
        <w:t>FASB has elected to replace this line item with a generic line item combined with a dimensional approach for specifying the breakdown.  The system will generate a wa</w:t>
      </w:r>
      <w:r w:rsidRPr="00DD25ED">
        <w:t>rning when this element is used</w:t>
      </w:r>
      <w:r w:rsidR="00DD25ED" w:rsidRPr="00DD25ED">
        <w:t xml:space="preserve"> regardless of which taxonomy is used</w:t>
      </w:r>
      <w:r w:rsidRPr="00DD25ED">
        <w:t xml:space="preserve">.  </w:t>
      </w:r>
      <w:r w:rsidRPr="00DD25ED">
        <w:rPr>
          <w:color w:val="000000"/>
        </w:rPr>
        <w:t xml:space="preserve">While </w:t>
      </w:r>
      <w:r w:rsidRPr="00DD25ED">
        <w:t xml:space="preserve">filers </w:t>
      </w:r>
      <w:r w:rsidRPr="00DD25ED">
        <w:rPr>
          <w:color w:val="000000"/>
        </w:rPr>
        <w:t>are encouraged to convert to the most recent</w:t>
      </w:r>
      <w:r w:rsidRPr="00DD25ED">
        <w:rPr>
          <w:color w:val="000000"/>
        </w:rPr>
        <w:t xml:space="preserve"> taxonomy, there is no requirement to convert until the SEC removes the 2018 taxonomy; therefore, </w:t>
      </w:r>
      <w:r w:rsidRPr="00DD25ED">
        <w:t>filers</w:t>
      </w:r>
      <w:r w:rsidRPr="00DD25ED">
        <w:rPr>
          <w:color w:val="000000"/>
        </w:rPr>
        <w:t xml:space="preserve"> may proceed with filing and ignore this warning.</w:t>
      </w:r>
    </w:p>
    <w:p w14:paraId="0000000A" w14:textId="77777777" w:rsidR="00286DAD" w:rsidRPr="00DD25ED" w:rsidRDefault="00286DAD">
      <w:pPr>
        <w:pBdr>
          <w:top w:val="nil"/>
          <w:left w:val="nil"/>
          <w:bottom w:val="nil"/>
          <w:right w:val="nil"/>
          <w:between w:val="nil"/>
        </w:pBdr>
        <w:spacing w:after="0"/>
        <w:ind w:left="360" w:hanging="360"/>
      </w:pPr>
    </w:p>
    <w:p w14:paraId="0000000B" w14:textId="77777777" w:rsidR="00286DAD" w:rsidRPr="00DD25ED" w:rsidRDefault="00EE2CE8">
      <w:pPr>
        <w:numPr>
          <w:ilvl w:val="0"/>
          <w:numId w:val="3"/>
        </w:numPr>
        <w:pBdr>
          <w:top w:val="nil"/>
          <w:left w:val="nil"/>
          <w:bottom w:val="nil"/>
          <w:right w:val="nil"/>
          <w:between w:val="nil"/>
        </w:pBdr>
        <w:spacing w:after="0"/>
        <w:ind w:left="360"/>
        <w:rPr>
          <w:color w:val="000000"/>
        </w:rPr>
      </w:pPr>
      <w:r w:rsidRPr="00DD25ED">
        <w:rPr>
          <w:color w:val="000000"/>
        </w:rPr>
        <w:t>Warnings on “negative values”</w:t>
      </w:r>
      <w:r w:rsidRPr="00DD25ED">
        <w:t>.</w:t>
      </w:r>
    </w:p>
    <w:p w14:paraId="0000000C" w14:textId="77777777" w:rsidR="00286DAD" w:rsidRPr="00DD25ED" w:rsidRDefault="00286DAD" w:rsidP="00DD25ED">
      <w:pPr>
        <w:pBdr>
          <w:top w:val="nil"/>
          <w:left w:val="nil"/>
          <w:bottom w:val="nil"/>
          <w:right w:val="nil"/>
          <w:between w:val="nil"/>
        </w:pBdr>
        <w:spacing w:after="0"/>
        <w:ind w:left="360"/>
      </w:pPr>
    </w:p>
    <w:p w14:paraId="0000000D" w14:textId="77777777" w:rsidR="00286DAD" w:rsidRPr="00DD25ED" w:rsidRDefault="00EE2CE8" w:rsidP="00DD25ED">
      <w:pPr>
        <w:pBdr>
          <w:top w:val="nil"/>
          <w:left w:val="nil"/>
          <w:bottom w:val="nil"/>
          <w:right w:val="nil"/>
          <w:between w:val="nil"/>
        </w:pBdr>
        <w:spacing w:after="0"/>
        <w:ind w:left="360"/>
      </w:pPr>
      <w:r w:rsidRPr="00DD25ED">
        <w:t>The SEC "Negative Values" validation contained in the test filing doe</w:t>
      </w:r>
      <w:r w:rsidRPr="00DD25ED">
        <w:t>s not consider all the exclusions that should be allowed. Values tagged to certain axis/member combinations may allow the tagged value to be negative. Therefore, it is possible that the occurrence of this warning in the test filing result may be a false-po</w:t>
      </w:r>
      <w:r w:rsidRPr="00DD25ED">
        <w:t>sitive.</w:t>
      </w:r>
    </w:p>
    <w:p w14:paraId="0000000E" w14:textId="77777777" w:rsidR="00286DAD" w:rsidRPr="00DD25ED" w:rsidRDefault="00EE2CE8" w:rsidP="00DD25ED">
      <w:pPr>
        <w:pBdr>
          <w:top w:val="nil"/>
          <w:left w:val="nil"/>
          <w:bottom w:val="nil"/>
          <w:right w:val="nil"/>
          <w:between w:val="nil"/>
        </w:pBdr>
        <w:spacing w:after="0"/>
        <w:ind w:left="360"/>
      </w:pPr>
      <w:r w:rsidRPr="00DD25ED">
        <w:br/>
      </w:r>
      <w:r w:rsidRPr="00DD25ED">
        <w:t>DQC Validation Rules (DQC_0015 and DQC_0080) check numeric reporting items that are tagged incorrectly as negative. DQC_0015 checks the US GAAP filings; and DQC_0080 checks the IFRS filings.</w:t>
      </w:r>
      <w:r w:rsidRPr="00DD25ED">
        <w:t xml:space="preserve"> </w:t>
      </w:r>
      <w:r w:rsidRPr="00DD25ED">
        <w:t>DQC_0015 and DQC_0080 incorporate a comprehensive listin</w:t>
      </w:r>
      <w:r w:rsidRPr="00DD25ED">
        <w:t>g of exclusions. </w:t>
      </w:r>
    </w:p>
    <w:p w14:paraId="3590E6B5" w14:textId="77777777" w:rsidR="00DD25ED" w:rsidRPr="00DD25ED" w:rsidRDefault="00DD25ED" w:rsidP="00DD25ED">
      <w:pPr>
        <w:pBdr>
          <w:top w:val="nil"/>
          <w:left w:val="nil"/>
          <w:bottom w:val="nil"/>
          <w:right w:val="nil"/>
          <w:between w:val="nil"/>
        </w:pBdr>
        <w:spacing w:after="0"/>
        <w:ind w:left="360"/>
      </w:pPr>
    </w:p>
    <w:p w14:paraId="0000000F" w14:textId="77777777" w:rsidR="00286DAD" w:rsidRPr="00DD25ED" w:rsidRDefault="00EE2CE8" w:rsidP="00DD25ED">
      <w:pPr>
        <w:pBdr>
          <w:top w:val="nil"/>
          <w:left w:val="nil"/>
          <w:bottom w:val="nil"/>
          <w:right w:val="nil"/>
          <w:between w:val="nil"/>
        </w:pBdr>
        <w:spacing w:after="0"/>
        <w:ind w:left="360"/>
      </w:pPr>
      <w:r w:rsidRPr="00DD25ED">
        <w:t xml:space="preserve">Filers are encouraged to run the DQC rule validation (on the XBRL-US website). If the DQC validation shows no error on “negative values”, </w:t>
      </w:r>
      <w:r w:rsidRPr="00DD25ED">
        <w:t>you may proceed with filing and ignore the “negative values” warning on the SEC test filing results.</w:t>
      </w:r>
    </w:p>
    <w:p w14:paraId="00000010" w14:textId="77777777" w:rsidR="00286DAD" w:rsidRPr="00DD25ED" w:rsidRDefault="00286DAD">
      <w:pPr>
        <w:pBdr>
          <w:top w:val="nil"/>
          <w:left w:val="nil"/>
          <w:bottom w:val="nil"/>
          <w:right w:val="nil"/>
          <w:between w:val="nil"/>
        </w:pBdr>
        <w:spacing w:after="0"/>
        <w:ind w:left="360" w:hanging="360"/>
        <w:rPr>
          <w:color w:val="000000"/>
        </w:rPr>
      </w:pPr>
    </w:p>
    <w:p w14:paraId="00000011" w14:textId="77777777" w:rsidR="00286DAD" w:rsidRPr="00DD25ED" w:rsidRDefault="00EE2CE8">
      <w:pPr>
        <w:numPr>
          <w:ilvl w:val="0"/>
          <w:numId w:val="3"/>
        </w:numPr>
        <w:pBdr>
          <w:top w:val="nil"/>
          <w:left w:val="nil"/>
          <w:bottom w:val="nil"/>
          <w:right w:val="nil"/>
          <w:between w:val="nil"/>
        </w:pBdr>
        <w:spacing w:after="0"/>
        <w:ind w:left="360"/>
      </w:pPr>
      <w:r w:rsidRPr="00DD25ED">
        <w:rPr>
          <w:color w:val="000000"/>
        </w:rPr>
        <w:t xml:space="preserve">Warning on </w:t>
      </w:r>
      <w:r w:rsidRPr="00DD25ED">
        <w:rPr>
          <w:color w:val="000000"/>
        </w:rPr>
        <w:t>securityExchangeNameTradingSymbolDependency.</w:t>
      </w:r>
    </w:p>
    <w:p w14:paraId="00000012" w14:textId="77777777" w:rsidR="00286DAD" w:rsidRPr="00DD25ED" w:rsidRDefault="00286DAD">
      <w:pPr>
        <w:pBdr>
          <w:top w:val="nil"/>
          <w:left w:val="nil"/>
          <w:bottom w:val="nil"/>
          <w:right w:val="nil"/>
          <w:between w:val="nil"/>
        </w:pBdr>
        <w:spacing w:after="0"/>
        <w:ind w:left="360" w:hanging="360"/>
        <w:rPr>
          <w:color w:val="000000"/>
        </w:rPr>
      </w:pPr>
    </w:p>
    <w:p w14:paraId="00000013" w14:textId="77777777" w:rsidR="00286DAD" w:rsidRPr="00DD25ED" w:rsidRDefault="00EE2CE8" w:rsidP="00DD25ED">
      <w:pPr>
        <w:pBdr>
          <w:top w:val="nil"/>
          <w:left w:val="nil"/>
          <w:bottom w:val="nil"/>
          <w:right w:val="nil"/>
          <w:between w:val="nil"/>
        </w:pBdr>
        <w:ind w:left="360"/>
        <w:rPr>
          <w:color w:val="000000"/>
        </w:rPr>
      </w:pPr>
      <w:r w:rsidRPr="00DD25ED">
        <w:rPr>
          <w:color w:val="000000"/>
        </w:rPr>
        <w:t>The element dei_</w:t>
      </w:r>
      <w:r w:rsidRPr="00DD25ED">
        <w:rPr>
          <w:color w:val="000000"/>
        </w:rPr>
        <w:t xml:space="preserve">SecurityExchangeName has a data type </w:t>
      </w:r>
      <w:r w:rsidRPr="00DD25ED">
        <w:rPr>
          <w:color w:val="000000"/>
        </w:rPr>
        <w:t xml:space="preserve">edgarExchangeCodeItemType. It currently only allows the following enumerated values: </w:t>
      </w:r>
      <w:r w:rsidRPr="00DD25ED">
        <w:rPr>
          <w:color w:val="000000"/>
        </w:rPr>
        <w:t>'GEMX', 'CboeBYX', 'CHX', 'NYSEAMER', 'NASDAQ', 'ISE', 'MRX', 'MIAX', 'NYSEArca', 'BOX', 'NYSE', 'CboeBZX', 'PEARL', 'NYSENAT', 'IEX', 'CboeEDGX', 'CBOE', 'C2', 'CboeEDGA', 'Phlx', 'BX', 'NONE'.</w:t>
      </w:r>
      <w:r w:rsidRPr="00DD25ED">
        <w:rPr>
          <w:color w:val="000000"/>
        </w:rPr>
        <w:t xml:space="preserve"> </w:t>
      </w:r>
    </w:p>
    <w:p w14:paraId="00000014" w14:textId="77777777" w:rsidR="00286DAD" w:rsidRPr="00DD25ED" w:rsidRDefault="00EE2CE8">
      <w:pPr>
        <w:ind w:left="360"/>
      </w:pPr>
      <w:r w:rsidRPr="00DD25ED">
        <w:t>When a filer has securities trading on an exchange other tha</w:t>
      </w:r>
      <w:r w:rsidRPr="00DD25ED">
        <w:t>n those that are listed (for example, Toronto Stock Exchange), it will not be able to use the element dei_</w:t>
      </w:r>
      <w:r w:rsidRPr="00DD25ED">
        <w:rPr>
          <w:color w:val="000000"/>
        </w:rPr>
        <w:t>SecurityExchangeName. Using this element with a value entered that is different from the enumerated values (above) will cause the filing to be suspend</w:t>
      </w:r>
      <w:r w:rsidRPr="00DD25ED">
        <w:rPr>
          <w:color w:val="000000"/>
        </w:rPr>
        <w:t xml:space="preserve">ed. We have received guidance from the Structured Data group at the SEC that these values </w:t>
      </w:r>
      <w:r w:rsidRPr="00DD25ED">
        <w:rPr>
          <w:color w:val="000000"/>
          <w:u w:val="single"/>
        </w:rPr>
        <w:t xml:space="preserve">should not be tagged/left </w:t>
      </w:r>
      <w:r w:rsidRPr="00DD25ED">
        <w:rPr>
          <w:u w:val="single"/>
        </w:rPr>
        <w:t>blank</w:t>
      </w:r>
      <w:r w:rsidRPr="00DD25ED">
        <w:rPr>
          <w:color w:val="000000"/>
          <w:u w:val="single"/>
        </w:rPr>
        <w:t xml:space="preserve"> </w:t>
      </w:r>
      <w:r w:rsidRPr="00DD25ED">
        <w:rPr>
          <w:color w:val="000000"/>
        </w:rPr>
        <w:t>and you can ignore the warning if on a foreign ex</w:t>
      </w:r>
      <w:r w:rsidRPr="00DD25ED">
        <w:t>change</w:t>
      </w:r>
      <w:r w:rsidRPr="00DD25ED">
        <w:rPr>
          <w:color w:val="000000"/>
        </w:rPr>
        <w:t>.</w:t>
      </w:r>
    </w:p>
    <w:p w14:paraId="00000016" w14:textId="4CD2BDC7" w:rsidR="00286DAD" w:rsidRPr="00DD25ED" w:rsidRDefault="00EE2CE8" w:rsidP="00DD25ED">
      <w:pPr>
        <w:pBdr>
          <w:top w:val="nil"/>
          <w:left w:val="nil"/>
          <w:bottom w:val="nil"/>
          <w:right w:val="nil"/>
          <w:between w:val="nil"/>
        </w:pBdr>
        <w:ind w:left="360" w:hanging="360"/>
      </w:pPr>
      <w:r w:rsidRPr="00DD25ED">
        <w:rPr>
          <w:color w:val="000000"/>
        </w:rPr>
        <w:t xml:space="preserve"> </w:t>
      </w:r>
      <w:r w:rsidRPr="00DD25ED">
        <w:t>4. Warnings Related to Hidden facts</w:t>
      </w:r>
    </w:p>
    <w:p w14:paraId="00000017" w14:textId="77777777" w:rsidR="00286DAD" w:rsidRPr="00DD25ED" w:rsidRDefault="00EE2CE8">
      <w:pPr>
        <w:pBdr>
          <w:top w:val="nil"/>
          <w:left w:val="nil"/>
          <w:bottom w:val="nil"/>
          <w:right w:val="nil"/>
          <w:between w:val="nil"/>
        </w:pBdr>
        <w:ind w:left="360"/>
      </w:pPr>
      <w:r w:rsidRPr="00DD25ED">
        <w:t>The SEC test system generates a warning</w:t>
      </w:r>
      <w:r w:rsidRPr="00DD25ED">
        <w:t xml:space="preserve"> for hidden facts.  However, in some cases the facts are always hidden. For example, warning for elements that are always hidden but not referenced include, “Revenue remaining performance obligation expected timing of obligation period”, and extensible lis</w:t>
      </w:r>
      <w:r w:rsidRPr="00DD25ED">
        <w:t>t elements.  These warnings can be ignored.  Do not delete the disclosure.</w:t>
      </w:r>
    </w:p>
    <w:p w14:paraId="0000001B" w14:textId="77777777" w:rsidR="00286DAD" w:rsidRPr="00DD25ED" w:rsidRDefault="00286DAD">
      <w:pPr>
        <w:spacing w:after="0"/>
        <w:ind w:left="-216" w:hanging="720"/>
      </w:pPr>
      <w:bookmarkStart w:id="0" w:name="_GoBack"/>
      <w:bookmarkEnd w:id="0"/>
    </w:p>
    <w:p w14:paraId="0000001C" w14:textId="77777777" w:rsidR="00286DAD" w:rsidRPr="00DD25ED" w:rsidRDefault="00EE2CE8">
      <w:pPr>
        <w:spacing w:after="0"/>
        <w:ind w:left="-216" w:hanging="720"/>
      </w:pPr>
      <w:r w:rsidRPr="00DD25ED">
        <w:t>The following items are recommendations and questions for SEC (Not to be included in Guidance)</w:t>
      </w:r>
    </w:p>
    <w:p w14:paraId="0000001D" w14:textId="77777777" w:rsidR="00286DAD" w:rsidRPr="00DD25ED" w:rsidRDefault="00286DAD">
      <w:pPr>
        <w:spacing w:after="0"/>
        <w:ind w:left="-216" w:hanging="720"/>
      </w:pPr>
    </w:p>
    <w:p w14:paraId="0000001E" w14:textId="77777777" w:rsidR="00286DAD" w:rsidRPr="00DD25ED" w:rsidRDefault="00EE2CE8">
      <w:pPr>
        <w:numPr>
          <w:ilvl w:val="0"/>
          <w:numId w:val="1"/>
        </w:numPr>
        <w:spacing w:after="0"/>
      </w:pPr>
      <w:r w:rsidRPr="00DD25ED">
        <w:t>EFM 6.5.21 specifies the list of elements which will be validated for each filing type.  The element</w:t>
      </w:r>
      <w:r w:rsidRPr="00DD25ED">
        <w:rPr>
          <w:rFonts w:ascii="Arial" w:eastAsia="Arial" w:hAnsi="Arial" w:cs="Arial"/>
        </w:rPr>
        <w:t xml:space="preserve"> </w:t>
      </w:r>
      <w:r w:rsidRPr="00DD25ED">
        <w:t>dei</w:t>
      </w:r>
      <w:r w:rsidRPr="00DD25ED">
        <w:t>: EntityInteractiveDataCurrent is listed that it will be validated for Forms 10-K, 10-KT, 10-Q, 10-QT, 20-F, and 40-F (and must be visible in inline rep</w:t>
      </w:r>
      <w:r w:rsidRPr="00DD25ED">
        <w:t>orts).  EFM 6.5.45 through 6.5.53 provide guidance regarding the tagging of cover page facts, including those which should be visible for inline filings. The element dei: EntityInteractiveDataCurrent is (erroneously?) not listed in these paragraphs.  Presu</w:t>
      </w:r>
      <w:r w:rsidRPr="00DD25ED">
        <w:t>mably, this element needs to be added to EFM 6.5.45, and filers should always tag this element once they are reporting in the 2019 taxonomy.</w:t>
      </w:r>
    </w:p>
    <w:p w14:paraId="0000001F" w14:textId="77777777" w:rsidR="00286DAD" w:rsidRPr="00DD25ED" w:rsidRDefault="00286DAD">
      <w:pPr>
        <w:spacing w:after="0"/>
        <w:ind w:left="720"/>
      </w:pPr>
    </w:p>
    <w:p w14:paraId="00000020" w14:textId="77777777" w:rsidR="00286DAD" w:rsidRPr="00DD25ED" w:rsidRDefault="00EE2CE8">
      <w:pPr>
        <w:numPr>
          <w:ilvl w:val="0"/>
          <w:numId w:val="1"/>
        </w:numPr>
        <w:spacing w:after="0"/>
      </w:pPr>
      <w:r w:rsidRPr="00DD25ED">
        <w:lastRenderedPageBreak/>
        <w:t>We recommend the SEC update the EFM to make EntityInteractiveDataCurrent a required tag for Forms 10-K, 10-KT, 10-</w:t>
      </w:r>
      <w:r w:rsidRPr="00DD25ED">
        <w:t>Q, 10-QT, 20-F, and 40-F in EFM 6.5.45 through 6.5.53. Create transform to take Month-year and transfer to a specific date.  Probably want transforms  for the following:</w:t>
      </w:r>
    </w:p>
    <w:p w14:paraId="00000021" w14:textId="77777777" w:rsidR="00286DAD" w:rsidRPr="00DD25ED" w:rsidRDefault="00EE2CE8">
      <w:pPr>
        <w:numPr>
          <w:ilvl w:val="0"/>
          <w:numId w:val="2"/>
        </w:numPr>
        <w:spacing w:after="0"/>
        <w:ind w:firstLine="90"/>
      </w:pPr>
      <w:r w:rsidRPr="00DD25ED">
        <w:t>month-year-end: Transforms January 2019  -&gt; 2019-01-31</w:t>
      </w:r>
    </w:p>
    <w:p w14:paraId="00000022" w14:textId="77777777" w:rsidR="00286DAD" w:rsidRPr="00DD25ED" w:rsidRDefault="00EE2CE8">
      <w:pPr>
        <w:numPr>
          <w:ilvl w:val="0"/>
          <w:numId w:val="2"/>
        </w:numPr>
        <w:spacing w:after="0"/>
        <w:ind w:firstLine="90"/>
      </w:pPr>
      <w:r w:rsidRPr="00DD25ED">
        <w:t xml:space="preserve">month-year - start: Transforms </w:t>
      </w:r>
      <w:r w:rsidRPr="00DD25ED">
        <w:t>January  2019  -&gt; 2019-01-01</w:t>
      </w:r>
    </w:p>
    <w:p w14:paraId="00000023" w14:textId="77777777" w:rsidR="00286DAD" w:rsidRPr="00DD25ED" w:rsidRDefault="00EE2CE8">
      <w:pPr>
        <w:numPr>
          <w:ilvl w:val="0"/>
          <w:numId w:val="2"/>
        </w:numPr>
        <w:spacing w:after="0"/>
        <w:ind w:firstLine="90"/>
      </w:pPr>
      <w:r w:rsidRPr="00DD25ED">
        <w:t>month-year - mid: Transforms January  2019  -&gt; 2019-01-15</w:t>
      </w:r>
    </w:p>
    <w:p w14:paraId="00000024" w14:textId="77777777" w:rsidR="00286DAD" w:rsidRPr="00DD25ED" w:rsidRDefault="00286DAD">
      <w:pPr>
        <w:spacing w:after="0"/>
      </w:pPr>
    </w:p>
    <w:p w14:paraId="00000025" w14:textId="77777777" w:rsidR="00286DAD" w:rsidRPr="00DD25ED" w:rsidRDefault="00EE2CE8">
      <w:pPr>
        <w:spacing w:after="0"/>
        <w:ind w:left="810" w:hanging="450"/>
      </w:pPr>
      <w:r w:rsidRPr="00DD25ED">
        <w:t>3. The SEC test system does not generate a warning when the filer does not tag a value for tax identifier.  If a company has no Tax identifier, can it enter “00-0000000</w:t>
      </w:r>
      <w:r w:rsidRPr="00DD25ED">
        <w:t>”?</w:t>
      </w:r>
    </w:p>
    <w:p w14:paraId="00000026" w14:textId="77777777" w:rsidR="00286DAD" w:rsidRPr="00DD25ED" w:rsidRDefault="00286DAD">
      <w:pPr>
        <w:spacing w:after="0"/>
        <w:ind w:left="-216" w:hanging="720"/>
      </w:pPr>
    </w:p>
    <w:p w14:paraId="00000027" w14:textId="77777777" w:rsidR="00286DAD" w:rsidRPr="00DD25ED" w:rsidRDefault="00286DAD">
      <w:pPr>
        <w:spacing w:after="0" w:line="240" w:lineRule="auto"/>
      </w:pPr>
    </w:p>
    <w:sectPr w:rsidR="00286DAD" w:rsidRPr="00DD25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43FA6"/>
    <w:multiLevelType w:val="multilevel"/>
    <w:tmpl w:val="2B2A4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AE83355"/>
    <w:multiLevelType w:val="multilevel"/>
    <w:tmpl w:val="E83AB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00257A2"/>
    <w:multiLevelType w:val="multilevel"/>
    <w:tmpl w:val="5F1E8D72"/>
    <w:lvl w:ilvl="0">
      <w:start w:val="1"/>
      <w:numFmt w:val="decimal"/>
      <w:lvlText w:val="%1."/>
      <w:lvlJc w:val="left"/>
      <w:pPr>
        <w:ind w:left="-216" w:hanging="360"/>
      </w:p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DAD"/>
    <w:rsid w:val="00286DAD"/>
    <w:rsid w:val="00DD25ED"/>
    <w:rsid w:val="00EE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8B4BFD-D0FF-499F-BFFB-CAA226E2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36041"/>
    <w:pPr>
      <w:ind w:left="720"/>
      <w:contextualSpacing/>
    </w:pPr>
  </w:style>
  <w:style w:type="paragraph" w:customStyle="1" w:styleId="Default">
    <w:name w:val="Default"/>
    <w:rsid w:val="009D596A"/>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7373B5"/>
    <w:rPr>
      <w:sz w:val="16"/>
      <w:szCs w:val="16"/>
    </w:rPr>
  </w:style>
  <w:style w:type="paragraph" w:styleId="CommentText">
    <w:name w:val="annotation text"/>
    <w:basedOn w:val="Normal"/>
    <w:link w:val="CommentTextChar"/>
    <w:uiPriority w:val="99"/>
    <w:semiHidden/>
    <w:unhideWhenUsed/>
    <w:rsid w:val="007373B5"/>
    <w:pPr>
      <w:spacing w:line="240" w:lineRule="auto"/>
    </w:pPr>
    <w:rPr>
      <w:sz w:val="20"/>
      <w:szCs w:val="20"/>
    </w:rPr>
  </w:style>
  <w:style w:type="character" w:customStyle="1" w:styleId="CommentTextChar">
    <w:name w:val="Comment Text Char"/>
    <w:basedOn w:val="DefaultParagraphFont"/>
    <w:link w:val="CommentText"/>
    <w:uiPriority w:val="99"/>
    <w:semiHidden/>
    <w:rsid w:val="007373B5"/>
    <w:rPr>
      <w:sz w:val="20"/>
      <w:szCs w:val="20"/>
    </w:rPr>
  </w:style>
  <w:style w:type="paragraph" w:styleId="CommentSubject">
    <w:name w:val="annotation subject"/>
    <w:basedOn w:val="CommentText"/>
    <w:next w:val="CommentText"/>
    <w:link w:val="CommentSubjectChar"/>
    <w:uiPriority w:val="99"/>
    <w:semiHidden/>
    <w:unhideWhenUsed/>
    <w:rsid w:val="007373B5"/>
    <w:rPr>
      <w:b/>
      <w:bCs/>
    </w:rPr>
  </w:style>
  <w:style w:type="character" w:customStyle="1" w:styleId="CommentSubjectChar">
    <w:name w:val="Comment Subject Char"/>
    <w:basedOn w:val="CommentTextChar"/>
    <w:link w:val="CommentSubject"/>
    <w:uiPriority w:val="99"/>
    <w:semiHidden/>
    <w:rsid w:val="007373B5"/>
    <w:rPr>
      <w:b/>
      <w:bCs/>
      <w:sz w:val="20"/>
      <w:szCs w:val="20"/>
    </w:rPr>
  </w:style>
  <w:style w:type="paragraph" w:styleId="BalloonText">
    <w:name w:val="Balloon Text"/>
    <w:basedOn w:val="Normal"/>
    <w:link w:val="BalloonTextChar"/>
    <w:uiPriority w:val="99"/>
    <w:semiHidden/>
    <w:unhideWhenUsed/>
    <w:rsid w:val="00737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3B5"/>
    <w:rPr>
      <w:rFonts w:ascii="Segoe UI" w:hAnsi="Segoe UI" w:cs="Segoe UI"/>
      <w:sz w:val="18"/>
      <w:szCs w:val="18"/>
    </w:rPr>
  </w:style>
  <w:style w:type="character" w:customStyle="1" w:styleId="companyname2">
    <w:name w:val="companyname2"/>
    <w:basedOn w:val="DefaultParagraphFont"/>
    <w:rsid w:val="00085BA3"/>
    <w:rPr>
      <w:b/>
      <w:bCs/>
      <w:vanish w:val="0"/>
      <w:webHidden w:val="0"/>
      <w:sz w:val="23"/>
      <w:szCs w:val="23"/>
      <w:specVanish w:val="0"/>
    </w:rPr>
  </w:style>
  <w:style w:type="character" w:styleId="HTMLAcronym">
    <w:name w:val="HTML Acronym"/>
    <w:basedOn w:val="DefaultParagraphFont"/>
    <w:uiPriority w:val="99"/>
    <w:semiHidden/>
    <w:unhideWhenUsed/>
    <w:rsid w:val="00085BA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4RZAeknhbMyYSrZQLXeVmg2hg==">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 Joan</dc:creator>
  <cp:lastModifiedBy>Ami Beers</cp:lastModifiedBy>
  <cp:revision>3</cp:revision>
  <dcterms:created xsi:type="dcterms:W3CDTF">2019-09-24T19:34:00Z</dcterms:created>
  <dcterms:modified xsi:type="dcterms:W3CDTF">2019-09-24T22:17:00Z</dcterms:modified>
</cp:coreProperties>
</file>