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735A7F" w14:textId="1A2415F9" w:rsidR="00354581" w:rsidRDefault="00B4120F">
      <w:pPr>
        <w:spacing w:line="288" w:lineRule="auto"/>
        <w:jc w:val="center"/>
        <w:rPr>
          <w:rFonts w:ascii="Arial" w:eastAsia="Arial" w:hAnsi="Arial" w:cs="Arial"/>
          <w:b/>
          <w:sz w:val="24"/>
        </w:rPr>
      </w:pPr>
      <w:r>
        <w:rPr>
          <w:rFonts w:ascii="Arial" w:eastAsia="Arial" w:hAnsi="Arial" w:cs="Arial"/>
          <w:b/>
          <w:sz w:val="24"/>
        </w:rPr>
        <w:t xml:space="preserve"> </w:t>
      </w:r>
      <w:r w:rsidR="006864A3">
        <w:rPr>
          <w:rFonts w:ascii="Arial" w:eastAsia="Arial" w:hAnsi="Arial" w:cs="Arial"/>
          <w:b/>
          <w:sz w:val="24"/>
        </w:rPr>
        <w:t>`</w:t>
      </w:r>
      <w:r w:rsidR="00431A03">
        <w:rPr>
          <w:rFonts w:ascii="Arial" w:eastAsia="Arial" w:hAnsi="Arial" w:cs="Arial"/>
          <w:b/>
          <w:sz w:val="24"/>
        </w:rPr>
        <w:t>Data Quality Committee</w:t>
      </w:r>
      <w:bookmarkStart w:id="0" w:name="Section_1"/>
      <w:bookmarkEnd w:id="0"/>
    </w:p>
    <w:p w14:paraId="1C63824C" w14:textId="1FE064C9" w:rsidR="00354581" w:rsidRPr="00E70EDC" w:rsidRDefault="006D6E32">
      <w:pPr>
        <w:spacing w:line="288" w:lineRule="auto"/>
        <w:jc w:val="center"/>
        <w:rPr>
          <w:rFonts w:ascii="Arial" w:eastAsia="Arial" w:hAnsi="Arial" w:cs="Arial"/>
          <w:b/>
          <w:sz w:val="24"/>
        </w:rPr>
      </w:pPr>
      <w:r w:rsidRPr="00E70EDC">
        <w:rPr>
          <w:rFonts w:ascii="Arial" w:eastAsia="Arial" w:hAnsi="Arial" w:cs="Arial"/>
          <w:b/>
          <w:sz w:val="24"/>
        </w:rPr>
        <w:t>Conference call</w:t>
      </w:r>
    </w:p>
    <w:p w14:paraId="44DFAFF7" w14:textId="7B2CBFBA" w:rsidR="00354581" w:rsidRDefault="009B296F">
      <w:pPr>
        <w:spacing w:line="288" w:lineRule="auto"/>
        <w:jc w:val="center"/>
        <w:rPr>
          <w:rFonts w:ascii="Arial" w:eastAsia="Arial" w:hAnsi="Arial" w:cs="Arial"/>
          <w:b/>
          <w:sz w:val="24"/>
        </w:rPr>
      </w:pPr>
      <w:r>
        <w:rPr>
          <w:rFonts w:ascii="Arial" w:eastAsia="Arial" w:hAnsi="Arial" w:cs="Arial"/>
          <w:b/>
          <w:sz w:val="24"/>
        </w:rPr>
        <w:t>July</w:t>
      </w:r>
      <w:r w:rsidR="004D0930">
        <w:rPr>
          <w:rFonts w:ascii="Arial" w:eastAsia="Arial" w:hAnsi="Arial" w:cs="Arial"/>
          <w:b/>
          <w:sz w:val="24"/>
        </w:rPr>
        <w:t xml:space="preserve"> 1</w:t>
      </w:r>
      <w:r>
        <w:rPr>
          <w:rFonts w:ascii="Arial" w:eastAsia="Arial" w:hAnsi="Arial" w:cs="Arial"/>
          <w:b/>
          <w:sz w:val="24"/>
        </w:rPr>
        <w:t>5</w:t>
      </w:r>
      <w:r w:rsidR="00982A9C">
        <w:rPr>
          <w:rFonts w:ascii="Arial" w:eastAsia="Arial" w:hAnsi="Arial" w:cs="Arial"/>
          <w:b/>
          <w:sz w:val="24"/>
        </w:rPr>
        <w:t>, 2020</w:t>
      </w:r>
    </w:p>
    <w:p w14:paraId="546E7FA1" w14:textId="77777777" w:rsidR="00354581" w:rsidRDefault="00431A03">
      <w:pPr>
        <w:spacing w:line="332" w:lineRule="auto"/>
        <w:jc w:val="center"/>
        <w:rPr>
          <w:rFonts w:ascii="Arial" w:eastAsia="Arial" w:hAnsi="Arial" w:cs="Arial"/>
          <w:b/>
          <w:sz w:val="24"/>
        </w:rPr>
      </w:pPr>
      <w:r>
        <w:rPr>
          <w:rFonts w:ascii="Arial" w:eastAsia="Arial" w:hAnsi="Arial" w:cs="Arial"/>
          <w:b/>
          <w:sz w:val="24"/>
        </w:rPr>
        <w:t>Meeting Notes</w:t>
      </w:r>
    </w:p>
    <w:p w14:paraId="2E2328B8" w14:textId="77777777" w:rsidR="00354581" w:rsidRDefault="00354581">
      <w:pPr>
        <w:spacing w:line="332" w:lineRule="auto"/>
        <w:jc w:val="center"/>
        <w:rPr>
          <w:rFonts w:ascii="Arial" w:eastAsia="Arial" w:hAnsi="Arial" w:cs="Arial"/>
          <w:sz w:val="22"/>
        </w:rPr>
      </w:pPr>
    </w:p>
    <w:p w14:paraId="15DDDD88" w14:textId="77777777" w:rsidR="00354581" w:rsidRDefault="00431A03">
      <w:pPr>
        <w:tabs>
          <w:tab w:val="left" w:pos="1140"/>
          <w:tab w:val="left" w:pos="2320"/>
        </w:tabs>
        <w:spacing w:line="332" w:lineRule="auto"/>
        <w:rPr>
          <w:rFonts w:ascii="Arial" w:eastAsia="Arial" w:hAnsi="Arial" w:cs="Arial"/>
          <w:b/>
          <w:sz w:val="22"/>
        </w:rPr>
      </w:pPr>
      <w:r>
        <w:rPr>
          <w:rFonts w:ascii="Arial" w:eastAsia="Arial" w:hAnsi="Arial" w:cs="Arial"/>
          <w:b/>
          <w:sz w:val="22"/>
        </w:rPr>
        <w:t>Attendees</w:t>
      </w:r>
    </w:p>
    <w:p w14:paraId="7B887734" w14:textId="77777777" w:rsidR="00354581" w:rsidRDefault="00431A03">
      <w:pPr>
        <w:tabs>
          <w:tab w:val="left" w:pos="1140"/>
          <w:tab w:val="left" w:pos="2320"/>
        </w:tabs>
        <w:spacing w:line="332" w:lineRule="auto"/>
        <w:rPr>
          <w:rFonts w:ascii="Arial" w:eastAsia="Arial" w:hAnsi="Arial" w:cs="Arial"/>
          <w:sz w:val="22"/>
        </w:rPr>
      </w:pPr>
      <w:r>
        <w:rPr>
          <w:rFonts w:ascii="Arial" w:eastAsia="Arial" w:hAnsi="Arial" w:cs="Arial"/>
          <w:color w:val="000000"/>
          <w:sz w:val="22"/>
          <w:u w:val="single" w:color="000000"/>
        </w:rPr>
        <w:t>Committee Members</w:t>
      </w:r>
    </w:p>
    <w:p w14:paraId="3D520D10" w14:textId="08AC3F69" w:rsidR="00354581" w:rsidRDefault="00431A03" w:rsidP="005D223A">
      <w:pPr>
        <w:spacing w:line="332" w:lineRule="auto"/>
        <w:rPr>
          <w:rFonts w:ascii="Arial" w:eastAsia="Arial" w:hAnsi="Arial" w:cs="Arial"/>
          <w:sz w:val="22"/>
        </w:rPr>
      </w:pPr>
      <w:r w:rsidRPr="00026C18">
        <w:rPr>
          <w:rFonts w:ascii="Arial" w:eastAsia="Arial" w:hAnsi="Arial" w:cs="Arial"/>
          <w:sz w:val="22"/>
        </w:rPr>
        <w:t xml:space="preserve">Campbell Pryde, </w:t>
      </w:r>
      <w:r w:rsidR="002A411B" w:rsidRPr="002A411B">
        <w:rPr>
          <w:rFonts w:ascii="Arial" w:eastAsia="Arial" w:hAnsi="Arial" w:cs="Arial"/>
          <w:sz w:val="22"/>
        </w:rPr>
        <w:t>Joan Berg</w:t>
      </w:r>
      <w:r w:rsidRPr="00026C18">
        <w:rPr>
          <w:rFonts w:ascii="Arial" w:eastAsia="Arial" w:hAnsi="Arial" w:cs="Arial"/>
          <w:sz w:val="22"/>
        </w:rPr>
        <w:t xml:space="preserve">, </w:t>
      </w:r>
      <w:r w:rsidR="000815EF">
        <w:rPr>
          <w:rFonts w:ascii="Arial" w:eastAsia="Arial" w:hAnsi="Arial" w:cs="Arial"/>
          <w:sz w:val="22"/>
        </w:rPr>
        <w:t xml:space="preserve">Mohini Singh, </w:t>
      </w:r>
      <w:r w:rsidR="0060525F">
        <w:rPr>
          <w:rFonts w:ascii="Arial" w:eastAsia="Arial" w:hAnsi="Arial" w:cs="Arial"/>
          <w:sz w:val="22"/>
        </w:rPr>
        <w:t xml:space="preserve">Heather Krupa, </w:t>
      </w:r>
      <w:r w:rsidR="009B296F">
        <w:rPr>
          <w:rFonts w:ascii="Arial" w:eastAsia="Arial" w:hAnsi="Arial" w:cs="Arial"/>
          <w:sz w:val="22"/>
        </w:rPr>
        <w:t>Glad Sully</w:t>
      </w:r>
      <w:r w:rsidR="00E2477A">
        <w:rPr>
          <w:rFonts w:ascii="Arial" w:eastAsia="Arial" w:hAnsi="Arial" w:cs="Arial"/>
          <w:sz w:val="22"/>
        </w:rPr>
        <w:t>,</w:t>
      </w:r>
      <w:r w:rsidR="00E2477A" w:rsidRPr="00E2477A">
        <w:rPr>
          <w:rFonts w:ascii="Arial" w:eastAsia="Arial" w:hAnsi="Arial" w:cs="Arial"/>
          <w:sz w:val="22"/>
        </w:rPr>
        <w:t xml:space="preserve"> </w:t>
      </w:r>
      <w:r w:rsidR="00E2477A">
        <w:rPr>
          <w:rFonts w:ascii="Arial" w:eastAsia="Arial" w:hAnsi="Arial" w:cs="Arial"/>
          <w:sz w:val="22"/>
        </w:rPr>
        <w:t>Sophia Sharp,</w:t>
      </w:r>
      <w:r w:rsidR="00DD4015" w:rsidRPr="00DD4015">
        <w:rPr>
          <w:rFonts w:ascii="Arial" w:eastAsia="Arial" w:hAnsi="Arial" w:cs="Arial"/>
          <w:sz w:val="22"/>
        </w:rPr>
        <w:t xml:space="preserve"> </w:t>
      </w:r>
      <w:r w:rsidR="00DD4015">
        <w:rPr>
          <w:rFonts w:ascii="Arial" w:eastAsia="Arial" w:hAnsi="Arial" w:cs="Arial"/>
          <w:sz w:val="22"/>
        </w:rPr>
        <w:t>Amit Varshney,</w:t>
      </w:r>
    </w:p>
    <w:p w14:paraId="0FCBEC5E" w14:textId="77777777" w:rsidR="00354581" w:rsidRDefault="00354581">
      <w:pPr>
        <w:spacing w:line="332" w:lineRule="auto"/>
        <w:rPr>
          <w:rFonts w:ascii="Arial" w:eastAsia="Arial" w:hAnsi="Arial" w:cs="Arial"/>
          <w:sz w:val="22"/>
        </w:rPr>
      </w:pPr>
    </w:p>
    <w:p w14:paraId="1D37858D" w14:textId="7A31A2C3" w:rsidR="00354581" w:rsidRDefault="00A72464">
      <w:pPr>
        <w:tabs>
          <w:tab w:val="left" w:pos="1140"/>
          <w:tab w:val="left" w:pos="2320"/>
        </w:tabs>
        <w:spacing w:line="332" w:lineRule="auto"/>
        <w:rPr>
          <w:rFonts w:ascii="Arial" w:eastAsia="Arial" w:hAnsi="Arial" w:cs="Arial"/>
          <w:sz w:val="22"/>
        </w:rPr>
      </w:pPr>
      <w:r>
        <w:rPr>
          <w:rFonts w:ascii="Arial" w:eastAsia="Arial" w:hAnsi="Arial" w:cs="Arial"/>
          <w:color w:val="000000"/>
          <w:sz w:val="22"/>
          <w:u w:val="single" w:color="000000"/>
        </w:rPr>
        <w:t>Absent</w:t>
      </w:r>
    </w:p>
    <w:p w14:paraId="56D92F68" w14:textId="2A2D4C99" w:rsidR="00A5025E" w:rsidRDefault="004D0930">
      <w:pPr>
        <w:spacing w:line="332" w:lineRule="auto"/>
        <w:rPr>
          <w:rFonts w:ascii="Arial" w:eastAsia="Arial" w:hAnsi="Arial" w:cs="Arial"/>
          <w:sz w:val="22"/>
        </w:rPr>
      </w:pPr>
      <w:r>
        <w:rPr>
          <w:rFonts w:ascii="Arial" w:eastAsia="Arial" w:hAnsi="Arial" w:cs="Arial"/>
          <w:sz w:val="22"/>
        </w:rPr>
        <w:t xml:space="preserve">Pranav Ghai, </w:t>
      </w:r>
      <w:r w:rsidR="00BF6D3C">
        <w:rPr>
          <w:rFonts w:ascii="Arial" w:eastAsia="Arial" w:hAnsi="Arial" w:cs="Arial"/>
          <w:sz w:val="22"/>
        </w:rPr>
        <w:t>Adrian Cloutier,</w:t>
      </w:r>
      <w:r w:rsidR="00E2477A" w:rsidRPr="00E2477A">
        <w:rPr>
          <w:rFonts w:ascii="Arial" w:eastAsia="Arial" w:hAnsi="Arial" w:cs="Arial"/>
          <w:sz w:val="22"/>
        </w:rPr>
        <w:t xml:space="preserve"> </w:t>
      </w:r>
      <w:r w:rsidR="00E2477A">
        <w:rPr>
          <w:rFonts w:ascii="Arial" w:eastAsia="Arial" w:hAnsi="Arial" w:cs="Arial"/>
          <w:sz w:val="22"/>
        </w:rPr>
        <w:t>Charles Kessler</w:t>
      </w:r>
    </w:p>
    <w:p w14:paraId="22B0A6F9" w14:textId="77777777" w:rsidR="00A72464" w:rsidRDefault="00A72464">
      <w:pPr>
        <w:spacing w:line="332" w:lineRule="auto"/>
        <w:rPr>
          <w:rFonts w:ascii="Arial" w:eastAsia="Arial" w:hAnsi="Arial" w:cs="Arial"/>
          <w:color w:val="000000"/>
          <w:sz w:val="22"/>
          <w:u w:val="single" w:color="000000"/>
        </w:rPr>
      </w:pPr>
    </w:p>
    <w:p w14:paraId="683B8785" w14:textId="77777777" w:rsidR="00354581" w:rsidRDefault="00431A03">
      <w:pPr>
        <w:spacing w:line="332" w:lineRule="auto"/>
        <w:rPr>
          <w:rFonts w:ascii="Arial" w:eastAsia="Arial" w:hAnsi="Arial" w:cs="Arial"/>
          <w:sz w:val="22"/>
        </w:rPr>
      </w:pPr>
      <w:r>
        <w:rPr>
          <w:rFonts w:ascii="Arial" w:eastAsia="Arial" w:hAnsi="Arial" w:cs="Arial"/>
          <w:color w:val="000000"/>
          <w:sz w:val="22"/>
          <w:u w:val="single" w:color="000000"/>
        </w:rPr>
        <w:t>Staff</w:t>
      </w:r>
    </w:p>
    <w:p w14:paraId="4ECAEEF4" w14:textId="1F6303AF" w:rsidR="00354581" w:rsidRDefault="006C47F9">
      <w:pPr>
        <w:spacing w:line="332" w:lineRule="auto"/>
        <w:rPr>
          <w:rFonts w:ascii="Arial" w:eastAsia="Arial" w:hAnsi="Arial" w:cs="Arial"/>
          <w:sz w:val="22"/>
        </w:rPr>
      </w:pPr>
      <w:r>
        <w:rPr>
          <w:rFonts w:ascii="Arial" w:eastAsia="Arial" w:hAnsi="Arial" w:cs="Arial"/>
          <w:sz w:val="22"/>
        </w:rPr>
        <w:t>Ami Beers, David Tauriello</w:t>
      </w:r>
    </w:p>
    <w:p w14:paraId="5A3DE739" w14:textId="77777777" w:rsidR="00354581" w:rsidRDefault="00354581">
      <w:pPr>
        <w:spacing w:line="332" w:lineRule="auto"/>
        <w:rPr>
          <w:rFonts w:ascii="Arial" w:eastAsia="Arial" w:hAnsi="Arial" w:cs="Arial"/>
          <w:sz w:val="22"/>
        </w:rPr>
      </w:pPr>
    </w:p>
    <w:p w14:paraId="13DC54B8" w14:textId="77777777" w:rsidR="00354581" w:rsidRDefault="00431A03">
      <w:pPr>
        <w:spacing w:line="332" w:lineRule="auto"/>
        <w:rPr>
          <w:rFonts w:ascii="Arial" w:eastAsia="Arial" w:hAnsi="Arial" w:cs="Arial"/>
          <w:sz w:val="22"/>
        </w:rPr>
      </w:pPr>
      <w:r>
        <w:rPr>
          <w:rFonts w:ascii="Arial" w:eastAsia="Arial" w:hAnsi="Arial" w:cs="Arial"/>
          <w:color w:val="000000"/>
          <w:sz w:val="22"/>
          <w:u w:val="single" w:color="000000"/>
        </w:rPr>
        <w:t>Observers</w:t>
      </w:r>
    </w:p>
    <w:p w14:paraId="06AAD69D" w14:textId="4CABC3A8" w:rsidR="00354581" w:rsidRDefault="00770FDE">
      <w:pPr>
        <w:spacing w:line="332" w:lineRule="auto"/>
        <w:rPr>
          <w:rFonts w:ascii="Arial" w:eastAsia="Arial" w:hAnsi="Arial" w:cs="Arial"/>
          <w:sz w:val="22"/>
        </w:rPr>
      </w:pPr>
      <w:r>
        <w:rPr>
          <w:rFonts w:ascii="Arial" w:eastAsia="Arial" w:hAnsi="Arial" w:cs="Arial"/>
          <w:sz w:val="22"/>
        </w:rPr>
        <w:t>Louis Matherne</w:t>
      </w:r>
      <w:r w:rsidR="00FE07C6">
        <w:rPr>
          <w:rFonts w:ascii="Arial" w:eastAsia="Arial" w:hAnsi="Arial" w:cs="Arial"/>
          <w:sz w:val="22"/>
        </w:rPr>
        <w:t>, Iza Ruta</w:t>
      </w:r>
      <w:r w:rsidR="008023BA">
        <w:rPr>
          <w:rFonts w:ascii="Arial" w:eastAsia="Arial" w:hAnsi="Arial" w:cs="Arial"/>
          <w:sz w:val="22"/>
        </w:rPr>
        <w:t xml:space="preserve"> </w:t>
      </w:r>
    </w:p>
    <w:p w14:paraId="55AE0FA4" w14:textId="77777777" w:rsidR="003342FE" w:rsidRDefault="003342FE">
      <w:pPr>
        <w:spacing w:line="312" w:lineRule="auto"/>
        <w:rPr>
          <w:rFonts w:ascii="Arial" w:eastAsia="Arial" w:hAnsi="Arial" w:cs="Arial"/>
          <w:b/>
          <w:sz w:val="22"/>
        </w:rPr>
      </w:pPr>
    </w:p>
    <w:p w14:paraId="2B747229" w14:textId="77777777" w:rsidR="00354581" w:rsidRDefault="00431A03">
      <w:pPr>
        <w:spacing w:line="312" w:lineRule="auto"/>
        <w:rPr>
          <w:rFonts w:ascii="Arial" w:eastAsia="Arial" w:hAnsi="Arial" w:cs="Arial"/>
          <w:b/>
          <w:sz w:val="22"/>
        </w:rPr>
      </w:pPr>
      <w:r>
        <w:rPr>
          <w:rFonts w:ascii="Arial" w:eastAsia="Arial" w:hAnsi="Arial" w:cs="Arial"/>
          <w:b/>
          <w:sz w:val="22"/>
        </w:rPr>
        <w:t>Welcome</w:t>
      </w:r>
    </w:p>
    <w:p w14:paraId="38BAF49F" w14:textId="125E4235" w:rsidR="0035018E" w:rsidRDefault="00872ADC" w:rsidP="00C346F1">
      <w:pPr>
        <w:pStyle w:val="ListParagraph"/>
        <w:numPr>
          <w:ilvl w:val="0"/>
          <w:numId w:val="2"/>
        </w:numPr>
        <w:spacing w:line="312" w:lineRule="auto"/>
      </w:pPr>
      <w:r>
        <w:t>Chair welcomed Committee</w:t>
      </w:r>
      <w:r w:rsidR="0029757F">
        <w:t xml:space="preserve"> and introduced </w:t>
      </w:r>
      <w:r w:rsidR="008D4DA1">
        <w:t>attendees</w:t>
      </w:r>
      <w:r>
        <w:t>.</w:t>
      </w:r>
      <w:r w:rsidR="00D73A2F">
        <w:t xml:space="preserve"> </w:t>
      </w:r>
      <w:r w:rsidR="00AA2380">
        <w:t>Joan introduced Glad Sully from idaciti as</w:t>
      </w:r>
      <w:r w:rsidR="009B296F">
        <w:t xml:space="preserve"> a new member replacing Emily Huang.</w:t>
      </w:r>
    </w:p>
    <w:p w14:paraId="6A5E3743" w14:textId="77777777" w:rsidR="00821F2A" w:rsidRDefault="00821F2A">
      <w:pPr>
        <w:spacing w:line="312" w:lineRule="auto"/>
        <w:rPr>
          <w:rFonts w:ascii="Arial" w:eastAsia="Arial" w:hAnsi="Arial" w:cs="Arial"/>
          <w:b/>
          <w:sz w:val="22"/>
        </w:rPr>
      </w:pPr>
    </w:p>
    <w:p w14:paraId="3526E4DA" w14:textId="0D94C2D5" w:rsidR="00502AE5" w:rsidRDefault="00A36CDE">
      <w:pPr>
        <w:spacing w:line="312" w:lineRule="auto"/>
        <w:rPr>
          <w:rFonts w:ascii="Arial" w:eastAsia="Arial" w:hAnsi="Arial" w:cs="Arial"/>
          <w:b/>
          <w:sz w:val="22"/>
        </w:rPr>
      </w:pPr>
      <w:r>
        <w:rPr>
          <w:rFonts w:ascii="Arial" w:eastAsia="Arial" w:hAnsi="Arial" w:cs="Arial"/>
          <w:b/>
          <w:sz w:val="22"/>
        </w:rPr>
        <w:t xml:space="preserve">Minutes </w:t>
      </w:r>
      <w:r w:rsidRPr="0035018E">
        <w:rPr>
          <w:rFonts w:ascii="Arial" w:eastAsia="Arial" w:hAnsi="Arial" w:cs="Arial"/>
          <w:b/>
          <w:sz w:val="22"/>
        </w:rPr>
        <w:t>Approval</w:t>
      </w:r>
    </w:p>
    <w:p w14:paraId="7A94B245" w14:textId="5D3BEBE3" w:rsidR="00502AE5" w:rsidRPr="00B61CA4" w:rsidRDefault="00502AE5" w:rsidP="00C346F1">
      <w:pPr>
        <w:pStyle w:val="ListParagraph"/>
        <w:numPr>
          <w:ilvl w:val="0"/>
          <w:numId w:val="1"/>
        </w:numPr>
        <w:spacing w:line="240" w:lineRule="auto"/>
        <w:rPr>
          <w:rFonts w:eastAsia="Times New Roman"/>
          <w:bCs/>
          <w:color w:val="auto"/>
          <w:szCs w:val="22"/>
        </w:rPr>
      </w:pPr>
      <w:r w:rsidRPr="009E29DC">
        <w:rPr>
          <w:rFonts w:eastAsia="Times New Roman"/>
        </w:rPr>
        <w:t xml:space="preserve">Motion to approve minutes from </w:t>
      </w:r>
      <w:r w:rsidR="009B296F">
        <w:rPr>
          <w:rFonts w:eastAsia="Times New Roman"/>
        </w:rPr>
        <w:t xml:space="preserve">April </w:t>
      </w:r>
      <w:r w:rsidR="002A411B">
        <w:rPr>
          <w:rFonts w:eastAsia="Times New Roman"/>
        </w:rPr>
        <w:t>1</w:t>
      </w:r>
      <w:r w:rsidR="004D0930">
        <w:rPr>
          <w:rFonts w:eastAsia="Times New Roman"/>
        </w:rPr>
        <w:t>, 2020</w:t>
      </w:r>
      <w:r w:rsidRPr="00B61CA4">
        <w:rPr>
          <w:rFonts w:eastAsia="Times New Roman"/>
        </w:rPr>
        <w:t xml:space="preserve"> DQC meeting</w:t>
      </w:r>
      <w:r>
        <w:rPr>
          <w:rFonts w:eastAsia="Times New Roman"/>
        </w:rPr>
        <w:t xml:space="preserve">, </w:t>
      </w:r>
      <w:r w:rsidRPr="00B61CA4">
        <w:rPr>
          <w:rFonts w:eastAsia="Times New Roman"/>
        </w:rPr>
        <w:t>by</w:t>
      </w:r>
      <w:r w:rsidR="004D0930">
        <w:rPr>
          <w:rFonts w:eastAsia="Times New Roman"/>
        </w:rPr>
        <w:t xml:space="preserve"> </w:t>
      </w:r>
      <w:r w:rsidR="00E2477A">
        <w:rPr>
          <w:rFonts w:eastAsia="Times New Roman"/>
        </w:rPr>
        <w:t>Heather Krupa</w:t>
      </w:r>
      <w:r w:rsidR="0029757F">
        <w:rPr>
          <w:rFonts w:eastAsia="Times New Roman"/>
        </w:rPr>
        <w:t xml:space="preserve">, </w:t>
      </w:r>
      <w:r w:rsidRPr="00B61CA4">
        <w:rPr>
          <w:rFonts w:eastAsia="Times New Roman"/>
        </w:rPr>
        <w:t xml:space="preserve"> seconded by</w:t>
      </w:r>
      <w:r w:rsidR="00B67FBA">
        <w:rPr>
          <w:rFonts w:eastAsia="Times New Roman"/>
        </w:rPr>
        <w:t xml:space="preserve"> </w:t>
      </w:r>
      <w:r w:rsidR="00E2477A">
        <w:t>Joan Berg</w:t>
      </w:r>
    </w:p>
    <w:p w14:paraId="358805D7" w14:textId="44F56400" w:rsidR="00502AE5" w:rsidRPr="009E29DC" w:rsidRDefault="00502AE5" w:rsidP="00C346F1">
      <w:pPr>
        <w:pStyle w:val="ListParagraph"/>
        <w:numPr>
          <w:ilvl w:val="0"/>
          <w:numId w:val="1"/>
        </w:numPr>
        <w:spacing w:line="240" w:lineRule="auto"/>
        <w:rPr>
          <w:rFonts w:eastAsia="Times New Roman"/>
          <w:bCs/>
          <w:color w:val="auto"/>
          <w:szCs w:val="22"/>
        </w:rPr>
      </w:pPr>
      <w:r>
        <w:rPr>
          <w:rFonts w:eastAsia="Times New Roman"/>
          <w:bCs/>
          <w:color w:val="auto"/>
          <w:szCs w:val="22"/>
        </w:rPr>
        <w:t xml:space="preserve">Vote (For </w:t>
      </w:r>
      <w:r w:rsidR="00AA2380">
        <w:rPr>
          <w:rFonts w:eastAsia="Times New Roman"/>
          <w:bCs/>
          <w:color w:val="auto"/>
          <w:szCs w:val="22"/>
        </w:rPr>
        <w:t>6</w:t>
      </w:r>
      <w:r w:rsidRPr="009E29DC">
        <w:rPr>
          <w:rFonts w:eastAsia="Times New Roman"/>
          <w:bCs/>
          <w:color w:val="auto"/>
          <w:szCs w:val="22"/>
        </w:rPr>
        <w:t>, 0 Against)</w:t>
      </w:r>
    </w:p>
    <w:p w14:paraId="3E54DDDA" w14:textId="21101305" w:rsidR="00502AE5" w:rsidRDefault="00A36CDE" w:rsidP="00C346F1">
      <w:pPr>
        <w:pStyle w:val="ListParagraph"/>
        <w:numPr>
          <w:ilvl w:val="0"/>
          <w:numId w:val="1"/>
        </w:numPr>
        <w:spacing w:line="240" w:lineRule="auto"/>
        <w:rPr>
          <w:rFonts w:eastAsia="Times New Roman"/>
        </w:rPr>
      </w:pPr>
      <w:r>
        <w:rPr>
          <w:rFonts w:eastAsia="Times New Roman"/>
          <w:bCs/>
          <w:color w:val="auto"/>
          <w:szCs w:val="22"/>
        </w:rPr>
        <w:t>Motion passed</w:t>
      </w:r>
      <w:r w:rsidR="000E66B1">
        <w:rPr>
          <w:rFonts w:eastAsia="Times New Roman"/>
          <w:bCs/>
          <w:color w:val="auto"/>
          <w:szCs w:val="22"/>
        </w:rPr>
        <w:t>.</w:t>
      </w:r>
      <w:r w:rsidR="00CF688D">
        <w:rPr>
          <w:rFonts w:eastAsia="Times New Roman"/>
          <w:bCs/>
          <w:color w:val="auto"/>
          <w:szCs w:val="22"/>
        </w:rPr>
        <w:t xml:space="preserve"> </w:t>
      </w:r>
      <w:r w:rsidR="009B296F">
        <w:rPr>
          <w:rFonts w:eastAsia="Times New Roman"/>
        </w:rPr>
        <w:t>April 1</w:t>
      </w:r>
      <w:r w:rsidR="006C2843">
        <w:rPr>
          <w:rFonts w:eastAsia="Times New Roman"/>
        </w:rPr>
        <w:t>, 20</w:t>
      </w:r>
      <w:r w:rsidR="004D0930">
        <w:rPr>
          <w:rFonts w:eastAsia="Times New Roman"/>
        </w:rPr>
        <w:t>20</w:t>
      </w:r>
      <w:r w:rsidR="005D6513" w:rsidRPr="00B61CA4">
        <w:rPr>
          <w:rFonts w:eastAsia="Times New Roman"/>
        </w:rPr>
        <w:t xml:space="preserve"> </w:t>
      </w:r>
      <w:r w:rsidR="00502AE5">
        <w:rPr>
          <w:rFonts w:eastAsia="Times New Roman"/>
        </w:rPr>
        <w:t>DQC meeting minutes approved.</w:t>
      </w:r>
    </w:p>
    <w:p w14:paraId="35DAD42A" w14:textId="77777777" w:rsidR="00502AE5" w:rsidRDefault="00502AE5">
      <w:pPr>
        <w:spacing w:line="312" w:lineRule="auto"/>
        <w:rPr>
          <w:rFonts w:ascii="Arial" w:eastAsia="Arial" w:hAnsi="Arial" w:cs="Arial"/>
          <w:b/>
          <w:sz w:val="22"/>
        </w:rPr>
      </w:pPr>
    </w:p>
    <w:p w14:paraId="0A0D71DD" w14:textId="00B67A37" w:rsidR="00982A9C" w:rsidRDefault="004D0930" w:rsidP="00982A9C">
      <w:pPr>
        <w:spacing w:line="332" w:lineRule="auto"/>
        <w:rPr>
          <w:rFonts w:ascii="Arial" w:eastAsia="Arial" w:hAnsi="Arial" w:cs="Arial"/>
          <w:b/>
          <w:sz w:val="22"/>
        </w:rPr>
      </w:pPr>
      <w:r>
        <w:rPr>
          <w:rFonts w:ascii="Arial" w:eastAsia="Arial" w:hAnsi="Arial" w:cs="Arial"/>
          <w:b/>
          <w:sz w:val="22"/>
        </w:rPr>
        <w:t xml:space="preserve">Review and Approval of Version 12 DQC Rules </w:t>
      </w:r>
    </w:p>
    <w:p w14:paraId="50D17AAB" w14:textId="29582C2D" w:rsidR="004D0930" w:rsidRDefault="00E2477A" w:rsidP="00F25E29">
      <w:pPr>
        <w:pStyle w:val="ListParagraph"/>
        <w:numPr>
          <w:ilvl w:val="0"/>
          <w:numId w:val="36"/>
        </w:numPr>
        <w:spacing w:line="332" w:lineRule="auto"/>
      </w:pPr>
      <w:r>
        <w:t xml:space="preserve">Joan explained that 6 rules </w:t>
      </w:r>
      <w:r w:rsidR="000A40AB">
        <w:t xml:space="preserve">were exposed for public review </w:t>
      </w:r>
      <w:r>
        <w:t>May 15</w:t>
      </w:r>
      <w:r w:rsidR="000A40AB">
        <w:t xml:space="preserve"> – </w:t>
      </w:r>
      <w:r>
        <w:t>July</w:t>
      </w:r>
      <w:r w:rsidR="00767E1A">
        <w:t xml:space="preserve"> </w:t>
      </w:r>
      <w:r>
        <w:t>1, 2020.  Minor comments</w:t>
      </w:r>
      <w:r w:rsidR="000A40AB">
        <w:t xml:space="preserve"> were</w:t>
      </w:r>
      <w:r>
        <w:t xml:space="preserve"> received from committee members</w:t>
      </w:r>
      <w:r w:rsidR="00767E1A">
        <w:t xml:space="preserve"> which were incorporated into the rules.  No public comments were received</w:t>
      </w:r>
      <w:r>
        <w:t>. The rules included</w:t>
      </w:r>
      <w:r w:rsidR="004D0930">
        <w:t>:</w:t>
      </w:r>
    </w:p>
    <w:p w14:paraId="707F028F" w14:textId="1F345FA7" w:rsidR="00672194" w:rsidRDefault="00672194" w:rsidP="00672194">
      <w:pPr>
        <w:pStyle w:val="ListParagraph"/>
        <w:numPr>
          <w:ilvl w:val="1"/>
          <w:numId w:val="36"/>
        </w:numPr>
        <w:spacing w:line="332" w:lineRule="auto"/>
      </w:pPr>
      <w:r>
        <w:t xml:space="preserve">DQC_0015 includes updates for elements </w:t>
      </w:r>
      <w:r w:rsidR="00DA56B5">
        <w:t>in the 2020 US GAAP Taxonomy that should not be input as negative</w:t>
      </w:r>
      <w:r>
        <w:t xml:space="preserve">.  </w:t>
      </w:r>
    </w:p>
    <w:p w14:paraId="0EF09AD6" w14:textId="554A6166" w:rsidR="00E2477A" w:rsidRDefault="00FD0BAE" w:rsidP="000A40AB">
      <w:pPr>
        <w:pStyle w:val="ListParagraph"/>
        <w:numPr>
          <w:ilvl w:val="1"/>
          <w:numId w:val="36"/>
        </w:numPr>
        <w:spacing w:line="332" w:lineRule="auto"/>
      </w:pPr>
      <w:r>
        <w:t xml:space="preserve">DQC_0091 </w:t>
      </w:r>
      <w:r w:rsidR="00BF57AD">
        <w:t xml:space="preserve">Invalid </w:t>
      </w:r>
      <w:r w:rsidR="00007E68">
        <w:t xml:space="preserve">Scale </w:t>
      </w:r>
      <w:r w:rsidR="00BF57AD">
        <w:t>for</w:t>
      </w:r>
      <w:r w:rsidR="00234902">
        <w:t xml:space="preserve"> Percentages </w:t>
      </w:r>
      <w:r>
        <w:t xml:space="preserve">– </w:t>
      </w:r>
      <w:r w:rsidR="00234902">
        <w:t xml:space="preserve">The intent of the rule is to identify those percentage items that have a scaling issue associated with them. </w:t>
      </w:r>
    </w:p>
    <w:p w14:paraId="615A17CC" w14:textId="2D266179" w:rsidR="00234902" w:rsidRDefault="00FD0BAE" w:rsidP="00234902">
      <w:pPr>
        <w:pStyle w:val="ListParagraph"/>
        <w:numPr>
          <w:ilvl w:val="1"/>
          <w:numId w:val="36"/>
        </w:numPr>
        <w:spacing w:line="332" w:lineRule="auto"/>
      </w:pPr>
      <w:r>
        <w:lastRenderedPageBreak/>
        <w:t xml:space="preserve">DQC_0092 </w:t>
      </w:r>
      <w:r w:rsidR="00C33392">
        <w:t xml:space="preserve">Non </w:t>
      </w:r>
      <w:r w:rsidR="00234902">
        <w:t>Positive Amounts</w:t>
      </w:r>
      <w:r w:rsidR="00C33392">
        <w:t xml:space="preserve"> </w:t>
      </w:r>
      <w:r w:rsidR="00DA56B5">
        <w:t>–</w:t>
      </w:r>
      <w:r>
        <w:t xml:space="preserve"> </w:t>
      </w:r>
      <w:r w:rsidR="00DA56B5">
        <w:t xml:space="preserve">This is for IFRS filings.  </w:t>
      </w:r>
      <w:r w:rsidR="00234902">
        <w:t xml:space="preserve">The intent of the rule is to identify those facts that have been entered with a </w:t>
      </w:r>
      <w:r w:rsidR="00C33392">
        <w:t>positive</w:t>
      </w:r>
      <w:r w:rsidR="00A842C9">
        <w:t xml:space="preserve"> value when the value</w:t>
      </w:r>
      <w:r w:rsidR="00234902">
        <w:t xml:space="preserve"> should have been a </w:t>
      </w:r>
      <w:r w:rsidR="00C33392">
        <w:t>negative</w:t>
      </w:r>
      <w:r w:rsidR="00234902">
        <w:t xml:space="preserve"> amount.</w:t>
      </w:r>
      <w:r w:rsidR="00C33392">
        <w:t xml:space="preserve">  </w:t>
      </w:r>
      <w:r w:rsidR="00E2477A">
        <w:t>There is a similar rule in the XBRL Formula Linkbase</w:t>
      </w:r>
    </w:p>
    <w:p w14:paraId="4E42C73D" w14:textId="2D8B4F45" w:rsidR="00FD0BAE" w:rsidRDefault="00234902" w:rsidP="00234902">
      <w:pPr>
        <w:pStyle w:val="ListParagraph"/>
        <w:numPr>
          <w:ilvl w:val="1"/>
          <w:numId w:val="36"/>
        </w:numPr>
        <w:spacing w:line="332" w:lineRule="auto"/>
      </w:pPr>
      <w:r>
        <w:t>DQC_0093 Durational Aggregation</w:t>
      </w:r>
      <w:r w:rsidR="00FD0BAE">
        <w:t xml:space="preserve"> –</w:t>
      </w:r>
      <w:r w:rsidR="00E2477A">
        <w:t xml:space="preserve"> </w:t>
      </w:r>
      <w:r w:rsidR="00767E1A">
        <w:t>This rule is for IFRS filings. The</w:t>
      </w:r>
      <w:r>
        <w:t xml:space="preserve"> rule identifies where the values of a durational element for a series of periods of time do not aggregate to the value representing the aggregated period in the instance.</w:t>
      </w:r>
      <w:r w:rsidR="00C33392">
        <w:t xml:space="preserve"> </w:t>
      </w:r>
      <w:r w:rsidR="00767E1A">
        <w:t>This rule has a tolerance factor for rounding.</w:t>
      </w:r>
      <w:r w:rsidR="00C33392">
        <w:t xml:space="preserve"> This rule </w:t>
      </w:r>
      <w:r w:rsidR="00767E1A">
        <w:t xml:space="preserve">is similar to and </w:t>
      </w:r>
      <w:r w:rsidR="00F563A2">
        <w:t xml:space="preserve">already </w:t>
      </w:r>
      <w:r w:rsidR="00C33392">
        <w:t>exists for US GAAP</w:t>
      </w:r>
      <w:r w:rsidR="00F224F1">
        <w:t xml:space="preserve"> (DQC_00</w:t>
      </w:r>
      <w:r w:rsidR="00F563A2">
        <w:t>84</w:t>
      </w:r>
      <w:r w:rsidR="00767E1A">
        <w:t>).</w:t>
      </w:r>
      <w:r w:rsidR="00FD0BAE">
        <w:t xml:space="preserve"> </w:t>
      </w:r>
    </w:p>
    <w:p w14:paraId="61B2EB9E" w14:textId="2CA14FD2" w:rsidR="00F563A2" w:rsidRDefault="00FD0BAE" w:rsidP="00E2477A">
      <w:pPr>
        <w:pStyle w:val="ListParagraph"/>
        <w:numPr>
          <w:ilvl w:val="1"/>
          <w:numId w:val="36"/>
        </w:numPr>
        <w:spacing w:line="332" w:lineRule="auto"/>
      </w:pPr>
      <w:r>
        <w:t>D</w:t>
      </w:r>
      <w:r w:rsidR="00234902">
        <w:t>QC_0094</w:t>
      </w:r>
      <w:r>
        <w:t xml:space="preserve"> </w:t>
      </w:r>
      <w:r w:rsidR="00234902">
        <w:t xml:space="preserve">Fiscal Maturities </w:t>
      </w:r>
      <w:r>
        <w:t>–</w:t>
      </w:r>
      <w:r w:rsidR="00961E9C">
        <w:t xml:space="preserve"> This rule is intended to check that the changes in the 2020 taxonomy (the definition of the maturity schedule elements has been clarified) are applied to t</w:t>
      </w:r>
      <w:r w:rsidR="00B40040">
        <w:t>he instance documents using the 2020</w:t>
      </w:r>
      <w:r w:rsidR="00D31522">
        <w:t xml:space="preserve"> (and subsequent) </w:t>
      </w:r>
      <w:r w:rsidR="00961E9C">
        <w:t xml:space="preserve">taxonomy.  </w:t>
      </w:r>
    </w:p>
    <w:p w14:paraId="72BF066B" w14:textId="5B68A7F8" w:rsidR="00961E9C" w:rsidRDefault="00961E9C" w:rsidP="00961E9C">
      <w:pPr>
        <w:pStyle w:val="ListParagraph"/>
        <w:numPr>
          <w:ilvl w:val="1"/>
          <w:numId w:val="36"/>
        </w:numPr>
        <w:spacing w:line="332" w:lineRule="auto"/>
      </w:pPr>
      <w:r>
        <w:t>DQC_0095 Scal</w:t>
      </w:r>
      <w:r w:rsidR="00B40040">
        <w:t>e Common Stock Outstanding</w:t>
      </w:r>
      <w:r w:rsidR="00FD0BAE">
        <w:t xml:space="preserve"> </w:t>
      </w:r>
      <w:r>
        <w:t>- The intent of the rule is to identify where filers have used an incorrect scale wh</w:t>
      </w:r>
      <w:r w:rsidR="00BF57AD">
        <w:t xml:space="preserve">en reporting </w:t>
      </w:r>
      <w:r w:rsidR="00B40040">
        <w:t>Common Stock Shares Outstanding</w:t>
      </w:r>
      <w:r w:rsidR="00E2477A">
        <w:t>.</w:t>
      </w:r>
      <w:r w:rsidR="00B40040">
        <w:t xml:space="preserve"> </w:t>
      </w:r>
    </w:p>
    <w:p w14:paraId="59B55B04" w14:textId="20FE386A" w:rsidR="00E2477A" w:rsidRDefault="00767E1A" w:rsidP="00961E9C">
      <w:pPr>
        <w:pStyle w:val="ListParagraph"/>
        <w:numPr>
          <w:ilvl w:val="1"/>
          <w:numId w:val="36"/>
        </w:numPr>
        <w:spacing w:line="332" w:lineRule="auto"/>
      </w:pPr>
      <w:r>
        <w:t>Proposed e</w:t>
      </w:r>
      <w:r w:rsidR="00E2477A">
        <w:t>ffective date for the</w:t>
      </w:r>
      <w:r w:rsidR="00DA56B5">
        <w:t>se</w:t>
      </w:r>
      <w:r w:rsidR="00E2477A">
        <w:t xml:space="preserve"> rule</w:t>
      </w:r>
      <w:r w:rsidR="00DA56B5">
        <w:t>s</w:t>
      </w:r>
      <w:r w:rsidR="00E2477A">
        <w:t xml:space="preserve"> </w:t>
      </w:r>
      <w:r>
        <w:t xml:space="preserve">is </w:t>
      </w:r>
      <w:r w:rsidR="00E2477A">
        <w:t>September 1, 2020</w:t>
      </w:r>
    </w:p>
    <w:p w14:paraId="2FE9A08B" w14:textId="5AD4EAFE" w:rsidR="00FD0BAE" w:rsidRPr="0013768C" w:rsidRDefault="00FD0BAE" w:rsidP="0013768C">
      <w:pPr>
        <w:pStyle w:val="ListParagraph"/>
        <w:numPr>
          <w:ilvl w:val="0"/>
          <w:numId w:val="36"/>
        </w:numPr>
        <w:spacing w:line="332" w:lineRule="auto"/>
      </w:pPr>
      <w:r w:rsidRPr="0013768C">
        <w:t>Motion to approve rules DQC_0091, DQC_0092, DQC_009</w:t>
      </w:r>
      <w:r w:rsidR="0013768C">
        <w:t>3</w:t>
      </w:r>
      <w:r w:rsidRPr="0013768C">
        <w:t>, DQC_0094, DQC_0095 and updates to DQC_0015</w:t>
      </w:r>
      <w:r w:rsidR="00703F48">
        <w:t xml:space="preserve"> effective September 1, 2020</w:t>
      </w:r>
      <w:r w:rsidRPr="0013768C">
        <w:t xml:space="preserve">, by </w:t>
      </w:r>
      <w:r w:rsidR="00E2477A">
        <w:t xml:space="preserve">Campbell Pryde, </w:t>
      </w:r>
      <w:r w:rsidRPr="0013768C">
        <w:t xml:space="preserve">seconded by </w:t>
      </w:r>
      <w:r w:rsidR="00E2477A" w:rsidRPr="0013768C">
        <w:t>Heather Krupa</w:t>
      </w:r>
    </w:p>
    <w:p w14:paraId="30C0CF89" w14:textId="2CB4484F" w:rsidR="00FD0BAE" w:rsidRPr="0013768C" w:rsidRDefault="00FD0BAE" w:rsidP="0013768C">
      <w:pPr>
        <w:pStyle w:val="ListParagraph"/>
        <w:numPr>
          <w:ilvl w:val="0"/>
          <w:numId w:val="36"/>
        </w:numPr>
        <w:spacing w:line="332" w:lineRule="auto"/>
      </w:pPr>
      <w:r w:rsidRPr="0013768C">
        <w:t xml:space="preserve">Vote (For </w:t>
      </w:r>
      <w:r w:rsidR="00E2477A">
        <w:t>6</w:t>
      </w:r>
      <w:r w:rsidRPr="0013768C">
        <w:t>, 0 Against)</w:t>
      </w:r>
    </w:p>
    <w:p w14:paraId="6FE688D8" w14:textId="53C6F1F4" w:rsidR="00FD0BAE" w:rsidRPr="0013768C" w:rsidRDefault="00FD0BAE" w:rsidP="0013768C">
      <w:pPr>
        <w:pStyle w:val="ListParagraph"/>
        <w:numPr>
          <w:ilvl w:val="0"/>
          <w:numId w:val="36"/>
        </w:numPr>
        <w:spacing w:line="332" w:lineRule="auto"/>
      </w:pPr>
      <w:r w:rsidRPr="0013768C">
        <w:t>Motion passed. Rules DQC_0091, DQC_0092, DQC_009</w:t>
      </w:r>
      <w:r w:rsidR="0013768C">
        <w:t>3</w:t>
      </w:r>
      <w:r w:rsidRPr="0013768C">
        <w:t>, DQC_0094, DQC_0095 and updates to DQC_0015</w:t>
      </w:r>
      <w:r w:rsidR="00703F48">
        <w:t xml:space="preserve"> </w:t>
      </w:r>
      <w:r w:rsidR="00DA56B5">
        <w:t xml:space="preserve">approved </w:t>
      </w:r>
      <w:r w:rsidR="00703F48">
        <w:t>effective September 1, 2020</w:t>
      </w:r>
      <w:r w:rsidR="009B296F">
        <w:t>.</w:t>
      </w:r>
      <w:r w:rsidRPr="0013768C">
        <w:t xml:space="preserve"> </w:t>
      </w:r>
    </w:p>
    <w:p w14:paraId="40D5D459" w14:textId="77777777" w:rsidR="00982A9C" w:rsidRDefault="00982A9C" w:rsidP="004208CB">
      <w:pPr>
        <w:spacing w:line="332" w:lineRule="auto"/>
        <w:rPr>
          <w:rFonts w:ascii="Arial" w:eastAsia="Arial" w:hAnsi="Arial" w:cs="Arial"/>
          <w:b/>
          <w:sz w:val="22"/>
        </w:rPr>
      </w:pPr>
    </w:p>
    <w:p w14:paraId="2528ECD6" w14:textId="77777777" w:rsidR="009B296F" w:rsidRPr="009B296F" w:rsidRDefault="009B296F" w:rsidP="009B296F">
      <w:pPr>
        <w:spacing w:line="332" w:lineRule="auto"/>
        <w:rPr>
          <w:rFonts w:ascii="Arial" w:eastAsia="Arial" w:hAnsi="Arial" w:cs="Arial"/>
          <w:b/>
          <w:sz w:val="22"/>
        </w:rPr>
      </w:pPr>
      <w:r w:rsidRPr="009B296F">
        <w:rPr>
          <w:rFonts w:ascii="Arial" w:eastAsia="Arial" w:hAnsi="Arial" w:cs="Arial"/>
          <w:b/>
          <w:sz w:val="22"/>
        </w:rPr>
        <w:t xml:space="preserve">Review and Approval of Version 13 DQC Rules for Public Review </w:t>
      </w:r>
    </w:p>
    <w:p w14:paraId="187B016E" w14:textId="77777777" w:rsidR="009B296F" w:rsidRPr="009B296F" w:rsidRDefault="009B296F" w:rsidP="009B296F">
      <w:pPr>
        <w:pStyle w:val="ListParagraph"/>
        <w:rPr>
          <w:b/>
          <w:bCs/>
        </w:rPr>
      </w:pPr>
    </w:p>
    <w:p w14:paraId="1E496906" w14:textId="77777777" w:rsidR="00840DF6" w:rsidRPr="00840DF6" w:rsidRDefault="00E2477A" w:rsidP="00840DF6">
      <w:pPr>
        <w:pStyle w:val="ListParagraph"/>
        <w:numPr>
          <w:ilvl w:val="0"/>
          <w:numId w:val="36"/>
        </w:numPr>
        <w:spacing w:line="332" w:lineRule="auto"/>
      </w:pPr>
      <w:r>
        <w:rPr>
          <w:bCs/>
        </w:rPr>
        <w:t>Campbell explained the rules proposed for version 13.</w:t>
      </w:r>
    </w:p>
    <w:p w14:paraId="1A4F6074" w14:textId="3434DFD6" w:rsidR="009B296F" w:rsidRDefault="009B296F" w:rsidP="00840DF6">
      <w:pPr>
        <w:pStyle w:val="ListParagraph"/>
        <w:numPr>
          <w:ilvl w:val="1"/>
          <w:numId w:val="36"/>
        </w:numPr>
        <w:spacing w:line="332" w:lineRule="auto"/>
      </w:pPr>
      <w:r w:rsidRPr="00840DF6">
        <w:rPr>
          <w:bCs/>
        </w:rPr>
        <w:t xml:space="preserve">DQC_0098 - Liability </w:t>
      </w:r>
      <w:r w:rsidRPr="009B296F">
        <w:t>Revenue Recognized</w:t>
      </w:r>
      <w:r w:rsidR="00E2477A">
        <w:t xml:space="preserve"> – </w:t>
      </w:r>
      <w:r w:rsidR="00295E54">
        <w:t xml:space="preserve">This rule will apply only to US GAAP filings.  </w:t>
      </w:r>
      <w:r w:rsidR="00767E1A">
        <w:t xml:space="preserve">The rule </w:t>
      </w:r>
      <w:r w:rsidR="00840DF6">
        <w:t xml:space="preserve">identifies where the Contract with Customer, Liability, Revenue Recognized is greater than the value of Contract </w:t>
      </w:r>
      <w:proofErr w:type="gramStart"/>
      <w:r w:rsidR="00840DF6">
        <w:t>With</w:t>
      </w:r>
      <w:proofErr w:type="gramEnd"/>
      <w:r w:rsidR="00840DF6">
        <w:t xml:space="preserve"> Customer Liability reported.  The rule compares the value of the opening balance of the liability to ensure that it is greater than or equal to the value recognized as revenue during the period.  </w:t>
      </w:r>
      <w:r w:rsidR="00E2477A">
        <w:t>There were 172 errors for 2020 to date for this rule.   There are 2 components to the rule</w:t>
      </w:r>
    </w:p>
    <w:p w14:paraId="37C3BCC4" w14:textId="08936CDF" w:rsidR="00295E54" w:rsidRDefault="00295E54" w:rsidP="00295E54">
      <w:pPr>
        <w:pStyle w:val="ListParagraph"/>
        <w:numPr>
          <w:ilvl w:val="1"/>
          <w:numId w:val="36"/>
        </w:numPr>
        <w:spacing w:line="332" w:lineRule="auto"/>
      </w:pPr>
      <w:r w:rsidRPr="00295E54">
        <w:t>“Contract with Customer, Liability, Revenue Recognized” &gt;  “Contract with Customer, Liability”</w:t>
      </w:r>
    </w:p>
    <w:p w14:paraId="4B72B2E2" w14:textId="0AEACDD0" w:rsidR="00295E54" w:rsidRPr="00295E54" w:rsidRDefault="00295E54" w:rsidP="00295E54">
      <w:pPr>
        <w:pStyle w:val="ListParagraph"/>
        <w:numPr>
          <w:ilvl w:val="1"/>
          <w:numId w:val="36"/>
        </w:numPr>
        <w:spacing w:line="332" w:lineRule="auto"/>
      </w:pPr>
      <w:r w:rsidRPr="00295E54">
        <w:lastRenderedPageBreak/>
        <w:t>“Contract with Customer, Liability</w:t>
      </w:r>
      <w:r>
        <w:t xml:space="preserve">, Revenue Recognized” &gt; </w:t>
      </w:r>
      <w:r w:rsidRPr="00295E54">
        <w:t>“Contract with Customer, Liability, Current” + “Contract with Cu</w:t>
      </w:r>
      <w:r>
        <w:t>stomer, Liability, Noncurrent.”</w:t>
      </w:r>
    </w:p>
    <w:p w14:paraId="2E5449E0" w14:textId="61408C14" w:rsidR="00D73839" w:rsidRDefault="009B296F" w:rsidP="00D73839">
      <w:pPr>
        <w:pStyle w:val="ListParagraph"/>
        <w:numPr>
          <w:ilvl w:val="0"/>
          <w:numId w:val="36"/>
        </w:numPr>
        <w:spacing w:line="332" w:lineRule="auto"/>
      </w:pPr>
      <w:r w:rsidRPr="009B296F">
        <w:t>DQC_0099 - FS with No Associated Calculation</w:t>
      </w:r>
      <w:r w:rsidR="00E2477A">
        <w:t xml:space="preserve"> –</w:t>
      </w:r>
      <w:r w:rsidR="00840DF6">
        <w:t xml:space="preserve"> An </w:t>
      </w:r>
      <w:r w:rsidR="00E2477A">
        <w:t>SEC rule requires that if there is a calculation it must be included</w:t>
      </w:r>
      <w:r w:rsidR="00840DF6">
        <w:t xml:space="preserve"> within the filing</w:t>
      </w:r>
      <w:r w:rsidR="00E2477A">
        <w:t>, but can</w:t>
      </w:r>
      <w:r w:rsidR="00840DF6">
        <w:t xml:space="preserve"> be anywhere in the filing.  This</w:t>
      </w:r>
      <w:r w:rsidR="00E2477A">
        <w:t xml:space="preserve"> rule looks at all monetary items in the presentation</w:t>
      </w:r>
      <w:r w:rsidR="00840DF6">
        <w:t xml:space="preserve"> linkbase</w:t>
      </w:r>
      <w:r w:rsidR="00E2477A">
        <w:t xml:space="preserve"> in face financial statements and checks that they participate in a calculation</w:t>
      </w:r>
      <w:r w:rsidR="00295E54">
        <w:t xml:space="preserve">.  </w:t>
      </w:r>
      <w:r w:rsidR="00840DF6">
        <w:t>The rule identifies where a monetary element is defined in the presentation linkbase of the filing for the Income Statement, the Balance Sheet, the Statement of Cash Flows and the Statement of Comprehensive Income and checks if a calculation is defined in any role of the company extension</w:t>
      </w:r>
      <w:r w:rsidR="00295E54">
        <w:t xml:space="preserve">.  </w:t>
      </w:r>
      <w:r w:rsidR="00D73839">
        <w:t xml:space="preserve">This rule is limited to US GAAP filings.  </w:t>
      </w:r>
    </w:p>
    <w:p w14:paraId="72340C9E" w14:textId="0597A08F" w:rsidR="009B296F" w:rsidRDefault="00295E54" w:rsidP="00840DF6">
      <w:pPr>
        <w:pStyle w:val="ListParagraph"/>
        <w:numPr>
          <w:ilvl w:val="1"/>
          <w:numId w:val="36"/>
        </w:numPr>
        <w:spacing w:line="332" w:lineRule="auto"/>
      </w:pPr>
      <w:r>
        <w:t xml:space="preserve">There are a number of valid exceptions for the rule. </w:t>
      </w:r>
    </w:p>
    <w:p w14:paraId="1D878BE9" w14:textId="77777777" w:rsidR="00E36483" w:rsidRDefault="00E36483" w:rsidP="00840DF6">
      <w:pPr>
        <w:pStyle w:val="ListParagraph"/>
        <w:numPr>
          <w:ilvl w:val="2"/>
          <w:numId w:val="36"/>
        </w:numPr>
        <w:spacing w:line="332" w:lineRule="auto"/>
      </w:pPr>
      <w:r>
        <w:t xml:space="preserve">For Statement of Cash Flow: </w:t>
      </w:r>
    </w:p>
    <w:p w14:paraId="7919A5A3" w14:textId="062CF9C9" w:rsidR="00295E54" w:rsidRDefault="00295E54" w:rsidP="00E36483">
      <w:pPr>
        <w:pStyle w:val="ListParagraph"/>
        <w:numPr>
          <w:ilvl w:val="3"/>
          <w:numId w:val="36"/>
        </w:numPr>
        <w:spacing w:line="332" w:lineRule="auto"/>
      </w:pPr>
      <w:r>
        <w:t xml:space="preserve">All supplemental disclosures </w:t>
      </w:r>
    </w:p>
    <w:p w14:paraId="7DBC64F3" w14:textId="0677530A" w:rsidR="00295E54" w:rsidRDefault="00295E54" w:rsidP="00E36483">
      <w:pPr>
        <w:pStyle w:val="ListParagraph"/>
        <w:numPr>
          <w:ilvl w:val="3"/>
          <w:numId w:val="36"/>
        </w:numPr>
        <w:spacing w:line="332" w:lineRule="auto"/>
      </w:pPr>
      <w:r>
        <w:t xml:space="preserve">All instant items </w:t>
      </w:r>
    </w:p>
    <w:p w14:paraId="3D875B41" w14:textId="2AB950E5" w:rsidR="00295E54" w:rsidRDefault="00295E54" w:rsidP="00E36483">
      <w:pPr>
        <w:pStyle w:val="ListParagraph"/>
        <w:numPr>
          <w:ilvl w:val="3"/>
          <w:numId w:val="36"/>
        </w:numPr>
        <w:spacing w:line="332" w:lineRule="auto"/>
      </w:pPr>
      <w:r>
        <w:t xml:space="preserve">Elements for effect of exchange rates </w:t>
      </w:r>
    </w:p>
    <w:p w14:paraId="4A7E1FA0" w14:textId="799B5534" w:rsidR="00295E54" w:rsidRDefault="00E36483" w:rsidP="00DA56B5">
      <w:pPr>
        <w:pStyle w:val="ListParagraph"/>
        <w:numPr>
          <w:ilvl w:val="3"/>
          <w:numId w:val="36"/>
        </w:numPr>
        <w:spacing w:line="332" w:lineRule="auto"/>
      </w:pPr>
      <w:r>
        <w:t>All noncash items identified in the</w:t>
      </w:r>
      <w:r w:rsidR="00295E54">
        <w:t xml:space="preserve"> US GAAP taxonomy </w:t>
      </w:r>
    </w:p>
    <w:p w14:paraId="1B06CB70" w14:textId="77777777" w:rsidR="00E36483" w:rsidRDefault="00295E54" w:rsidP="00840DF6">
      <w:pPr>
        <w:pStyle w:val="ListParagraph"/>
        <w:numPr>
          <w:ilvl w:val="2"/>
          <w:numId w:val="36"/>
        </w:numPr>
        <w:spacing w:line="332" w:lineRule="auto"/>
      </w:pPr>
      <w:r>
        <w:t>For income statement</w:t>
      </w:r>
      <w:r w:rsidR="00840DF6">
        <w:t>:</w:t>
      </w:r>
      <w:r>
        <w:t xml:space="preserve"> </w:t>
      </w:r>
    </w:p>
    <w:p w14:paraId="076B202A" w14:textId="77777777" w:rsidR="00E36483" w:rsidRDefault="00295E54" w:rsidP="00E36483">
      <w:pPr>
        <w:pStyle w:val="ListParagraph"/>
        <w:numPr>
          <w:ilvl w:val="3"/>
          <w:numId w:val="36"/>
        </w:numPr>
        <w:spacing w:line="332" w:lineRule="auto"/>
      </w:pPr>
      <w:r>
        <w:t>Comprehensive Income</w:t>
      </w:r>
    </w:p>
    <w:p w14:paraId="579D14EC" w14:textId="77777777" w:rsidR="00E36483" w:rsidRDefault="00295E54" w:rsidP="00E36483">
      <w:pPr>
        <w:pStyle w:val="ListParagraph"/>
        <w:numPr>
          <w:ilvl w:val="3"/>
          <w:numId w:val="36"/>
        </w:numPr>
        <w:spacing w:line="332" w:lineRule="auto"/>
      </w:pPr>
      <w:r>
        <w:t>Allocated Share Base</w:t>
      </w:r>
      <w:r w:rsidR="00840DF6">
        <w:t>d Compensation Expense</w:t>
      </w:r>
    </w:p>
    <w:p w14:paraId="7754CE52" w14:textId="04EF9916" w:rsidR="00295E54" w:rsidRDefault="00840DF6" w:rsidP="00E36483">
      <w:pPr>
        <w:pStyle w:val="ListParagraph"/>
        <w:numPr>
          <w:ilvl w:val="3"/>
          <w:numId w:val="36"/>
        </w:numPr>
        <w:spacing w:line="332" w:lineRule="auto"/>
      </w:pPr>
      <w:r>
        <w:t xml:space="preserve">Net </w:t>
      </w:r>
      <w:r w:rsidR="00295E54">
        <w:t>Income Loss Available To Common Stockholders Basic and diluted</w:t>
      </w:r>
    </w:p>
    <w:p w14:paraId="76D08302" w14:textId="77777777" w:rsidR="00E36483" w:rsidRDefault="00295E54" w:rsidP="00840DF6">
      <w:pPr>
        <w:pStyle w:val="ListParagraph"/>
        <w:numPr>
          <w:ilvl w:val="2"/>
          <w:numId w:val="36"/>
        </w:numPr>
        <w:spacing w:line="332" w:lineRule="auto"/>
      </w:pPr>
      <w:r>
        <w:t>For Balance Sheet</w:t>
      </w:r>
      <w:r w:rsidR="00840DF6">
        <w:t>:</w:t>
      </w:r>
      <w:r>
        <w:t xml:space="preserve"> </w:t>
      </w:r>
    </w:p>
    <w:p w14:paraId="3E941E78" w14:textId="383ECF66" w:rsidR="00295E54" w:rsidRDefault="00295E54" w:rsidP="00E36483">
      <w:pPr>
        <w:pStyle w:val="ListParagraph"/>
        <w:numPr>
          <w:ilvl w:val="3"/>
          <w:numId w:val="36"/>
        </w:numPr>
        <w:spacing w:line="332" w:lineRule="auto"/>
      </w:pPr>
      <w:r>
        <w:t xml:space="preserve">Commitments and Contingencies </w:t>
      </w:r>
    </w:p>
    <w:p w14:paraId="159404C6" w14:textId="5E952428" w:rsidR="00295E54" w:rsidRPr="009B296F" w:rsidRDefault="00295E54" w:rsidP="00295E54">
      <w:pPr>
        <w:pStyle w:val="ListParagraph"/>
        <w:spacing w:line="332" w:lineRule="auto"/>
        <w:ind w:left="1440"/>
      </w:pPr>
    </w:p>
    <w:p w14:paraId="730B0550" w14:textId="30FA4101" w:rsidR="00295E54" w:rsidRDefault="009B296F" w:rsidP="00295E54">
      <w:pPr>
        <w:pStyle w:val="ListParagraph"/>
        <w:numPr>
          <w:ilvl w:val="0"/>
          <w:numId w:val="36"/>
        </w:numPr>
        <w:spacing w:line="332" w:lineRule="auto"/>
      </w:pPr>
      <w:r w:rsidRPr="009B296F">
        <w:t>DQC_0100 – Invalid Consolidation Axis</w:t>
      </w:r>
      <w:r w:rsidR="00295E54">
        <w:t xml:space="preserve"> - This rule identifies where the filer has reported a fact value which uses the axis InvestmentsByConsolidatedAndNonconsolidatedEntitiesAxis. The rule checks for the existence of any facts that have used this axis and reports an error.  </w:t>
      </w:r>
      <w:r w:rsidR="00D73839">
        <w:t xml:space="preserve">This axis will be deprecated in 2021 so should not be used in 2020 filings.  </w:t>
      </w:r>
      <w:r w:rsidR="00295E54">
        <w:t>This rule on</w:t>
      </w:r>
      <w:r w:rsidR="00D73839">
        <w:t>ly exists for the 2020 taxonomy.</w:t>
      </w:r>
    </w:p>
    <w:p w14:paraId="2703724E" w14:textId="68A2AC93" w:rsidR="00D73839" w:rsidRDefault="00D73839" w:rsidP="009B296F">
      <w:pPr>
        <w:pStyle w:val="ListParagraph"/>
        <w:numPr>
          <w:ilvl w:val="0"/>
          <w:numId w:val="36"/>
        </w:numPr>
        <w:spacing w:line="332" w:lineRule="auto"/>
      </w:pPr>
      <w:r>
        <w:t xml:space="preserve">There were 2 other rules that </w:t>
      </w:r>
      <w:r w:rsidR="006864A3">
        <w:t xml:space="preserve">the </w:t>
      </w:r>
      <w:r>
        <w:t>working</w:t>
      </w:r>
      <w:r w:rsidR="00DA56B5">
        <w:t xml:space="preserve"> group i</w:t>
      </w:r>
      <w:r w:rsidR="00E36483">
        <w:t>s reviewing.  The</w:t>
      </w:r>
      <w:r>
        <w:t xml:space="preserve">se </w:t>
      </w:r>
      <w:r w:rsidR="00E36483">
        <w:t xml:space="preserve">related to the </w:t>
      </w:r>
      <w:r>
        <w:t>income statement and balance sheet location axis.  There were many errors</w:t>
      </w:r>
      <w:r w:rsidR="00E36483">
        <w:t xml:space="preserve"> related to these; however,</w:t>
      </w:r>
      <w:r>
        <w:t xml:space="preserve"> there is no guidance for filers on how to handle</w:t>
      </w:r>
      <w:r w:rsidR="00E36483">
        <w:t xml:space="preserve"> these situations</w:t>
      </w:r>
      <w:r>
        <w:t xml:space="preserve">.  This will be brought up </w:t>
      </w:r>
      <w:r w:rsidR="006864A3">
        <w:t>with</w:t>
      </w:r>
      <w:r>
        <w:t xml:space="preserve"> FASB </w:t>
      </w:r>
      <w:r w:rsidR="006864A3">
        <w:t>representatives.</w:t>
      </w:r>
      <w:r>
        <w:t xml:space="preserve">  </w:t>
      </w:r>
      <w:r w:rsidR="006864A3">
        <w:t xml:space="preserve">The proposed rules </w:t>
      </w:r>
      <w:r>
        <w:t>will be held until comprehensive guidance is developed to handle the situations that were found</w:t>
      </w:r>
      <w:r w:rsidR="006864A3">
        <w:t xml:space="preserve"> in the impact analysis</w:t>
      </w:r>
      <w:r>
        <w:t>.</w:t>
      </w:r>
    </w:p>
    <w:p w14:paraId="0E45977A" w14:textId="78B7746C" w:rsidR="00703F48" w:rsidRPr="009B296F" w:rsidRDefault="00D73839" w:rsidP="009B296F">
      <w:pPr>
        <w:pStyle w:val="ListParagraph"/>
        <w:numPr>
          <w:ilvl w:val="0"/>
          <w:numId w:val="36"/>
        </w:numPr>
        <w:spacing w:line="332" w:lineRule="auto"/>
      </w:pPr>
      <w:r>
        <w:lastRenderedPageBreak/>
        <w:t xml:space="preserve">Public </w:t>
      </w:r>
      <w:r w:rsidR="00703F48">
        <w:t>Review period</w:t>
      </w:r>
      <w:r>
        <w:t xml:space="preserve"> is proposed for</w:t>
      </w:r>
      <w:r w:rsidR="00703F48">
        <w:t xml:space="preserve"> August 1 - September 15, 2020.</w:t>
      </w:r>
    </w:p>
    <w:p w14:paraId="1C82A9CE" w14:textId="77777777" w:rsidR="00982A9C" w:rsidRDefault="00982A9C" w:rsidP="004208CB">
      <w:pPr>
        <w:spacing w:line="332" w:lineRule="auto"/>
        <w:rPr>
          <w:rFonts w:ascii="Arial" w:eastAsia="Arial" w:hAnsi="Arial" w:cs="Arial"/>
          <w:b/>
          <w:sz w:val="22"/>
        </w:rPr>
      </w:pPr>
    </w:p>
    <w:p w14:paraId="0552D154" w14:textId="2481B4CD" w:rsidR="009B296F" w:rsidRPr="0013768C" w:rsidRDefault="009B296F" w:rsidP="009B296F">
      <w:pPr>
        <w:pStyle w:val="ListParagraph"/>
        <w:numPr>
          <w:ilvl w:val="0"/>
          <w:numId w:val="36"/>
        </w:numPr>
        <w:spacing w:line="332" w:lineRule="auto"/>
      </w:pPr>
      <w:r w:rsidRPr="0013768C">
        <w:t>Motion to approve rules DQC_009</w:t>
      </w:r>
      <w:r>
        <w:t>8</w:t>
      </w:r>
      <w:r w:rsidRPr="0013768C">
        <w:t>, DQC_009</w:t>
      </w:r>
      <w:r>
        <w:t>9</w:t>
      </w:r>
      <w:r w:rsidR="00D73839">
        <w:t xml:space="preserve"> and</w:t>
      </w:r>
      <w:r w:rsidRPr="0013768C">
        <w:t xml:space="preserve"> DQC_0</w:t>
      </w:r>
      <w:r>
        <w:t>100 for public review</w:t>
      </w:r>
      <w:r w:rsidR="00E36483">
        <w:t xml:space="preserve"> August 1</w:t>
      </w:r>
      <w:r w:rsidR="00D73839">
        <w:t xml:space="preserve"> -</w:t>
      </w:r>
      <w:r w:rsidR="007D070E">
        <w:t xml:space="preserve"> </w:t>
      </w:r>
      <w:r w:rsidR="00D73839">
        <w:t xml:space="preserve">September 15, 2020, by Heather Krupa, </w:t>
      </w:r>
      <w:r w:rsidRPr="0013768C">
        <w:t>seconded by</w:t>
      </w:r>
      <w:r w:rsidR="00D73839">
        <w:t xml:space="preserve"> Glad Sully</w:t>
      </w:r>
      <w:r w:rsidRPr="0013768C">
        <w:t xml:space="preserve"> </w:t>
      </w:r>
    </w:p>
    <w:p w14:paraId="55354860" w14:textId="77777777" w:rsidR="009B296F" w:rsidRPr="0013768C" w:rsidRDefault="009B296F" w:rsidP="009B296F">
      <w:pPr>
        <w:pStyle w:val="ListParagraph"/>
        <w:numPr>
          <w:ilvl w:val="0"/>
          <w:numId w:val="36"/>
        </w:numPr>
        <w:spacing w:line="332" w:lineRule="auto"/>
      </w:pPr>
      <w:r w:rsidRPr="0013768C">
        <w:t>Vote (For 6, 0 Against)</w:t>
      </w:r>
    </w:p>
    <w:p w14:paraId="26F8FB05" w14:textId="6E480F10" w:rsidR="002F2803" w:rsidRPr="009B296F" w:rsidRDefault="009B296F" w:rsidP="009B296F">
      <w:pPr>
        <w:pStyle w:val="ListParagraph"/>
        <w:numPr>
          <w:ilvl w:val="0"/>
          <w:numId w:val="36"/>
        </w:numPr>
        <w:spacing w:line="332" w:lineRule="auto"/>
      </w:pPr>
      <w:r w:rsidRPr="0013768C">
        <w:t>Motion passed. Rules DQC_009</w:t>
      </w:r>
      <w:r>
        <w:t>8</w:t>
      </w:r>
      <w:r w:rsidRPr="0013768C">
        <w:t>, DQC_009</w:t>
      </w:r>
      <w:r>
        <w:t>9</w:t>
      </w:r>
      <w:r w:rsidRPr="0013768C">
        <w:t>, DQC_0</w:t>
      </w:r>
      <w:r>
        <w:t>100 approved for public review.</w:t>
      </w:r>
    </w:p>
    <w:p w14:paraId="33C95C44" w14:textId="77777777" w:rsidR="009B296F" w:rsidRDefault="009B296F">
      <w:pPr>
        <w:spacing w:line="332" w:lineRule="auto"/>
        <w:rPr>
          <w:rFonts w:ascii="Arial" w:eastAsia="Arial" w:hAnsi="Arial" w:cs="Arial"/>
          <w:sz w:val="22"/>
        </w:rPr>
      </w:pPr>
    </w:p>
    <w:p w14:paraId="4EE5775E" w14:textId="77777777" w:rsidR="009B296F" w:rsidRPr="009B296F" w:rsidRDefault="009B296F">
      <w:pPr>
        <w:spacing w:line="332" w:lineRule="auto"/>
        <w:rPr>
          <w:rFonts w:ascii="Arial" w:eastAsia="Arial" w:hAnsi="Arial" w:cs="Arial"/>
          <w:b/>
          <w:sz w:val="22"/>
        </w:rPr>
      </w:pPr>
      <w:r w:rsidRPr="009B296F">
        <w:rPr>
          <w:rFonts w:ascii="Arial" w:eastAsia="Arial" w:hAnsi="Arial" w:cs="Arial"/>
          <w:b/>
          <w:sz w:val="22"/>
        </w:rPr>
        <w:t>Anchoring</w:t>
      </w:r>
    </w:p>
    <w:p w14:paraId="163ECBD0" w14:textId="43C36C74" w:rsidR="009B296F" w:rsidRPr="008E3E5C" w:rsidRDefault="007D070E" w:rsidP="008E3E5C">
      <w:pPr>
        <w:pStyle w:val="ListParagraph"/>
        <w:numPr>
          <w:ilvl w:val="0"/>
          <w:numId w:val="40"/>
        </w:numPr>
        <w:spacing w:line="332" w:lineRule="auto"/>
      </w:pPr>
      <w:r w:rsidRPr="008E3E5C">
        <w:t xml:space="preserve">Joan </w:t>
      </w:r>
      <w:r w:rsidR="006864A3">
        <w:t xml:space="preserve">recalled </w:t>
      </w:r>
      <w:r w:rsidRPr="008E3E5C">
        <w:t>that Louis had presented</w:t>
      </w:r>
      <w:r w:rsidR="00E36483">
        <w:t xml:space="preserve"> the concept of anchoring to the DQC during the prior</w:t>
      </w:r>
      <w:r w:rsidRPr="008E3E5C">
        <w:t xml:space="preserve"> meeting.  </w:t>
      </w:r>
    </w:p>
    <w:p w14:paraId="4D8AAD9F" w14:textId="4C9D6CEF" w:rsidR="007D070E" w:rsidRDefault="007D070E" w:rsidP="008E3E5C">
      <w:pPr>
        <w:pStyle w:val="ListParagraph"/>
        <w:numPr>
          <w:ilvl w:val="0"/>
          <w:numId w:val="40"/>
        </w:numPr>
        <w:spacing w:line="332" w:lineRule="auto"/>
      </w:pPr>
      <w:r w:rsidRPr="008E3E5C">
        <w:t>Louis stated that there will</w:t>
      </w:r>
      <w:r w:rsidR="00DA56B5">
        <w:t xml:space="preserve"> be a discussion of anchoring at</w:t>
      </w:r>
      <w:r w:rsidRPr="008E3E5C">
        <w:t xml:space="preserve"> the next TAG</w:t>
      </w:r>
      <w:r w:rsidR="00E36483">
        <w:t xml:space="preserve"> meeting</w:t>
      </w:r>
      <w:r w:rsidRPr="008E3E5C">
        <w:t xml:space="preserve">. </w:t>
      </w:r>
      <w:r w:rsidR="00DA56B5">
        <w:t>Louis explained that the</w:t>
      </w:r>
      <w:r w:rsidRPr="008E3E5C">
        <w:t xml:space="preserve"> SEC announce</w:t>
      </w:r>
      <w:r w:rsidR="00E36483">
        <w:t xml:space="preserve">d that </w:t>
      </w:r>
      <w:r w:rsidRPr="008E3E5C">
        <w:t>anchoring</w:t>
      </w:r>
      <w:r w:rsidR="00E36483">
        <w:t xml:space="preserve"> is accepted by EDGAR</w:t>
      </w:r>
      <w:r w:rsidR="006864A3">
        <w:t xml:space="preserve"> and therefore would</w:t>
      </w:r>
      <w:r w:rsidRPr="008E3E5C">
        <w:t xml:space="preserve"> not preclude US GAAP filings</w:t>
      </w:r>
      <w:r w:rsidR="00E36483">
        <w:t xml:space="preserve"> from </w:t>
      </w:r>
      <w:r w:rsidR="006864A3">
        <w:t xml:space="preserve">using </w:t>
      </w:r>
      <w:r w:rsidR="00E36483">
        <w:t>anchoring</w:t>
      </w:r>
      <w:r w:rsidR="006864A3">
        <w:t xml:space="preserve"> in the form of the application of</w:t>
      </w:r>
      <w:bookmarkStart w:id="1" w:name="_GoBack"/>
      <w:bookmarkEnd w:id="1"/>
      <w:r w:rsidRPr="008E3E5C">
        <w:t xml:space="preserve"> the wider/narrower arc role.</w:t>
      </w:r>
      <w:r w:rsidR="008E3E5C">
        <w:t xml:space="preserve">  US GAAP filers may start to use this; therefore, guidance may be needed in this area.  </w:t>
      </w:r>
    </w:p>
    <w:p w14:paraId="3216F435" w14:textId="669A4C8B" w:rsidR="00E36483" w:rsidRDefault="008E3E5C" w:rsidP="008E3E5C">
      <w:pPr>
        <w:pStyle w:val="ListParagraph"/>
        <w:numPr>
          <w:ilvl w:val="0"/>
          <w:numId w:val="40"/>
        </w:numPr>
        <w:spacing w:line="332" w:lineRule="auto"/>
      </w:pPr>
      <w:r>
        <w:t>Campbell mentioned that there are requirements when using anchors</w:t>
      </w:r>
      <w:r w:rsidR="006864A3">
        <w:t xml:space="preserve"> </w:t>
      </w:r>
      <w:proofErr w:type="gramStart"/>
      <w:r w:rsidR="006864A3">
        <w:t>( for</w:t>
      </w:r>
      <w:proofErr w:type="gramEnd"/>
      <w:r w:rsidR="006864A3">
        <w:t xml:space="preserve"> example, matching of period types and item types);</w:t>
      </w:r>
      <w:r>
        <w:t xml:space="preserve"> we may want to consider these</w:t>
      </w:r>
      <w:r w:rsidR="00E36483">
        <w:t xml:space="preserve"> in developing guidance</w:t>
      </w:r>
      <w:r>
        <w:t xml:space="preserve">.  </w:t>
      </w:r>
    </w:p>
    <w:p w14:paraId="1FB55AD5" w14:textId="35A365CE" w:rsidR="008E3E5C" w:rsidRPr="008E3E5C" w:rsidRDefault="004C6EF7" w:rsidP="008E3E5C">
      <w:pPr>
        <w:pStyle w:val="ListParagraph"/>
        <w:numPr>
          <w:ilvl w:val="0"/>
          <w:numId w:val="40"/>
        </w:numPr>
        <w:spacing w:line="332" w:lineRule="auto"/>
      </w:pPr>
      <w:r>
        <w:t>Louis will discuss with</w:t>
      </w:r>
      <w:r w:rsidR="008E3E5C">
        <w:t xml:space="preserve"> SEC staff </w:t>
      </w:r>
      <w:r>
        <w:t xml:space="preserve">whether they are considering </w:t>
      </w:r>
      <w:r w:rsidR="008E3E5C">
        <w:t>these requirements.</w:t>
      </w:r>
    </w:p>
    <w:p w14:paraId="5C74E2A5" w14:textId="7DC4C68D" w:rsidR="007D070E" w:rsidRPr="008E3E5C" w:rsidRDefault="007D070E" w:rsidP="008E3E5C">
      <w:pPr>
        <w:pStyle w:val="ListParagraph"/>
        <w:numPr>
          <w:ilvl w:val="0"/>
          <w:numId w:val="40"/>
        </w:numPr>
        <w:spacing w:line="332" w:lineRule="auto"/>
      </w:pPr>
      <w:r w:rsidRPr="008E3E5C">
        <w:t xml:space="preserve">ESEF </w:t>
      </w:r>
      <w:r w:rsidR="00E36483">
        <w:t>released new guidance which</w:t>
      </w:r>
      <w:r w:rsidRPr="008E3E5C">
        <w:t xml:space="preserve"> allow</w:t>
      </w:r>
      <w:r w:rsidR="00E36483">
        <w:t>s</w:t>
      </w:r>
      <w:r w:rsidRPr="008E3E5C">
        <w:t xml:space="preserve"> for</w:t>
      </w:r>
      <w:r w:rsidR="00E36483">
        <w:t xml:space="preserve"> the use of members as</w:t>
      </w:r>
      <w:r w:rsidRPr="008E3E5C">
        <w:t xml:space="preserve"> a form of anchoring.</w:t>
      </w:r>
      <w:r w:rsidR="008E3E5C" w:rsidRPr="008E3E5C">
        <w:t xml:space="preserve">   </w:t>
      </w:r>
      <w:r w:rsidRPr="008E3E5C">
        <w:t>XII entity specific disclosure task force is exploring this topic.</w:t>
      </w:r>
    </w:p>
    <w:p w14:paraId="0101FF9F" w14:textId="77777777" w:rsidR="00E36483" w:rsidRDefault="00E36483">
      <w:pPr>
        <w:spacing w:line="332" w:lineRule="auto"/>
        <w:rPr>
          <w:rFonts w:ascii="Arial" w:eastAsia="Arial" w:hAnsi="Arial" w:cs="Arial"/>
          <w:b/>
          <w:sz w:val="22"/>
        </w:rPr>
      </w:pPr>
    </w:p>
    <w:p w14:paraId="0294CB6F" w14:textId="28F560F3" w:rsidR="007D070E" w:rsidRPr="00DD4015" w:rsidRDefault="00DD4015">
      <w:pPr>
        <w:spacing w:line="332" w:lineRule="auto"/>
        <w:rPr>
          <w:rFonts w:ascii="Arial" w:eastAsia="Arial" w:hAnsi="Arial" w:cs="Arial"/>
          <w:b/>
          <w:sz w:val="22"/>
        </w:rPr>
      </w:pPr>
      <w:r w:rsidRPr="00DD4015">
        <w:rPr>
          <w:rFonts w:ascii="Arial" w:eastAsia="Arial" w:hAnsi="Arial" w:cs="Arial"/>
          <w:b/>
          <w:sz w:val="22"/>
        </w:rPr>
        <w:t>Rule results</w:t>
      </w:r>
    </w:p>
    <w:p w14:paraId="53095B03" w14:textId="2599172E" w:rsidR="00DD4015" w:rsidRPr="00DD4015" w:rsidRDefault="00DD4015" w:rsidP="00DD4015">
      <w:pPr>
        <w:pStyle w:val="ListParagraph"/>
        <w:numPr>
          <w:ilvl w:val="0"/>
          <w:numId w:val="41"/>
        </w:numPr>
        <w:spacing w:line="332" w:lineRule="auto"/>
      </w:pPr>
      <w:r w:rsidRPr="00DD4015">
        <w:t>Campbell presented some of the graphs</w:t>
      </w:r>
      <w:r w:rsidR="00D01948">
        <w:t xml:space="preserve"> of errors that are presented</w:t>
      </w:r>
      <w:r w:rsidRPr="00DD4015">
        <w:t xml:space="preserve"> on the XBRL US website.  </w:t>
      </w:r>
      <w:r>
        <w:t>Many rules have improved from 2</w:t>
      </w:r>
      <w:r w:rsidRPr="00DD4015">
        <w:rPr>
          <w:vertAlign w:val="superscript"/>
        </w:rPr>
        <w:t>nd</w:t>
      </w:r>
      <w:r>
        <w:t xml:space="preserve"> quarter of prior year.</w:t>
      </w:r>
    </w:p>
    <w:p w14:paraId="3C58276A" w14:textId="587DEF01" w:rsidR="00DD4015" w:rsidRDefault="00DD4015" w:rsidP="00DD4015">
      <w:pPr>
        <w:pStyle w:val="ListParagraph"/>
        <w:numPr>
          <w:ilvl w:val="0"/>
          <w:numId w:val="41"/>
        </w:numPr>
        <w:spacing w:line="332" w:lineRule="auto"/>
      </w:pPr>
      <w:r w:rsidRPr="00DD4015">
        <w:t>Errors for nonnegative have improved for the 2</w:t>
      </w:r>
      <w:r w:rsidRPr="00DD4015">
        <w:rPr>
          <w:vertAlign w:val="superscript"/>
        </w:rPr>
        <w:t>nd</w:t>
      </w:r>
      <w:r w:rsidRPr="00DD4015">
        <w:t xml:space="preserve"> quarter.  This may be because the FASB has included this rule within the taxonomy. </w:t>
      </w:r>
    </w:p>
    <w:p w14:paraId="5DF8898F" w14:textId="77777777" w:rsidR="00DD4015" w:rsidRDefault="00DD4015">
      <w:pPr>
        <w:spacing w:line="332" w:lineRule="auto"/>
        <w:rPr>
          <w:rFonts w:ascii="Arial" w:eastAsia="Arial" w:hAnsi="Arial" w:cs="Arial"/>
          <w:sz w:val="22"/>
        </w:rPr>
      </w:pPr>
    </w:p>
    <w:p w14:paraId="6A796DE8" w14:textId="3316E5D7" w:rsidR="002C7013" w:rsidRDefault="00A02814">
      <w:pPr>
        <w:spacing w:line="332" w:lineRule="auto"/>
        <w:rPr>
          <w:rFonts w:ascii="Arial" w:eastAsia="Arial" w:hAnsi="Arial" w:cs="Arial"/>
          <w:sz w:val="22"/>
        </w:rPr>
      </w:pPr>
      <w:r>
        <w:rPr>
          <w:rFonts w:ascii="Arial" w:eastAsia="Arial" w:hAnsi="Arial" w:cs="Arial"/>
          <w:sz w:val="22"/>
        </w:rPr>
        <w:t>M</w:t>
      </w:r>
      <w:r w:rsidR="00CF688D">
        <w:rPr>
          <w:rFonts w:ascii="Arial" w:eastAsia="Arial" w:hAnsi="Arial" w:cs="Arial"/>
          <w:sz w:val="22"/>
        </w:rPr>
        <w:t xml:space="preserve">eeting adjourned </w:t>
      </w:r>
      <w:r w:rsidR="0093673C">
        <w:rPr>
          <w:rFonts w:ascii="Arial" w:eastAsia="Arial" w:hAnsi="Arial" w:cs="Arial"/>
          <w:sz w:val="22"/>
        </w:rPr>
        <w:t>1</w:t>
      </w:r>
      <w:r w:rsidR="00D01948">
        <w:rPr>
          <w:rFonts w:ascii="Arial" w:eastAsia="Arial" w:hAnsi="Arial" w:cs="Arial"/>
          <w:sz w:val="22"/>
        </w:rPr>
        <w:t>2</w:t>
      </w:r>
      <w:r w:rsidR="00476B5C">
        <w:rPr>
          <w:rFonts w:ascii="Arial" w:eastAsia="Arial" w:hAnsi="Arial" w:cs="Arial"/>
          <w:sz w:val="22"/>
        </w:rPr>
        <w:t>:</w:t>
      </w:r>
      <w:r w:rsidR="00D01948">
        <w:rPr>
          <w:rFonts w:ascii="Arial" w:eastAsia="Arial" w:hAnsi="Arial" w:cs="Arial"/>
          <w:sz w:val="22"/>
        </w:rPr>
        <w:t>45</w:t>
      </w:r>
      <w:r w:rsidR="009B296F">
        <w:rPr>
          <w:rFonts w:ascii="Arial" w:eastAsia="Arial" w:hAnsi="Arial" w:cs="Arial"/>
          <w:sz w:val="22"/>
        </w:rPr>
        <w:t>P</w:t>
      </w:r>
      <w:r w:rsidR="00A96BB0">
        <w:rPr>
          <w:rFonts w:ascii="Arial" w:eastAsia="Arial" w:hAnsi="Arial" w:cs="Arial"/>
          <w:sz w:val="22"/>
        </w:rPr>
        <w:t>M</w:t>
      </w:r>
      <w:r w:rsidR="002C763D">
        <w:rPr>
          <w:rFonts w:ascii="Arial" w:eastAsia="Arial" w:hAnsi="Arial" w:cs="Arial"/>
          <w:sz w:val="22"/>
        </w:rPr>
        <w:t>.</w:t>
      </w:r>
      <w:r w:rsidR="00E06B6F">
        <w:rPr>
          <w:rFonts w:ascii="Arial" w:eastAsia="Arial" w:hAnsi="Arial" w:cs="Arial"/>
          <w:sz w:val="22"/>
        </w:rPr>
        <w:t xml:space="preserve"> </w:t>
      </w:r>
    </w:p>
    <w:sectPr w:rsidR="002C7013">
      <w:headerReference w:type="default" r:id="rId8"/>
      <w:footerReference w:type="default" r:id="rId9"/>
      <w:pgSz w:w="12240" w:h="15840"/>
      <w:pgMar w:top="1440" w:right="1440" w:bottom="1440" w:left="1440" w:header="160" w:footer="1240" w:gutter="0"/>
      <w:pgNumType w:chapSep="period"/>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CFDFEB" w14:textId="77777777" w:rsidR="00D50358" w:rsidRDefault="00D50358">
      <w:r>
        <w:separator/>
      </w:r>
    </w:p>
  </w:endnote>
  <w:endnote w:type="continuationSeparator" w:id="0">
    <w:p w14:paraId="70242D3B" w14:textId="77777777" w:rsidR="00D50358" w:rsidRDefault="00D503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6FF7B5" w14:textId="77777777" w:rsidR="0052105C" w:rsidRDefault="0052105C">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221CE2" w14:textId="77777777" w:rsidR="00D50358" w:rsidRDefault="00D50358">
      <w:r>
        <w:separator/>
      </w:r>
    </w:p>
  </w:footnote>
  <w:footnote w:type="continuationSeparator" w:id="0">
    <w:p w14:paraId="42AF8DB5" w14:textId="77777777" w:rsidR="00D50358" w:rsidRDefault="00D503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D729EC" w14:textId="77777777" w:rsidR="0052105C" w:rsidRDefault="0052105C">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460B55"/>
    <w:multiLevelType w:val="hybridMultilevel"/>
    <w:tmpl w:val="D20ED854"/>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6286431"/>
    <w:multiLevelType w:val="multilevel"/>
    <w:tmpl w:val="EA6E41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6954374"/>
    <w:multiLevelType w:val="hybridMultilevel"/>
    <w:tmpl w:val="2E3AE38C"/>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B94515"/>
    <w:multiLevelType w:val="hybridMultilevel"/>
    <w:tmpl w:val="15163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105DEE"/>
    <w:multiLevelType w:val="hybridMultilevel"/>
    <w:tmpl w:val="91E2F1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9250B4E"/>
    <w:multiLevelType w:val="hybridMultilevel"/>
    <w:tmpl w:val="A4B8B3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AB337AB"/>
    <w:multiLevelType w:val="hybridMultilevel"/>
    <w:tmpl w:val="C910FC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C3A34C1"/>
    <w:multiLevelType w:val="multilevel"/>
    <w:tmpl w:val="FA809124"/>
    <w:lvl w:ilvl="0">
      <w:start w:val="1"/>
      <w:numFmt w:val="decimal"/>
      <w:lvlText w:val="%1."/>
      <w:lvlJc w:val="left"/>
      <w:pPr>
        <w:ind w:left="1800" w:hanging="360"/>
      </w:pPr>
      <w:rPr>
        <w:u w:val="none"/>
      </w:rPr>
    </w:lvl>
    <w:lvl w:ilvl="1">
      <w:start w:val="1"/>
      <w:numFmt w:val="lowerLetter"/>
      <w:lvlText w:val="%2."/>
      <w:lvlJc w:val="left"/>
      <w:pPr>
        <w:ind w:left="2520" w:hanging="360"/>
      </w:pPr>
      <w:rPr>
        <w:u w:val="none"/>
      </w:rPr>
    </w:lvl>
    <w:lvl w:ilvl="2">
      <w:start w:val="1"/>
      <w:numFmt w:val="lowerRoman"/>
      <w:lvlText w:val="%3."/>
      <w:lvlJc w:val="right"/>
      <w:pPr>
        <w:ind w:left="3240" w:hanging="360"/>
      </w:pPr>
      <w:rPr>
        <w:u w:val="none"/>
      </w:rPr>
    </w:lvl>
    <w:lvl w:ilvl="3">
      <w:start w:val="1"/>
      <w:numFmt w:val="decimal"/>
      <w:lvlText w:val="%4."/>
      <w:lvlJc w:val="left"/>
      <w:pPr>
        <w:ind w:left="3960" w:hanging="360"/>
      </w:pPr>
      <w:rPr>
        <w:u w:val="none"/>
      </w:rPr>
    </w:lvl>
    <w:lvl w:ilvl="4">
      <w:start w:val="1"/>
      <w:numFmt w:val="lowerLetter"/>
      <w:lvlText w:val="%5."/>
      <w:lvlJc w:val="left"/>
      <w:pPr>
        <w:ind w:left="4680" w:hanging="360"/>
      </w:pPr>
      <w:rPr>
        <w:u w:val="none"/>
      </w:rPr>
    </w:lvl>
    <w:lvl w:ilvl="5">
      <w:start w:val="1"/>
      <w:numFmt w:val="lowerRoman"/>
      <w:lvlText w:val="%6."/>
      <w:lvlJc w:val="right"/>
      <w:pPr>
        <w:ind w:left="5400" w:hanging="360"/>
      </w:pPr>
      <w:rPr>
        <w:u w:val="none"/>
      </w:rPr>
    </w:lvl>
    <w:lvl w:ilvl="6">
      <w:start w:val="1"/>
      <w:numFmt w:val="decimal"/>
      <w:lvlText w:val="%7."/>
      <w:lvlJc w:val="left"/>
      <w:pPr>
        <w:ind w:left="6120" w:hanging="360"/>
      </w:pPr>
      <w:rPr>
        <w:u w:val="none"/>
      </w:rPr>
    </w:lvl>
    <w:lvl w:ilvl="7">
      <w:start w:val="1"/>
      <w:numFmt w:val="lowerLetter"/>
      <w:lvlText w:val="%8."/>
      <w:lvlJc w:val="left"/>
      <w:pPr>
        <w:ind w:left="6840" w:hanging="360"/>
      </w:pPr>
      <w:rPr>
        <w:u w:val="none"/>
      </w:rPr>
    </w:lvl>
    <w:lvl w:ilvl="8">
      <w:start w:val="1"/>
      <w:numFmt w:val="lowerRoman"/>
      <w:lvlText w:val="%9."/>
      <w:lvlJc w:val="right"/>
      <w:pPr>
        <w:ind w:left="7560" w:hanging="360"/>
      </w:pPr>
      <w:rPr>
        <w:u w:val="none"/>
      </w:rPr>
    </w:lvl>
  </w:abstractNum>
  <w:abstractNum w:abstractNumId="8" w15:restartNumberingAfterBreak="0">
    <w:nsid w:val="0EF924AE"/>
    <w:multiLevelType w:val="multilevel"/>
    <w:tmpl w:val="C4B874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4BF11B7"/>
    <w:multiLevelType w:val="multilevel"/>
    <w:tmpl w:val="B3F2E22A"/>
    <w:lvl w:ilvl="0">
      <w:start w:val="1"/>
      <w:numFmt w:val="bullet"/>
      <w:lvlText w:val="o"/>
      <w:lvlJc w:val="left"/>
      <w:pPr>
        <w:ind w:left="720" w:hanging="360"/>
      </w:pPr>
      <w:rPr>
        <w:rFonts w:ascii="Courier New" w:hAnsi="Courier New" w:cs="Courier New"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14C74E72"/>
    <w:multiLevelType w:val="hybridMultilevel"/>
    <w:tmpl w:val="7C3EDE9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1D6B3F30"/>
    <w:multiLevelType w:val="hybridMultilevel"/>
    <w:tmpl w:val="99640464"/>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56C4F40"/>
    <w:multiLevelType w:val="hybridMultilevel"/>
    <w:tmpl w:val="39A625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F022791"/>
    <w:multiLevelType w:val="hybridMultilevel"/>
    <w:tmpl w:val="C308C1B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21048BA"/>
    <w:multiLevelType w:val="hybridMultilevel"/>
    <w:tmpl w:val="8A344F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29422D4"/>
    <w:multiLevelType w:val="hybridMultilevel"/>
    <w:tmpl w:val="A7AE5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61D4008"/>
    <w:multiLevelType w:val="hybridMultilevel"/>
    <w:tmpl w:val="62FA6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CF65DFE"/>
    <w:multiLevelType w:val="hybridMultilevel"/>
    <w:tmpl w:val="4E0A4E24"/>
    <w:lvl w:ilvl="0" w:tplc="365CC1AE">
      <w:start w:val="1"/>
      <w:numFmt w:val="bullet"/>
      <w:lvlText w:val="•"/>
      <w:lvlJc w:val="left"/>
      <w:pPr>
        <w:tabs>
          <w:tab w:val="num" w:pos="720"/>
        </w:tabs>
        <w:ind w:left="720" w:hanging="360"/>
      </w:pPr>
      <w:rPr>
        <w:rFonts w:ascii="Arial" w:hAnsi="Arial" w:hint="default"/>
      </w:rPr>
    </w:lvl>
    <w:lvl w:ilvl="1" w:tplc="E1E46E98">
      <w:numFmt w:val="bullet"/>
      <w:lvlText w:val="–"/>
      <w:lvlJc w:val="left"/>
      <w:pPr>
        <w:tabs>
          <w:tab w:val="num" w:pos="1440"/>
        </w:tabs>
        <w:ind w:left="1440" w:hanging="360"/>
      </w:pPr>
      <w:rPr>
        <w:rFonts w:ascii="Arial" w:hAnsi="Arial" w:hint="default"/>
      </w:rPr>
    </w:lvl>
    <w:lvl w:ilvl="2" w:tplc="538C784C" w:tentative="1">
      <w:start w:val="1"/>
      <w:numFmt w:val="bullet"/>
      <w:lvlText w:val="•"/>
      <w:lvlJc w:val="left"/>
      <w:pPr>
        <w:tabs>
          <w:tab w:val="num" w:pos="2160"/>
        </w:tabs>
        <w:ind w:left="2160" w:hanging="360"/>
      </w:pPr>
      <w:rPr>
        <w:rFonts w:ascii="Arial" w:hAnsi="Arial" w:hint="default"/>
      </w:rPr>
    </w:lvl>
    <w:lvl w:ilvl="3" w:tplc="6F2A1E10" w:tentative="1">
      <w:start w:val="1"/>
      <w:numFmt w:val="bullet"/>
      <w:lvlText w:val="•"/>
      <w:lvlJc w:val="left"/>
      <w:pPr>
        <w:tabs>
          <w:tab w:val="num" w:pos="2880"/>
        </w:tabs>
        <w:ind w:left="2880" w:hanging="360"/>
      </w:pPr>
      <w:rPr>
        <w:rFonts w:ascii="Arial" w:hAnsi="Arial" w:hint="default"/>
      </w:rPr>
    </w:lvl>
    <w:lvl w:ilvl="4" w:tplc="D098E7B0" w:tentative="1">
      <w:start w:val="1"/>
      <w:numFmt w:val="bullet"/>
      <w:lvlText w:val="•"/>
      <w:lvlJc w:val="left"/>
      <w:pPr>
        <w:tabs>
          <w:tab w:val="num" w:pos="3600"/>
        </w:tabs>
        <w:ind w:left="3600" w:hanging="360"/>
      </w:pPr>
      <w:rPr>
        <w:rFonts w:ascii="Arial" w:hAnsi="Arial" w:hint="default"/>
      </w:rPr>
    </w:lvl>
    <w:lvl w:ilvl="5" w:tplc="FA540BAC" w:tentative="1">
      <w:start w:val="1"/>
      <w:numFmt w:val="bullet"/>
      <w:lvlText w:val="•"/>
      <w:lvlJc w:val="left"/>
      <w:pPr>
        <w:tabs>
          <w:tab w:val="num" w:pos="4320"/>
        </w:tabs>
        <w:ind w:left="4320" w:hanging="360"/>
      </w:pPr>
      <w:rPr>
        <w:rFonts w:ascii="Arial" w:hAnsi="Arial" w:hint="default"/>
      </w:rPr>
    </w:lvl>
    <w:lvl w:ilvl="6" w:tplc="151AEC24" w:tentative="1">
      <w:start w:val="1"/>
      <w:numFmt w:val="bullet"/>
      <w:lvlText w:val="•"/>
      <w:lvlJc w:val="left"/>
      <w:pPr>
        <w:tabs>
          <w:tab w:val="num" w:pos="5040"/>
        </w:tabs>
        <w:ind w:left="5040" w:hanging="360"/>
      </w:pPr>
      <w:rPr>
        <w:rFonts w:ascii="Arial" w:hAnsi="Arial" w:hint="default"/>
      </w:rPr>
    </w:lvl>
    <w:lvl w:ilvl="7" w:tplc="D8EEE312" w:tentative="1">
      <w:start w:val="1"/>
      <w:numFmt w:val="bullet"/>
      <w:lvlText w:val="•"/>
      <w:lvlJc w:val="left"/>
      <w:pPr>
        <w:tabs>
          <w:tab w:val="num" w:pos="5760"/>
        </w:tabs>
        <w:ind w:left="5760" w:hanging="360"/>
      </w:pPr>
      <w:rPr>
        <w:rFonts w:ascii="Arial" w:hAnsi="Arial" w:hint="default"/>
      </w:rPr>
    </w:lvl>
    <w:lvl w:ilvl="8" w:tplc="B92C4A48"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3F9D3491"/>
    <w:multiLevelType w:val="multilevel"/>
    <w:tmpl w:val="B8169164"/>
    <w:lvl w:ilvl="0">
      <w:start w:val="1"/>
      <w:numFmt w:val="bullet"/>
      <w:lvlText w:val="●"/>
      <w:lvlJc w:val="left"/>
      <w:pPr>
        <w:ind w:left="1080" w:hanging="360"/>
      </w:pPr>
      <w:rPr>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19" w15:restartNumberingAfterBreak="0">
    <w:nsid w:val="4186710E"/>
    <w:multiLevelType w:val="hybridMultilevel"/>
    <w:tmpl w:val="00143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2E93073"/>
    <w:multiLevelType w:val="hybridMultilevel"/>
    <w:tmpl w:val="ADF03EFC"/>
    <w:lvl w:ilvl="0" w:tplc="D7D83C04">
      <w:start w:val="1"/>
      <w:numFmt w:val="bullet"/>
      <w:lvlText w:val="•"/>
      <w:lvlJc w:val="left"/>
      <w:pPr>
        <w:tabs>
          <w:tab w:val="num" w:pos="720"/>
        </w:tabs>
        <w:ind w:left="720" w:hanging="360"/>
      </w:pPr>
      <w:rPr>
        <w:rFonts w:ascii="Arial" w:hAnsi="Arial" w:hint="default"/>
      </w:rPr>
    </w:lvl>
    <w:lvl w:ilvl="1" w:tplc="ED6E1BE2" w:tentative="1">
      <w:start w:val="1"/>
      <w:numFmt w:val="bullet"/>
      <w:lvlText w:val="•"/>
      <w:lvlJc w:val="left"/>
      <w:pPr>
        <w:tabs>
          <w:tab w:val="num" w:pos="1440"/>
        </w:tabs>
        <w:ind w:left="1440" w:hanging="360"/>
      </w:pPr>
      <w:rPr>
        <w:rFonts w:ascii="Arial" w:hAnsi="Arial" w:hint="default"/>
      </w:rPr>
    </w:lvl>
    <w:lvl w:ilvl="2" w:tplc="FF1C667E" w:tentative="1">
      <w:start w:val="1"/>
      <w:numFmt w:val="bullet"/>
      <w:lvlText w:val="•"/>
      <w:lvlJc w:val="left"/>
      <w:pPr>
        <w:tabs>
          <w:tab w:val="num" w:pos="2160"/>
        </w:tabs>
        <w:ind w:left="2160" w:hanging="360"/>
      </w:pPr>
      <w:rPr>
        <w:rFonts w:ascii="Arial" w:hAnsi="Arial" w:hint="default"/>
      </w:rPr>
    </w:lvl>
    <w:lvl w:ilvl="3" w:tplc="63AC23AE" w:tentative="1">
      <w:start w:val="1"/>
      <w:numFmt w:val="bullet"/>
      <w:lvlText w:val="•"/>
      <w:lvlJc w:val="left"/>
      <w:pPr>
        <w:tabs>
          <w:tab w:val="num" w:pos="2880"/>
        </w:tabs>
        <w:ind w:left="2880" w:hanging="360"/>
      </w:pPr>
      <w:rPr>
        <w:rFonts w:ascii="Arial" w:hAnsi="Arial" w:hint="default"/>
      </w:rPr>
    </w:lvl>
    <w:lvl w:ilvl="4" w:tplc="45F8933C" w:tentative="1">
      <w:start w:val="1"/>
      <w:numFmt w:val="bullet"/>
      <w:lvlText w:val="•"/>
      <w:lvlJc w:val="left"/>
      <w:pPr>
        <w:tabs>
          <w:tab w:val="num" w:pos="3600"/>
        </w:tabs>
        <w:ind w:left="3600" w:hanging="360"/>
      </w:pPr>
      <w:rPr>
        <w:rFonts w:ascii="Arial" w:hAnsi="Arial" w:hint="default"/>
      </w:rPr>
    </w:lvl>
    <w:lvl w:ilvl="5" w:tplc="CAACE4F2" w:tentative="1">
      <w:start w:val="1"/>
      <w:numFmt w:val="bullet"/>
      <w:lvlText w:val="•"/>
      <w:lvlJc w:val="left"/>
      <w:pPr>
        <w:tabs>
          <w:tab w:val="num" w:pos="4320"/>
        </w:tabs>
        <w:ind w:left="4320" w:hanging="360"/>
      </w:pPr>
      <w:rPr>
        <w:rFonts w:ascii="Arial" w:hAnsi="Arial" w:hint="default"/>
      </w:rPr>
    </w:lvl>
    <w:lvl w:ilvl="6" w:tplc="CAFA6F86" w:tentative="1">
      <w:start w:val="1"/>
      <w:numFmt w:val="bullet"/>
      <w:lvlText w:val="•"/>
      <w:lvlJc w:val="left"/>
      <w:pPr>
        <w:tabs>
          <w:tab w:val="num" w:pos="5040"/>
        </w:tabs>
        <w:ind w:left="5040" w:hanging="360"/>
      </w:pPr>
      <w:rPr>
        <w:rFonts w:ascii="Arial" w:hAnsi="Arial" w:hint="default"/>
      </w:rPr>
    </w:lvl>
    <w:lvl w:ilvl="7" w:tplc="08CAB200" w:tentative="1">
      <w:start w:val="1"/>
      <w:numFmt w:val="bullet"/>
      <w:lvlText w:val="•"/>
      <w:lvlJc w:val="left"/>
      <w:pPr>
        <w:tabs>
          <w:tab w:val="num" w:pos="5760"/>
        </w:tabs>
        <w:ind w:left="5760" w:hanging="360"/>
      </w:pPr>
      <w:rPr>
        <w:rFonts w:ascii="Arial" w:hAnsi="Arial" w:hint="default"/>
      </w:rPr>
    </w:lvl>
    <w:lvl w:ilvl="8" w:tplc="410CD38C"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461F5E6C"/>
    <w:multiLevelType w:val="hybridMultilevel"/>
    <w:tmpl w:val="4D8C4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8B62BD1"/>
    <w:multiLevelType w:val="hybridMultilevel"/>
    <w:tmpl w:val="7F184D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D98065D"/>
    <w:multiLevelType w:val="hybridMultilevel"/>
    <w:tmpl w:val="B574A8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DA336A3"/>
    <w:multiLevelType w:val="hybridMultilevel"/>
    <w:tmpl w:val="81E24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FC5779B"/>
    <w:multiLevelType w:val="hybridMultilevel"/>
    <w:tmpl w:val="7348F05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50E93738"/>
    <w:multiLevelType w:val="hybridMultilevel"/>
    <w:tmpl w:val="3BA22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61827D9"/>
    <w:multiLevelType w:val="hybridMultilevel"/>
    <w:tmpl w:val="E39A25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8197577"/>
    <w:multiLevelType w:val="hybridMultilevel"/>
    <w:tmpl w:val="4FB07B50"/>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start w:val="1"/>
      <w:numFmt w:val="bullet"/>
      <w:lvlText w:val=""/>
      <w:lvlJc w:val="left"/>
      <w:pPr>
        <w:ind w:left="2220" w:hanging="360"/>
      </w:pPr>
      <w:rPr>
        <w:rFonts w:ascii="Wingdings" w:hAnsi="Wingdings" w:hint="default"/>
      </w:rPr>
    </w:lvl>
    <w:lvl w:ilvl="3" w:tplc="0409000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9" w15:restartNumberingAfterBreak="0">
    <w:nsid w:val="58A16288"/>
    <w:multiLevelType w:val="hybridMultilevel"/>
    <w:tmpl w:val="7826C8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BDD08F4"/>
    <w:multiLevelType w:val="hybridMultilevel"/>
    <w:tmpl w:val="684A7D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5E0112C3"/>
    <w:multiLevelType w:val="hybridMultilevel"/>
    <w:tmpl w:val="941437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F7843EC"/>
    <w:multiLevelType w:val="hybridMultilevel"/>
    <w:tmpl w:val="A45044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4038BF"/>
    <w:multiLevelType w:val="hybridMultilevel"/>
    <w:tmpl w:val="7D8830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2645A15"/>
    <w:multiLevelType w:val="hybridMultilevel"/>
    <w:tmpl w:val="AA5052F4"/>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5" w15:restartNumberingAfterBreak="0">
    <w:nsid w:val="65A239AC"/>
    <w:multiLevelType w:val="hybridMultilevel"/>
    <w:tmpl w:val="E0F002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A1856B4"/>
    <w:multiLevelType w:val="hybridMultilevel"/>
    <w:tmpl w:val="DD988C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2462559"/>
    <w:multiLevelType w:val="hybridMultilevel"/>
    <w:tmpl w:val="243439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8F35634"/>
    <w:multiLevelType w:val="multilevel"/>
    <w:tmpl w:val="A560EB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9" w15:restartNumberingAfterBreak="0">
    <w:nsid w:val="7ABF48DC"/>
    <w:multiLevelType w:val="hybridMultilevel"/>
    <w:tmpl w:val="B3BA75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F5F3A46"/>
    <w:multiLevelType w:val="hybridMultilevel"/>
    <w:tmpl w:val="9C8C2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5"/>
  </w:num>
  <w:num w:numId="2">
    <w:abstractNumId w:val="22"/>
  </w:num>
  <w:num w:numId="3">
    <w:abstractNumId w:val="13"/>
  </w:num>
  <w:num w:numId="4">
    <w:abstractNumId w:val="16"/>
  </w:num>
  <w:num w:numId="5">
    <w:abstractNumId w:val="29"/>
  </w:num>
  <w:num w:numId="6">
    <w:abstractNumId w:val="39"/>
  </w:num>
  <w:num w:numId="7">
    <w:abstractNumId w:val="30"/>
  </w:num>
  <w:num w:numId="8">
    <w:abstractNumId w:val="28"/>
  </w:num>
  <w:num w:numId="9">
    <w:abstractNumId w:val="40"/>
  </w:num>
  <w:num w:numId="10">
    <w:abstractNumId w:val="27"/>
  </w:num>
  <w:num w:numId="11">
    <w:abstractNumId w:val="31"/>
  </w:num>
  <w:num w:numId="12">
    <w:abstractNumId w:val="21"/>
  </w:num>
  <w:num w:numId="13">
    <w:abstractNumId w:val="23"/>
  </w:num>
  <w:num w:numId="14">
    <w:abstractNumId w:val="17"/>
  </w:num>
  <w:num w:numId="15">
    <w:abstractNumId w:val="20"/>
  </w:num>
  <w:num w:numId="16">
    <w:abstractNumId w:val="6"/>
  </w:num>
  <w:num w:numId="17">
    <w:abstractNumId w:val="2"/>
  </w:num>
  <w:num w:numId="18">
    <w:abstractNumId w:val="10"/>
  </w:num>
  <w:num w:numId="19">
    <w:abstractNumId w:val="33"/>
  </w:num>
  <w:num w:numId="20">
    <w:abstractNumId w:val="7"/>
  </w:num>
  <w:num w:numId="21">
    <w:abstractNumId w:val="9"/>
  </w:num>
  <w:num w:numId="22">
    <w:abstractNumId w:val="1"/>
  </w:num>
  <w:num w:numId="23">
    <w:abstractNumId w:val="34"/>
  </w:num>
  <w:num w:numId="24">
    <w:abstractNumId w:val="4"/>
  </w:num>
  <w:num w:numId="25">
    <w:abstractNumId w:val="24"/>
  </w:num>
  <w:num w:numId="26">
    <w:abstractNumId w:val="26"/>
  </w:num>
  <w:num w:numId="27">
    <w:abstractNumId w:val="5"/>
  </w:num>
  <w:num w:numId="28">
    <w:abstractNumId w:val="32"/>
  </w:num>
  <w:num w:numId="29">
    <w:abstractNumId w:val="8"/>
  </w:num>
  <w:num w:numId="30">
    <w:abstractNumId w:val="12"/>
  </w:num>
  <w:num w:numId="31">
    <w:abstractNumId w:val="0"/>
  </w:num>
  <w:num w:numId="32">
    <w:abstractNumId w:val="25"/>
  </w:num>
  <w:num w:numId="33">
    <w:abstractNumId w:val="15"/>
  </w:num>
  <w:num w:numId="34">
    <w:abstractNumId w:val="38"/>
  </w:num>
  <w:num w:numId="35">
    <w:abstractNumId w:val="11"/>
  </w:num>
  <w:num w:numId="36">
    <w:abstractNumId w:val="36"/>
  </w:num>
  <w:num w:numId="37">
    <w:abstractNumId w:val="3"/>
  </w:num>
  <w:num w:numId="38">
    <w:abstractNumId w:val="19"/>
  </w:num>
  <w:num w:numId="39">
    <w:abstractNumId w:val="18"/>
  </w:num>
  <w:num w:numId="40">
    <w:abstractNumId w:val="14"/>
  </w:num>
  <w:num w:numId="41">
    <w:abstractNumId w:val="37"/>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4581"/>
    <w:rsid w:val="000016D8"/>
    <w:rsid w:val="000065BF"/>
    <w:rsid w:val="000075A0"/>
    <w:rsid w:val="00007E68"/>
    <w:rsid w:val="000127F5"/>
    <w:rsid w:val="00016AA4"/>
    <w:rsid w:val="00016F7E"/>
    <w:rsid w:val="000204AB"/>
    <w:rsid w:val="00020EA9"/>
    <w:rsid w:val="00021BB0"/>
    <w:rsid w:val="00026C18"/>
    <w:rsid w:val="00043834"/>
    <w:rsid w:val="00052B41"/>
    <w:rsid w:val="000558DD"/>
    <w:rsid w:val="00056425"/>
    <w:rsid w:val="0005737B"/>
    <w:rsid w:val="00070FA9"/>
    <w:rsid w:val="00075261"/>
    <w:rsid w:val="00076C96"/>
    <w:rsid w:val="00080874"/>
    <w:rsid w:val="000815EF"/>
    <w:rsid w:val="000A40AB"/>
    <w:rsid w:val="000A67DF"/>
    <w:rsid w:val="000B7303"/>
    <w:rsid w:val="000C4DBF"/>
    <w:rsid w:val="000C5EDD"/>
    <w:rsid w:val="000D32C7"/>
    <w:rsid w:val="000D521E"/>
    <w:rsid w:val="000E1397"/>
    <w:rsid w:val="000E1FFC"/>
    <w:rsid w:val="000E2734"/>
    <w:rsid w:val="000E2D28"/>
    <w:rsid w:val="000E66B1"/>
    <w:rsid w:val="000E7DCC"/>
    <w:rsid w:val="000F2604"/>
    <w:rsid w:val="000F4123"/>
    <w:rsid w:val="000F59DE"/>
    <w:rsid w:val="001046DD"/>
    <w:rsid w:val="00116D46"/>
    <w:rsid w:val="00122964"/>
    <w:rsid w:val="00126640"/>
    <w:rsid w:val="00135A3A"/>
    <w:rsid w:val="001369D9"/>
    <w:rsid w:val="0013768C"/>
    <w:rsid w:val="001410BB"/>
    <w:rsid w:val="00143014"/>
    <w:rsid w:val="001436D9"/>
    <w:rsid w:val="00144ADB"/>
    <w:rsid w:val="001469D0"/>
    <w:rsid w:val="00151CA6"/>
    <w:rsid w:val="00154EEA"/>
    <w:rsid w:val="0015637A"/>
    <w:rsid w:val="00164F24"/>
    <w:rsid w:val="00173232"/>
    <w:rsid w:val="00193771"/>
    <w:rsid w:val="00197558"/>
    <w:rsid w:val="001A0737"/>
    <w:rsid w:val="001A0D9A"/>
    <w:rsid w:val="001A36D1"/>
    <w:rsid w:val="001A3C89"/>
    <w:rsid w:val="001C59CC"/>
    <w:rsid w:val="001D383E"/>
    <w:rsid w:val="00212E84"/>
    <w:rsid w:val="0021499F"/>
    <w:rsid w:val="00220D59"/>
    <w:rsid w:val="00230A9B"/>
    <w:rsid w:val="00234902"/>
    <w:rsid w:val="00235DD8"/>
    <w:rsid w:val="0024118F"/>
    <w:rsid w:val="00242E5A"/>
    <w:rsid w:val="0025152A"/>
    <w:rsid w:val="00254C84"/>
    <w:rsid w:val="00261302"/>
    <w:rsid w:val="002671C3"/>
    <w:rsid w:val="00280B44"/>
    <w:rsid w:val="00286985"/>
    <w:rsid w:val="002878C8"/>
    <w:rsid w:val="00290C62"/>
    <w:rsid w:val="00295C0F"/>
    <w:rsid w:val="00295E54"/>
    <w:rsid w:val="0029757F"/>
    <w:rsid w:val="002A14AA"/>
    <w:rsid w:val="002A411B"/>
    <w:rsid w:val="002B49CC"/>
    <w:rsid w:val="002C7013"/>
    <w:rsid w:val="002C763D"/>
    <w:rsid w:val="002C77AA"/>
    <w:rsid w:val="002D0471"/>
    <w:rsid w:val="002D5CA0"/>
    <w:rsid w:val="002E2269"/>
    <w:rsid w:val="002E4B3A"/>
    <w:rsid w:val="002F2803"/>
    <w:rsid w:val="002F74D5"/>
    <w:rsid w:val="00300401"/>
    <w:rsid w:val="0031179F"/>
    <w:rsid w:val="00312759"/>
    <w:rsid w:val="003318D8"/>
    <w:rsid w:val="003342FE"/>
    <w:rsid w:val="00337674"/>
    <w:rsid w:val="00346E12"/>
    <w:rsid w:val="0035018E"/>
    <w:rsid w:val="00354581"/>
    <w:rsid w:val="003643AF"/>
    <w:rsid w:val="0036531D"/>
    <w:rsid w:val="00366E6F"/>
    <w:rsid w:val="003830A0"/>
    <w:rsid w:val="00390AD5"/>
    <w:rsid w:val="003A2B6F"/>
    <w:rsid w:val="003B3597"/>
    <w:rsid w:val="003C312A"/>
    <w:rsid w:val="003F1A04"/>
    <w:rsid w:val="00403FF5"/>
    <w:rsid w:val="004208CB"/>
    <w:rsid w:val="004304EB"/>
    <w:rsid w:val="0043160A"/>
    <w:rsid w:val="00431A03"/>
    <w:rsid w:val="00433FC2"/>
    <w:rsid w:val="00437246"/>
    <w:rsid w:val="00440AAE"/>
    <w:rsid w:val="004462ED"/>
    <w:rsid w:val="00450E6C"/>
    <w:rsid w:val="00452126"/>
    <w:rsid w:val="00466105"/>
    <w:rsid w:val="00467BC4"/>
    <w:rsid w:val="00472478"/>
    <w:rsid w:val="0047313A"/>
    <w:rsid w:val="004748A1"/>
    <w:rsid w:val="00475CE3"/>
    <w:rsid w:val="00476B5C"/>
    <w:rsid w:val="00482CDA"/>
    <w:rsid w:val="004A1956"/>
    <w:rsid w:val="004A1E93"/>
    <w:rsid w:val="004B09A2"/>
    <w:rsid w:val="004B325A"/>
    <w:rsid w:val="004B4BD3"/>
    <w:rsid w:val="004C40B0"/>
    <w:rsid w:val="004C4DF0"/>
    <w:rsid w:val="004C6EF7"/>
    <w:rsid w:val="004D031B"/>
    <w:rsid w:val="004D0930"/>
    <w:rsid w:val="004E1A8B"/>
    <w:rsid w:val="00502AE5"/>
    <w:rsid w:val="00515552"/>
    <w:rsid w:val="00517D09"/>
    <w:rsid w:val="0052105C"/>
    <w:rsid w:val="0052752D"/>
    <w:rsid w:val="0052799A"/>
    <w:rsid w:val="00530B0C"/>
    <w:rsid w:val="005423CE"/>
    <w:rsid w:val="00542A4E"/>
    <w:rsid w:val="005454BB"/>
    <w:rsid w:val="00556956"/>
    <w:rsid w:val="00566B81"/>
    <w:rsid w:val="005741AD"/>
    <w:rsid w:val="00591B7D"/>
    <w:rsid w:val="00593811"/>
    <w:rsid w:val="00595A84"/>
    <w:rsid w:val="005A1F09"/>
    <w:rsid w:val="005A6E7E"/>
    <w:rsid w:val="005C5A47"/>
    <w:rsid w:val="005C693B"/>
    <w:rsid w:val="005D223A"/>
    <w:rsid w:val="005D3FB4"/>
    <w:rsid w:val="005D6513"/>
    <w:rsid w:val="005E49C3"/>
    <w:rsid w:val="006005D5"/>
    <w:rsid w:val="0060525F"/>
    <w:rsid w:val="00611DA0"/>
    <w:rsid w:val="006153B8"/>
    <w:rsid w:val="006161D6"/>
    <w:rsid w:val="00630028"/>
    <w:rsid w:val="00641B08"/>
    <w:rsid w:val="006467C5"/>
    <w:rsid w:val="00646A65"/>
    <w:rsid w:val="0066246C"/>
    <w:rsid w:val="00663B29"/>
    <w:rsid w:val="00672194"/>
    <w:rsid w:val="00677CBA"/>
    <w:rsid w:val="0068060D"/>
    <w:rsid w:val="006860F0"/>
    <w:rsid w:val="006864A3"/>
    <w:rsid w:val="00691A1D"/>
    <w:rsid w:val="00692982"/>
    <w:rsid w:val="006A1F47"/>
    <w:rsid w:val="006B7294"/>
    <w:rsid w:val="006C2843"/>
    <w:rsid w:val="006C47F9"/>
    <w:rsid w:val="006C4F0F"/>
    <w:rsid w:val="006D6E32"/>
    <w:rsid w:val="006E4D73"/>
    <w:rsid w:val="006E5E2F"/>
    <w:rsid w:val="006E6393"/>
    <w:rsid w:val="006E7395"/>
    <w:rsid w:val="006F11E4"/>
    <w:rsid w:val="006F29C3"/>
    <w:rsid w:val="007011F3"/>
    <w:rsid w:val="00702AAF"/>
    <w:rsid w:val="00703F48"/>
    <w:rsid w:val="00705294"/>
    <w:rsid w:val="00705B84"/>
    <w:rsid w:val="007249A3"/>
    <w:rsid w:val="0073741E"/>
    <w:rsid w:val="0074756D"/>
    <w:rsid w:val="00750B0E"/>
    <w:rsid w:val="007544F4"/>
    <w:rsid w:val="00762E07"/>
    <w:rsid w:val="00765D5B"/>
    <w:rsid w:val="007667EF"/>
    <w:rsid w:val="00767E1A"/>
    <w:rsid w:val="00770FDE"/>
    <w:rsid w:val="007855EC"/>
    <w:rsid w:val="007863AC"/>
    <w:rsid w:val="00794C46"/>
    <w:rsid w:val="00794D7E"/>
    <w:rsid w:val="007A5966"/>
    <w:rsid w:val="007B31DC"/>
    <w:rsid w:val="007B648F"/>
    <w:rsid w:val="007C1682"/>
    <w:rsid w:val="007C7A0B"/>
    <w:rsid w:val="007D070E"/>
    <w:rsid w:val="007F3FC6"/>
    <w:rsid w:val="007F46DE"/>
    <w:rsid w:val="008023BA"/>
    <w:rsid w:val="00811793"/>
    <w:rsid w:val="00821F2A"/>
    <w:rsid w:val="008223B5"/>
    <w:rsid w:val="008348B6"/>
    <w:rsid w:val="0083745E"/>
    <w:rsid w:val="00840DF6"/>
    <w:rsid w:val="008646D3"/>
    <w:rsid w:val="008676DC"/>
    <w:rsid w:val="008724A6"/>
    <w:rsid w:val="00872ADC"/>
    <w:rsid w:val="0087480B"/>
    <w:rsid w:val="00874CB4"/>
    <w:rsid w:val="00877891"/>
    <w:rsid w:val="00877CAB"/>
    <w:rsid w:val="008832AA"/>
    <w:rsid w:val="00885777"/>
    <w:rsid w:val="0088690D"/>
    <w:rsid w:val="00897BAC"/>
    <w:rsid w:val="008A00BB"/>
    <w:rsid w:val="008B0414"/>
    <w:rsid w:val="008C739C"/>
    <w:rsid w:val="008D2197"/>
    <w:rsid w:val="008D23F7"/>
    <w:rsid w:val="008D4DA1"/>
    <w:rsid w:val="008E3E5C"/>
    <w:rsid w:val="008E7CE9"/>
    <w:rsid w:val="0090041A"/>
    <w:rsid w:val="00903A18"/>
    <w:rsid w:val="00905256"/>
    <w:rsid w:val="009119BA"/>
    <w:rsid w:val="009142B4"/>
    <w:rsid w:val="009179C5"/>
    <w:rsid w:val="009361C7"/>
    <w:rsid w:val="0093673C"/>
    <w:rsid w:val="00936A8B"/>
    <w:rsid w:val="00942C6A"/>
    <w:rsid w:val="009435E6"/>
    <w:rsid w:val="00961E9C"/>
    <w:rsid w:val="00973E9A"/>
    <w:rsid w:val="009816AC"/>
    <w:rsid w:val="00982A9C"/>
    <w:rsid w:val="0098685A"/>
    <w:rsid w:val="00992A29"/>
    <w:rsid w:val="0099362B"/>
    <w:rsid w:val="009A0E5C"/>
    <w:rsid w:val="009A18D3"/>
    <w:rsid w:val="009A25DB"/>
    <w:rsid w:val="009B23D6"/>
    <w:rsid w:val="009B296F"/>
    <w:rsid w:val="009B3D47"/>
    <w:rsid w:val="009C4BCA"/>
    <w:rsid w:val="009F2418"/>
    <w:rsid w:val="009F25B0"/>
    <w:rsid w:val="00A019FB"/>
    <w:rsid w:val="00A02814"/>
    <w:rsid w:val="00A02FFE"/>
    <w:rsid w:val="00A13CFF"/>
    <w:rsid w:val="00A205AE"/>
    <w:rsid w:val="00A259F1"/>
    <w:rsid w:val="00A33373"/>
    <w:rsid w:val="00A36487"/>
    <w:rsid w:val="00A36CDE"/>
    <w:rsid w:val="00A36ECD"/>
    <w:rsid w:val="00A37881"/>
    <w:rsid w:val="00A379AF"/>
    <w:rsid w:val="00A46277"/>
    <w:rsid w:val="00A467F0"/>
    <w:rsid w:val="00A5025E"/>
    <w:rsid w:val="00A5660C"/>
    <w:rsid w:val="00A61324"/>
    <w:rsid w:val="00A65ABD"/>
    <w:rsid w:val="00A67D7D"/>
    <w:rsid w:val="00A72464"/>
    <w:rsid w:val="00A842C9"/>
    <w:rsid w:val="00A926E5"/>
    <w:rsid w:val="00A93243"/>
    <w:rsid w:val="00A96BB0"/>
    <w:rsid w:val="00A97E3C"/>
    <w:rsid w:val="00AA2380"/>
    <w:rsid w:val="00AA3A1B"/>
    <w:rsid w:val="00AB1688"/>
    <w:rsid w:val="00AB4B2A"/>
    <w:rsid w:val="00AB5F8C"/>
    <w:rsid w:val="00AB7D41"/>
    <w:rsid w:val="00AC5CAF"/>
    <w:rsid w:val="00AC6171"/>
    <w:rsid w:val="00AC6198"/>
    <w:rsid w:val="00AD0202"/>
    <w:rsid w:val="00AE3A04"/>
    <w:rsid w:val="00AE6122"/>
    <w:rsid w:val="00AF511A"/>
    <w:rsid w:val="00B054B5"/>
    <w:rsid w:val="00B11D9E"/>
    <w:rsid w:val="00B1378C"/>
    <w:rsid w:val="00B20B3A"/>
    <w:rsid w:val="00B22AAE"/>
    <w:rsid w:val="00B22CB2"/>
    <w:rsid w:val="00B40040"/>
    <w:rsid w:val="00B4120F"/>
    <w:rsid w:val="00B42B26"/>
    <w:rsid w:val="00B43F06"/>
    <w:rsid w:val="00B452FC"/>
    <w:rsid w:val="00B540E5"/>
    <w:rsid w:val="00B54FE9"/>
    <w:rsid w:val="00B65088"/>
    <w:rsid w:val="00B67FBA"/>
    <w:rsid w:val="00B70243"/>
    <w:rsid w:val="00B721B1"/>
    <w:rsid w:val="00B87D1B"/>
    <w:rsid w:val="00B958EB"/>
    <w:rsid w:val="00B96227"/>
    <w:rsid w:val="00B977F0"/>
    <w:rsid w:val="00BA5501"/>
    <w:rsid w:val="00BA5965"/>
    <w:rsid w:val="00BC3BA3"/>
    <w:rsid w:val="00BD24C2"/>
    <w:rsid w:val="00BE7BCC"/>
    <w:rsid w:val="00BF1817"/>
    <w:rsid w:val="00BF412D"/>
    <w:rsid w:val="00BF57AD"/>
    <w:rsid w:val="00BF6D3C"/>
    <w:rsid w:val="00C12268"/>
    <w:rsid w:val="00C15982"/>
    <w:rsid w:val="00C20C85"/>
    <w:rsid w:val="00C2341B"/>
    <w:rsid w:val="00C238C0"/>
    <w:rsid w:val="00C24CB9"/>
    <w:rsid w:val="00C30558"/>
    <w:rsid w:val="00C31B06"/>
    <w:rsid w:val="00C33392"/>
    <w:rsid w:val="00C346F1"/>
    <w:rsid w:val="00C444A4"/>
    <w:rsid w:val="00C470E9"/>
    <w:rsid w:val="00C52CD9"/>
    <w:rsid w:val="00C63285"/>
    <w:rsid w:val="00C7439A"/>
    <w:rsid w:val="00C967BC"/>
    <w:rsid w:val="00CA06B9"/>
    <w:rsid w:val="00CA6386"/>
    <w:rsid w:val="00CB688B"/>
    <w:rsid w:val="00CC7AAD"/>
    <w:rsid w:val="00CD32C0"/>
    <w:rsid w:val="00CD44A5"/>
    <w:rsid w:val="00CE00F7"/>
    <w:rsid w:val="00CE030F"/>
    <w:rsid w:val="00CE3535"/>
    <w:rsid w:val="00CF2499"/>
    <w:rsid w:val="00CF688D"/>
    <w:rsid w:val="00D01948"/>
    <w:rsid w:val="00D024F1"/>
    <w:rsid w:val="00D16116"/>
    <w:rsid w:val="00D16C06"/>
    <w:rsid w:val="00D224DC"/>
    <w:rsid w:val="00D2548B"/>
    <w:rsid w:val="00D31522"/>
    <w:rsid w:val="00D32CF2"/>
    <w:rsid w:val="00D36F4D"/>
    <w:rsid w:val="00D434A6"/>
    <w:rsid w:val="00D5012E"/>
    <w:rsid w:val="00D50358"/>
    <w:rsid w:val="00D548D4"/>
    <w:rsid w:val="00D554F5"/>
    <w:rsid w:val="00D65797"/>
    <w:rsid w:val="00D67616"/>
    <w:rsid w:val="00D73839"/>
    <w:rsid w:val="00D73A2F"/>
    <w:rsid w:val="00D74899"/>
    <w:rsid w:val="00D749F7"/>
    <w:rsid w:val="00D82434"/>
    <w:rsid w:val="00D867F7"/>
    <w:rsid w:val="00DA293E"/>
    <w:rsid w:val="00DA37E0"/>
    <w:rsid w:val="00DA4B02"/>
    <w:rsid w:val="00DA56B5"/>
    <w:rsid w:val="00DA7CE9"/>
    <w:rsid w:val="00DB13CC"/>
    <w:rsid w:val="00DC4648"/>
    <w:rsid w:val="00DD1867"/>
    <w:rsid w:val="00DD4015"/>
    <w:rsid w:val="00DD42F7"/>
    <w:rsid w:val="00DE0265"/>
    <w:rsid w:val="00DE58C5"/>
    <w:rsid w:val="00DF0ADF"/>
    <w:rsid w:val="00DF10B7"/>
    <w:rsid w:val="00E021A8"/>
    <w:rsid w:val="00E06B6F"/>
    <w:rsid w:val="00E07CAD"/>
    <w:rsid w:val="00E114E3"/>
    <w:rsid w:val="00E2477A"/>
    <w:rsid w:val="00E3133C"/>
    <w:rsid w:val="00E322B0"/>
    <w:rsid w:val="00E33295"/>
    <w:rsid w:val="00E36483"/>
    <w:rsid w:val="00E40FC4"/>
    <w:rsid w:val="00E430E3"/>
    <w:rsid w:val="00E448C5"/>
    <w:rsid w:val="00E45A5B"/>
    <w:rsid w:val="00E70EDC"/>
    <w:rsid w:val="00E712F3"/>
    <w:rsid w:val="00E7140A"/>
    <w:rsid w:val="00E75780"/>
    <w:rsid w:val="00E82FB6"/>
    <w:rsid w:val="00E84D07"/>
    <w:rsid w:val="00EA1CDC"/>
    <w:rsid w:val="00EA2B35"/>
    <w:rsid w:val="00EA6554"/>
    <w:rsid w:val="00EA7A8F"/>
    <w:rsid w:val="00ED16AE"/>
    <w:rsid w:val="00ED37D7"/>
    <w:rsid w:val="00EE2C03"/>
    <w:rsid w:val="00EE32D5"/>
    <w:rsid w:val="00EF0CE1"/>
    <w:rsid w:val="00EF18D7"/>
    <w:rsid w:val="00EF227F"/>
    <w:rsid w:val="00F04404"/>
    <w:rsid w:val="00F0716E"/>
    <w:rsid w:val="00F20D36"/>
    <w:rsid w:val="00F2187C"/>
    <w:rsid w:val="00F224F1"/>
    <w:rsid w:val="00F25E29"/>
    <w:rsid w:val="00F43B77"/>
    <w:rsid w:val="00F442D3"/>
    <w:rsid w:val="00F5567D"/>
    <w:rsid w:val="00F563A2"/>
    <w:rsid w:val="00F57E20"/>
    <w:rsid w:val="00F70ADA"/>
    <w:rsid w:val="00F73B78"/>
    <w:rsid w:val="00F76594"/>
    <w:rsid w:val="00F77A92"/>
    <w:rsid w:val="00F866DD"/>
    <w:rsid w:val="00F90BF2"/>
    <w:rsid w:val="00F90F12"/>
    <w:rsid w:val="00FB2C20"/>
    <w:rsid w:val="00FB420B"/>
    <w:rsid w:val="00FC0B9E"/>
    <w:rsid w:val="00FD0BAE"/>
    <w:rsid w:val="00FE07C6"/>
    <w:rsid w:val="00FE1E1A"/>
    <w:rsid w:val="00FE6EE5"/>
    <w:rsid w:val="00FF1F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53E73"/>
  <w15:docId w15:val="{927BB5D8-81D1-48EF-B9F7-CA419A3937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kern w:val="16"/>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rsid w:val="0087480B"/>
    <w:pPr>
      <w:keepNext/>
      <w:keepLines/>
      <w:spacing w:before="360" w:after="120" w:line="276" w:lineRule="auto"/>
      <w:jc w:val="both"/>
      <w:outlineLvl w:val="1"/>
    </w:pPr>
    <w:rPr>
      <w:rFonts w:ascii="Arial" w:eastAsia="Arial" w:hAnsi="Arial" w:cs="Arial"/>
      <w:kern w:val="0"/>
      <w:sz w:val="32"/>
      <w:szCs w:val="32"/>
      <w:lang w:val="en"/>
    </w:rPr>
  </w:style>
  <w:style w:type="paragraph" w:styleId="Heading3">
    <w:name w:val="heading 3"/>
    <w:basedOn w:val="Normal"/>
    <w:next w:val="Normal"/>
    <w:link w:val="Heading3Char"/>
    <w:uiPriority w:val="9"/>
    <w:unhideWhenUsed/>
    <w:qFormat/>
    <w:rsid w:val="000C4DBF"/>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2AE5"/>
    <w:pPr>
      <w:spacing w:line="276" w:lineRule="auto"/>
      <w:ind w:left="720"/>
      <w:contextualSpacing/>
    </w:pPr>
    <w:rPr>
      <w:rFonts w:ascii="Arial" w:eastAsia="Arial" w:hAnsi="Arial" w:cs="Arial"/>
      <w:color w:val="000000"/>
      <w:kern w:val="0"/>
      <w:sz w:val="22"/>
    </w:rPr>
  </w:style>
  <w:style w:type="paragraph" w:styleId="Header">
    <w:name w:val="header"/>
    <w:basedOn w:val="Normal"/>
    <w:link w:val="HeaderChar"/>
    <w:uiPriority w:val="99"/>
    <w:unhideWhenUsed/>
    <w:rsid w:val="00154EEA"/>
    <w:pPr>
      <w:tabs>
        <w:tab w:val="center" w:pos="4680"/>
        <w:tab w:val="right" w:pos="9360"/>
      </w:tabs>
    </w:pPr>
  </w:style>
  <w:style w:type="character" w:customStyle="1" w:styleId="HeaderChar">
    <w:name w:val="Header Char"/>
    <w:basedOn w:val="DefaultParagraphFont"/>
    <w:link w:val="Header"/>
    <w:uiPriority w:val="99"/>
    <w:rsid w:val="00154EEA"/>
  </w:style>
  <w:style w:type="paragraph" w:styleId="Footer">
    <w:name w:val="footer"/>
    <w:basedOn w:val="Normal"/>
    <w:link w:val="FooterChar"/>
    <w:uiPriority w:val="99"/>
    <w:unhideWhenUsed/>
    <w:rsid w:val="00154EEA"/>
    <w:pPr>
      <w:tabs>
        <w:tab w:val="center" w:pos="4680"/>
        <w:tab w:val="right" w:pos="9360"/>
      </w:tabs>
    </w:pPr>
  </w:style>
  <w:style w:type="character" w:customStyle="1" w:styleId="FooterChar">
    <w:name w:val="Footer Char"/>
    <w:basedOn w:val="DefaultParagraphFont"/>
    <w:link w:val="Footer"/>
    <w:uiPriority w:val="99"/>
    <w:rsid w:val="00154EEA"/>
  </w:style>
  <w:style w:type="table" w:styleId="TableGrid">
    <w:name w:val="Table Grid"/>
    <w:basedOn w:val="TableNormal"/>
    <w:uiPriority w:val="39"/>
    <w:rsid w:val="0025152A"/>
    <w:rPr>
      <w:rFonts w:asciiTheme="minorHAnsi" w:eastAsiaTheme="minorHAnsi" w:hAnsiTheme="minorHAnsi" w:cstheme="minorBidi"/>
      <w:kern w:val="0"/>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73B78"/>
    <w:rPr>
      <w:sz w:val="18"/>
      <w:szCs w:val="18"/>
    </w:rPr>
  </w:style>
  <w:style w:type="character" w:customStyle="1" w:styleId="BalloonTextChar">
    <w:name w:val="Balloon Text Char"/>
    <w:basedOn w:val="DefaultParagraphFont"/>
    <w:link w:val="BalloonText"/>
    <w:uiPriority w:val="99"/>
    <w:semiHidden/>
    <w:rsid w:val="00F73B78"/>
    <w:rPr>
      <w:sz w:val="18"/>
      <w:szCs w:val="18"/>
    </w:rPr>
  </w:style>
  <w:style w:type="character" w:styleId="CommentReference">
    <w:name w:val="annotation reference"/>
    <w:basedOn w:val="DefaultParagraphFont"/>
    <w:uiPriority w:val="99"/>
    <w:semiHidden/>
    <w:unhideWhenUsed/>
    <w:rsid w:val="000E2734"/>
    <w:rPr>
      <w:sz w:val="18"/>
      <w:szCs w:val="18"/>
    </w:rPr>
  </w:style>
  <w:style w:type="paragraph" w:styleId="CommentText">
    <w:name w:val="annotation text"/>
    <w:basedOn w:val="Normal"/>
    <w:link w:val="CommentTextChar"/>
    <w:uiPriority w:val="99"/>
    <w:semiHidden/>
    <w:unhideWhenUsed/>
    <w:rsid w:val="000E2734"/>
    <w:rPr>
      <w:sz w:val="24"/>
      <w:szCs w:val="24"/>
    </w:rPr>
  </w:style>
  <w:style w:type="character" w:customStyle="1" w:styleId="CommentTextChar">
    <w:name w:val="Comment Text Char"/>
    <w:basedOn w:val="DefaultParagraphFont"/>
    <w:link w:val="CommentText"/>
    <w:uiPriority w:val="99"/>
    <w:semiHidden/>
    <w:rsid w:val="000E2734"/>
    <w:rPr>
      <w:sz w:val="24"/>
      <w:szCs w:val="24"/>
    </w:rPr>
  </w:style>
  <w:style w:type="paragraph" w:styleId="CommentSubject">
    <w:name w:val="annotation subject"/>
    <w:basedOn w:val="CommentText"/>
    <w:next w:val="CommentText"/>
    <w:link w:val="CommentSubjectChar"/>
    <w:uiPriority w:val="99"/>
    <w:semiHidden/>
    <w:unhideWhenUsed/>
    <w:rsid w:val="000E2734"/>
    <w:rPr>
      <w:b/>
      <w:bCs/>
      <w:sz w:val="20"/>
      <w:szCs w:val="20"/>
    </w:rPr>
  </w:style>
  <w:style w:type="character" w:customStyle="1" w:styleId="CommentSubjectChar">
    <w:name w:val="Comment Subject Char"/>
    <w:basedOn w:val="CommentTextChar"/>
    <w:link w:val="CommentSubject"/>
    <w:uiPriority w:val="99"/>
    <w:semiHidden/>
    <w:rsid w:val="000E2734"/>
    <w:rPr>
      <w:b/>
      <w:bCs/>
      <w:sz w:val="24"/>
      <w:szCs w:val="24"/>
    </w:rPr>
  </w:style>
  <w:style w:type="paragraph" w:customStyle="1" w:styleId="Default">
    <w:name w:val="Default"/>
    <w:rsid w:val="00197558"/>
    <w:pPr>
      <w:autoSpaceDE w:val="0"/>
      <w:autoSpaceDN w:val="0"/>
      <w:adjustRightInd w:val="0"/>
    </w:pPr>
    <w:rPr>
      <w:color w:val="000000"/>
      <w:kern w:val="0"/>
      <w:sz w:val="24"/>
      <w:szCs w:val="24"/>
    </w:rPr>
  </w:style>
  <w:style w:type="paragraph" w:styleId="Title">
    <w:name w:val="Title"/>
    <w:basedOn w:val="Normal"/>
    <w:next w:val="Normal"/>
    <w:link w:val="TitleChar"/>
    <w:rsid w:val="002878C8"/>
    <w:pPr>
      <w:keepNext/>
      <w:keepLines/>
      <w:spacing w:line="276" w:lineRule="auto"/>
      <w:contextualSpacing/>
    </w:pPr>
    <w:rPr>
      <w:rFonts w:ascii="Trebuchet MS" w:eastAsia="Trebuchet MS" w:hAnsi="Trebuchet MS" w:cs="Trebuchet MS"/>
      <w:color w:val="000000"/>
      <w:kern w:val="0"/>
      <w:sz w:val="42"/>
    </w:rPr>
  </w:style>
  <w:style w:type="character" w:customStyle="1" w:styleId="TitleChar">
    <w:name w:val="Title Char"/>
    <w:basedOn w:val="DefaultParagraphFont"/>
    <w:link w:val="Title"/>
    <w:rsid w:val="002878C8"/>
    <w:rPr>
      <w:rFonts w:ascii="Trebuchet MS" w:eastAsia="Trebuchet MS" w:hAnsi="Trebuchet MS" w:cs="Trebuchet MS"/>
      <w:color w:val="000000"/>
      <w:kern w:val="0"/>
      <w:sz w:val="42"/>
    </w:rPr>
  </w:style>
  <w:style w:type="character" w:styleId="Hyperlink">
    <w:name w:val="Hyperlink"/>
    <w:basedOn w:val="DefaultParagraphFont"/>
    <w:uiPriority w:val="99"/>
    <w:unhideWhenUsed/>
    <w:rsid w:val="0021499F"/>
    <w:rPr>
      <w:color w:val="0000FF"/>
      <w:u w:val="single"/>
    </w:rPr>
  </w:style>
  <w:style w:type="paragraph" w:styleId="NormalWeb">
    <w:name w:val="Normal (Web)"/>
    <w:basedOn w:val="Normal"/>
    <w:uiPriority w:val="99"/>
    <w:unhideWhenUsed/>
    <w:rsid w:val="0021499F"/>
    <w:pPr>
      <w:spacing w:before="100" w:beforeAutospacing="1" w:after="100" w:afterAutospacing="1"/>
    </w:pPr>
    <w:rPr>
      <w:kern w:val="0"/>
      <w:sz w:val="24"/>
      <w:szCs w:val="24"/>
    </w:rPr>
  </w:style>
  <w:style w:type="character" w:customStyle="1" w:styleId="Heading2Char">
    <w:name w:val="Heading 2 Char"/>
    <w:basedOn w:val="DefaultParagraphFont"/>
    <w:link w:val="Heading2"/>
    <w:rsid w:val="0087480B"/>
    <w:rPr>
      <w:rFonts w:ascii="Arial" w:eastAsia="Arial" w:hAnsi="Arial" w:cs="Arial"/>
      <w:kern w:val="0"/>
      <w:sz w:val="32"/>
      <w:szCs w:val="32"/>
      <w:lang w:val="en"/>
    </w:rPr>
  </w:style>
  <w:style w:type="character" w:customStyle="1" w:styleId="Heading3Char">
    <w:name w:val="Heading 3 Char"/>
    <w:basedOn w:val="DefaultParagraphFont"/>
    <w:link w:val="Heading3"/>
    <w:uiPriority w:val="9"/>
    <w:rsid w:val="000C4DBF"/>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4263573">
      <w:bodyDiv w:val="1"/>
      <w:marLeft w:val="0"/>
      <w:marRight w:val="0"/>
      <w:marTop w:val="0"/>
      <w:marBottom w:val="0"/>
      <w:divBdr>
        <w:top w:val="none" w:sz="0" w:space="0" w:color="auto"/>
        <w:left w:val="none" w:sz="0" w:space="0" w:color="auto"/>
        <w:bottom w:val="none" w:sz="0" w:space="0" w:color="auto"/>
        <w:right w:val="none" w:sz="0" w:space="0" w:color="auto"/>
      </w:divBdr>
    </w:div>
    <w:div w:id="484199229">
      <w:bodyDiv w:val="1"/>
      <w:marLeft w:val="0"/>
      <w:marRight w:val="0"/>
      <w:marTop w:val="0"/>
      <w:marBottom w:val="0"/>
      <w:divBdr>
        <w:top w:val="none" w:sz="0" w:space="0" w:color="auto"/>
        <w:left w:val="none" w:sz="0" w:space="0" w:color="auto"/>
        <w:bottom w:val="none" w:sz="0" w:space="0" w:color="auto"/>
        <w:right w:val="none" w:sz="0" w:space="0" w:color="auto"/>
      </w:divBdr>
      <w:divsChild>
        <w:div w:id="291785680">
          <w:marLeft w:val="547"/>
          <w:marRight w:val="0"/>
          <w:marTop w:val="120"/>
          <w:marBottom w:val="0"/>
          <w:divBdr>
            <w:top w:val="none" w:sz="0" w:space="0" w:color="auto"/>
            <w:left w:val="none" w:sz="0" w:space="0" w:color="auto"/>
            <w:bottom w:val="none" w:sz="0" w:space="0" w:color="auto"/>
            <w:right w:val="none" w:sz="0" w:space="0" w:color="auto"/>
          </w:divBdr>
        </w:div>
        <w:div w:id="356736154">
          <w:marLeft w:val="547"/>
          <w:marRight w:val="0"/>
          <w:marTop w:val="120"/>
          <w:marBottom w:val="0"/>
          <w:divBdr>
            <w:top w:val="none" w:sz="0" w:space="0" w:color="auto"/>
            <w:left w:val="none" w:sz="0" w:space="0" w:color="auto"/>
            <w:bottom w:val="none" w:sz="0" w:space="0" w:color="auto"/>
            <w:right w:val="none" w:sz="0" w:space="0" w:color="auto"/>
          </w:divBdr>
        </w:div>
        <w:div w:id="688533374">
          <w:marLeft w:val="1166"/>
          <w:marRight w:val="0"/>
          <w:marTop w:val="101"/>
          <w:marBottom w:val="0"/>
          <w:divBdr>
            <w:top w:val="none" w:sz="0" w:space="0" w:color="auto"/>
            <w:left w:val="none" w:sz="0" w:space="0" w:color="auto"/>
            <w:bottom w:val="none" w:sz="0" w:space="0" w:color="auto"/>
            <w:right w:val="none" w:sz="0" w:space="0" w:color="auto"/>
          </w:divBdr>
        </w:div>
        <w:div w:id="1076434407">
          <w:marLeft w:val="1166"/>
          <w:marRight w:val="0"/>
          <w:marTop w:val="101"/>
          <w:marBottom w:val="0"/>
          <w:divBdr>
            <w:top w:val="none" w:sz="0" w:space="0" w:color="auto"/>
            <w:left w:val="none" w:sz="0" w:space="0" w:color="auto"/>
            <w:bottom w:val="none" w:sz="0" w:space="0" w:color="auto"/>
            <w:right w:val="none" w:sz="0" w:space="0" w:color="auto"/>
          </w:divBdr>
        </w:div>
        <w:div w:id="1351760677">
          <w:marLeft w:val="1166"/>
          <w:marRight w:val="0"/>
          <w:marTop w:val="101"/>
          <w:marBottom w:val="0"/>
          <w:divBdr>
            <w:top w:val="none" w:sz="0" w:space="0" w:color="auto"/>
            <w:left w:val="none" w:sz="0" w:space="0" w:color="auto"/>
            <w:bottom w:val="none" w:sz="0" w:space="0" w:color="auto"/>
            <w:right w:val="none" w:sz="0" w:space="0" w:color="auto"/>
          </w:divBdr>
        </w:div>
        <w:div w:id="1424034476">
          <w:marLeft w:val="547"/>
          <w:marRight w:val="0"/>
          <w:marTop w:val="120"/>
          <w:marBottom w:val="0"/>
          <w:divBdr>
            <w:top w:val="none" w:sz="0" w:space="0" w:color="auto"/>
            <w:left w:val="none" w:sz="0" w:space="0" w:color="auto"/>
            <w:bottom w:val="none" w:sz="0" w:space="0" w:color="auto"/>
            <w:right w:val="none" w:sz="0" w:space="0" w:color="auto"/>
          </w:divBdr>
        </w:div>
      </w:divsChild>
    </w:div>
    <w:div w:id="705912182">
      <w:bodyDiv w:val="1"/>
      <w:marLeft w:val="0"/>
      <w:marRight w:val="0"/>
      <w:marTop w:val="0"/>
      <w:marBottom w:val="0"/>
      <w:divBdr>
        <w:top w:val="none" w:sz="0" w:space="0" w:color="auto"/>
        <w:left w:val="none" w:sz="0" w:space="0" w:color="auto"/>
        <w:bottom w:val="none" w:sz="0" w:space="0" w:color="auto"/>
        <w:right w:val="none" w:sz="0" w:space="0" w:color="auto"/>
      </w:divBdr>
    </w:div>
    <w:div w:id="805856241">
      <w:bodyDiv w:val="1"/>
      <w:marLeft w:val="0"/>
      <w:marRight w:val="0"/>
      <w:marTop w:val="0"/>
      <w:marBottom w:val="0"/>
      <w:divBdr>
        <w:top w:val="none" w:sz="0" w:space="0" w:color="auto"/>
        <w:left w:val="none" w:sz="0" w:space="0" w:color="auto"/>
        <w:bottom w:val="none" w:sz="0" w:space="0" w:color="auto"/>
        <w:right w:val="none" w:sz="0" w:space="0" w:color="auto"/>
      </w:divBdr>
      <w:divsChild>
        <w:div w:id="1042636618">
          <w:marLeft w:val="547"/>
          <w:marRight w:val="0"/>
          <w:marTop w:val="120"/>
          <w:marBottom w:val="0"/>
          <w:divBdr>
            <w:top w:val="none" w:sz="0" w:space="0" w:color="auto"/>
            <w:left w:val="none" w:sz="0" w:space="0" w:color="auto"/>
            <w:bottom w:val="none" w:sz="0" w:space="0" w:color="auto"/>
            <w:right w:val="none" w:sz="0" w:space="0" w:color="auto"/>
          </w:divBdr>
        </w:div>
        <w:div w:id="1317222319">
          <w:marLeft w:val="547"/>
          <w:marRight w:val="0"/>
          <w:marTop w:val="12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BDCF19-8BCD-4056-91FD-D9923244C0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Pages>
  <Words>1040</Words>
  <Characters>5933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workiva.com</dc:creator>
  <cp:keywords/>
  <dc:description/>
  <cp:lastModifiedBy>Ami Beers</cp:lastModifiedBy>
  <cp:revision>3</cp:revision>
  <dcterms:created xsi:type="dcterms:W3CDTF">2020-07-30T16:32:00Z</dcterms:created>
  <dcterms:modified xsi:type="dcterms:W3CDTF">2020-09-15T16:05:00Z</dcterms:modified>
</cp:coreProperties>
</file>