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app0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d49c82a78" Type="http://schemas.openxmlformats.org/officeDocument/2006/extended-properties" Target="docProps/app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34B5A" w14:textId="77777777" w:rsidR="00D838F3" w:rsidRDefault="00700484">
      <w:pPr>
        <w:spacing w:after="120" w:line="288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Reversed Calculation</w:t>
      </w:r>
      <w:bookmarkStart w:id="0" w:name="DQC_0008"/>
      <w:bookmarkEnd w:id="0"/>
    </w:p>
    <w:p w14:paraId="1C6EB262" w14:textId="77777777" w:rsidR="00D838F3" w:rsidRPr="00700484" w:rsidRDefault="00700484">
      <w:pPr>
        <w:spacing w:line="288" w:lineRule="auto"/>
        <w:rPr>
          <w:rFonts w:ascii="Arial" w:eastAsia="Arial" w:hAnsi="Arial" w:cs="Arial"/>
          <w:sz w:val="22"/>
          <w:szCs w:val="22"/>
        </w:rPr>
      </w:pPr>
      <w:bookmarkStart w:id="1" w:name="_GoBack"/>
      <w:r w:rsidRPr="00700484">
        <w:rPr>
          <w:rFonts w:ascii="Arial" w:eastAsia="Arial" w:hAnsi="Arial" w:cs="Arial"/>
          <w:sz w:val="22"/>
          <w:szCs w:val="22"/>
        </w:rPr>
        <w:t>Rule ID: DQC_0008</w:t>
      </w:r>
    </w:p>
    <w:bookmarkEnd w:id="1"/>
    <w:p w14:paraId="5DBE28A6" w14:textId="77777777" w:rsidR="00D838F3" w:rsidRDefault="00700484">
      <w:pPr>
        <w:spacing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br/>
      </w:r>
      <w:r>
        <w:rPr>
          <w:rFonts w:ascii="Arial" w:eastAsia="Arial" w:hAnsi="Arial" w:cs="Arial"/>
          <w:b/>
          <w:sz w:val="28"/>
        </w:rPr>
        <w:t>Rule function</w:t>
      </w:r>
    </w:p>
    <w:p w14:paraId="632A5A58" w14:textId="77777777" w:rsidR="00D838F3" w:rsidRDefault="00700484">
      <w:pPr>
        <w:spacing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This rule evaluates whether a calculation relationship in the company's extension is a reversal of the calculation defined in the US-GAAP taxonomy used for the filing. The rule checks if the element representing the calculation total and the element repres</w:t>
      </w:r>
      <w:r>
        <w:rPr>
          <w:rFonts w:ascii="Arial" w:eastAsia="Arial" w:hAnsi="Arial" w:cs="Arial"/>
          <w:sz w:val="22"/>
        </w:rPr>
        <w:t>enting the component are a reversal of those same elements defined in the US GAAP Taxonomy with the same calculation weight.</w:t>
      </w:r>
    </w:p>
    <w:p w14:paraId="6AD8CD57" w14:textId="77777777" w:rsidR="00D838F3" w:rsidRDefault="00D838F3">
      <w:pPr>
        <w:spacing w:line="288" w:lineRule="auto"/>
        <w:jc w:val="both"/>
        <w:rPr>
          <w:rFonts w:ascii="Arial" w:eastAsia="Arial" w:hAnsi="Arial" w:cs="Arial"/>
          <w:sz w:val="22"/>
        </w:rPr>
      </w:pPr>
    </w:p>
    <w:p w14:paraId="1A4A679D" w14:textId="77777777" w:rsidR="00D838F3" w:rsidRDefault="00700484">
      <w:pPr>
        <w:spacing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This rule only compares the defined relationship between two elements joined by a single calculation arc in a company's calculatio</w:t>
      </w:r>
      <w:r>
        <w:rPr>
          <w:rFonts w:ascii="Arial" w:eastAsia="Arial" w:hAnsi="Arial" w:cs="Arial"/>
          <w:sz w:val="22"/>
        </w:rPr>
        <w:t>n relationship and checks if the opposite of that relationship exists in the US GAAP Taxonomy. Both elements in the calculation relationship must have a balance attribute of either debit or credit.</w:t>
      </w:r>
    </w:p>
    <w:p w14:paraId="33759FD1" w14:textId="77777777" w:rsidR="00D838F3" w:rsidRDefault="00700484">
      <w:pPr>
        <w:spacing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br/>
      </w:r>
      <w:r>
        <w:rPr>
          <w:rFonts w:ascii="Arial" w:eastAsia="Arial" w:hAnsi="Arial" w:cs="Arial"/>
          <w:b/>
          <w:sz w:val="28"/>
        </w:rPr>
        <w:t>Authoritative reference</w:t>
      </w:r>
    </w:p>
    <w:p w14:paraId="4280EE17" w14:textId="77777777" w:rsidR="00D838F3" w:rsidRDefault="00700484">
      <w:pPr>
        <w:spacing w:line="28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The EFM requires that companies </w:t>
      </w:r>
      <w:r>
        <w:rPr>
          <w:rFonts w:ascii="Arial" w:eastAsia="Arial" w:hAnsi="Arial" w:cs="Arial"/>
          <w:sz w:val="22"/>
        </w:rPr>
        <w:t xml:space="preserve">include a calculation </w:t>
      </w:r>
      <w:proofErr w:type="spellStart"/>
      <w:r>
        <w:rPr>
          <w:rFonts w:ascii="Arial" w:eastAsia="Arial" w:hAnsi="Arial" w:cs="Arial"/>
          <w:sz w:val="22"/>
        </w:rPr>
        <w:t>linkbase</w:t>
      </w:r>
      <w:proofErr w:type="spellEnd"/>
      <w:r>
        <w:rPr>
          <w:rFonts w:ascii="Arial" w:eastAsia="Arial" w:hAnsi="Arial" w:cs="Arial"/>
          <w:sz w:val="22"/>
        </w:rPr>
        <w:t xml:space="preserve"> for all calculations expressed in the filing. The calculation in the XBRL filing must match that represented in the </w:t>
      </w:r>
      <w:proofErr w:type="gramStart"/>
      <w:r>
        <w:rPr>
          <w:rFonts w:ascii="Arial" w:eastAsia="Arial" w:hAnsi="Arial" w:cs="Arial"/>
          <w:sz w:val="22"/>
        </w:rPr>
        <w:t>companies</w:t>
      </w:r>
      <w:proofErr w:type="gramEnd"/>
      <w:r>
        <w:rPr>
          <w:rFonts w:ascii="Arial" w:eastAsia="Arial" w:hAnsi="Arial" w:cs="Arial"/>
          <w:sz w:val="22"/>
        </w:rPr>
        <w:t xml:space="preserve"> non XBRL filing.</w:t>
      </w:r>
    </w:p>
    <w:p w14:paraId="673AC809" w14:textId="77777777" w:rsidR="00D838F3" w:rsidRDefault="00D838F3">
      <w:pPr>
        <w:spacing w:line="418" w:lineRule="auto"/>
        <w:jc w:val="both"/>
        <w:rPr>
          <w:rFonts w:ascii="Arial" w:eastAsia="Arial" w:hAnsi="Arial" w:cs="Arial"/>
          <w:sz w:val="22"/>
        </w:rPr>
      </w:pPr>
    </w:p>
    <w:p w14:paraId="5518FFBF" w14:textId="77777777" w:rsidR="00D838F3" w:rsidRDefault="00700484">
      <w:pPr>
        <w:spacing w:before="60" w:after="120" w:line="288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Problem solved by the rule</w:t>
      </w:r>
    </w:p>
    <w:p w14:paraId="3B18339B" w14:textId="77777777" w:rsidR="00D838F3" w:rsidRDefault="00700484">
      <w:pPr>
        <w:spacing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Users expect that the calculation relationships define</w:t>
      </w:r>
      <w:r>
        <w:rPr>
          <w:rFonts w:ascii="Arial" w:eastAsia="Arial" w:hAnsi="Arial" w:cs="Arial"/>
          <w:sz w:val="22"/>
        </w:rPr>
        <w:t xml:space="preserve">d between elements in the US GAAP taxonomy can be used to identify the meaning of an element. For example </w:t>
      </w:r>
      <w:r>
        <w:rPr>
          <w:rFonts w:ascii="Arial" w:eastAsia="Arial" w:hAnsi="Arial" w:cs="Arial"/>
        </w:rPr>
        <w:t>Stockholders' Equity Attributable to Parent</w:t>
      </w:r>
    </w:p>
    <w:p w14:paraId="2A808665" w14:textId="77777777" w:rsidR="00D838F3" w:rsidRDefault="00700484">
      <w:pPr>
        <w:spacing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Arial" w:eastAsia="Arial" w:hAnsi="Arial" w:cs="Arial"/>
          <w:sz w:val="22"/>
        </w:rPr>
        <w:t>is</w:t>
      </w:r>
      <w:proofErr w:type="gramEnd"/>
      <w:r>
        <w:rPr>
          <w:rFonts w:ascii="Arial" w:eastAsia="Arial" w:hAnsi="Arial" w:cs="Arial"/>
          <w:sz w:val="22"/>
        </w:rPr>
        <w:t xml:space="preserve"> a component of </w:t>
      </w:r>
      <w:r>
        <w:rPr>
          <w:rFonts w:ascii="Arial" w:eastAsia="Arial" w:hAnsi="Arial" w:cs="Arial"/>
        </w:rPr>
        <w:t xml:space="preserve">Stockholders Equity Including Portion Attributable To </w:t>
      </w:r>
      <w:proofErr w:type="spellStart"/>
      <w:r>
        <w:rPr>
          <w:rFonts w:ascii="Arial" w:eastAsia="Arial" w:hAnsi="Arial" w:cs="Arial"/>
        </w:rPr>
        <w:t>Noncontrolling</w:t>
      </w:r>
      <w:proofErr w:type="spellEnd"/>
      <w:r>
        <w:rPr>
          <w:rFonts w:ascii="Arial" w:eastAsia="Arial" w:hAnsi="Arial" w:cs="Arial"/>
        </w:rPr>
        <w:t xml:space="preserve"> Interest</w:t>
      </w:r>
      <w:r>
        <w:rPr>
          <w:rFonts w:ascii="Arial" w:eastAsia="Arial" w:hAnsi="Arial" w:cs="Arial"/>
          <w:sz w:val="22"/>
        </w:rPr>
        <w:t xml:space="preserve"> as </w:t>
      </w:r>
      <w:r>
        <w:rPr>
          <w:rFonts w:ascii="Arial" w:eastAsia="Arial" w:hAnsi="Arial" w:cs="Arial"/>
        </w:rPr>
        <w:t>Stockh</w:t>
      </w:r>
      <w:r>
        <w:rPr>
          <w:rFonts w:ascii="Arial" w:eastAsia="Arial" w:hAnsi="Arial" w:cs="Arial"/>
        </w:rPr>
        <w:t>olders Equity</w:t>
      </w:r>
      <w:r>
        <w:rPr>
          <w:rFonts w:ascii="Arial" w:eastAsia="Arial" w:hAnsi="Arial" w:cs="Arial"/>
          <w:sz w:val="22"/>
        </w:rPr>
        <w:t xml:space="preserve"> is comprised of both the portion attributable to the parent and the </w:t>
      </w:r>
      <w:proofErr w:type="spellStart"/>
      <w:r>
        <w:rPr>
          <w:rFonts w:ascii="Arial" w:eastAsia="Arial" w:hAnsi="Arial" w:cs="Arial"/>
          <w:sz w:val="22"/>
        </w:rPr>
        <w:t>noncontrolling</w:t>
      </w:r>
      <w:proofErr w:type="spellEnd"/>
      <w:r>
        <w:rPr>
          <w:rFonts w:ascii="Arial" w:eastAsia="Arial" w:hAnsi="Arial" w:cs="Arial"/>
          <w:sz w:val="22"/>
        </w:rPr>
        <w:t xml:space="preserve"> interest.</w:t>
      </w:r>
    </w:p>
    <w:p w14:paraId="1FB0964D" w14:textId="77777777" w:rsidR="00D838F3" w:rsidRDefault="00700484">
      <w:pPr>
        <w:spacing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br/>
        <w:t xml:space="preserve">However, if the company changed the calculation relationship so that Stockholders Equity Including Portion Attributable </w:t>
      </w:r>
      <w:proofErr w:type="gramStart"/>
      <w:r>
        <w:rPr>
          <w:rFonts w:ascii="Arial" w:eastAsia="Arial" w:hAnsi="Arial" w:cs="Arial"/>
          <w:sz w:val="22"/>
        </w:rPr>
        <w:t>To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Noncontrolling</w:t>
      </w:r>
      <w:proofErr w:type="spellEnd"/>
      <w:r>
        <w:rPr>
          <w:rFonts w:ascii="Arial" w:eastAsia="Arial" w:hAnsi="Arial" w:cs="Arial"/>
          <w:sz w:val="22"/>
        </w:rPr>
        <w:t xml:space="preserve"> Interest </w:t>
      </w:r>
      <w:r>
        <w:rPr>
          <w:rFonts w:ascii="Arial" w:eastAsia="Arial" w:hAnsi="Arial" w:cs="Arial"/>
          <w:sz w:val="22"/>
        </w:rPr>
        <w:t>was a component of Stockholders' Equity Attributable to Parent then a user of the data will have a different meaning of the concept of that reported by the preparer.</w:t>
      </w:r>
    </w:p>
    <w:p w14:paraId="5482D7FF" w14:textId="77777777" w:rsidR="00D838F3" w:rsidRDefault="00D838F3">
      <w:pPr>
        <w:spacing w:line="288" w:lineRule="auto"/>
        <w:rPr>
          <w:rFonts w:ascii="Arial" w:eastAsia="Arial" w:hAnsi="Arial" w:cs="Arial"/>
          <w:sz w:val="22"/>
        </w:rPr>
      </w:pPr>
    </w:p>
    <w:p w14:paraId="3AA52B2D" w14:textId="77777777" w:rsidR="00D838F3" w:rsidRDefault="00700484">
      <w:pPr>
        <w:spacing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disclosure below shows where the incorrect elements were selected and the calculation</w:t>
      </w:r>
      <w:r>
        <w:rPr>
          <w:rFonts w:ascii="Arial" w:eastAsia="Arial" w:hAnsi="Arial" w:cs="Arial"/>
          <w:sz w:val="22"/>
        </w:rPr>
        <w:t xml:space="preserve"> was reversed to make the calculation work.</w:t>
      </w:r>
    </w:p>
    <w:p w14:paraId="6D763982" w14:textId="77777777" w:rsidR="00D838F3" w:rsidRDefault="00D838F3">
      <w:pPr>
        <w:spacing w:after="140"/>
        <w:rPr>
          <w:rFonts w:ascii="Arial" w:eastAsia="Arial" w:hAnsi="Arial" w:cs="Arial"/>
          <w:sz w:val="22"/>
        </w:rPr>
      </w:pPr>
    </w:p>
    <w:tbl>
      <w:tblPr>
        <w:tblW w:w="10240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60"/>
        <w:gridCol w:w="80"/>
        <w:gridCol w:w="1223"/>
        <w:gridCol w:w="77"/>
        <w:gridCol w:w="80"/>
        <w:gridCol w:w="1243"/>
        <w:gridCol w:w="77"/>
      </w:tblGrid>
      <w:tr w:rsidR="00700484" w14:paraId="36453795" w14:textId="77777777" w:rsidTr="00700484">
        <w:tblPrEx>
          <w:tblCellMar>
            <w:top w:w="0" w:type="dxa"/>
            <w:bottom w:w="0" w:type="dxa"/>
          </w:tblCellMar>
        </w:tblPrEx>
        <w:trPr>
          <w:trHeight w:hRule="exact" w:val="660"/>
        </w:trPr>
        <w:tc>
          <w:tcPr>
            <w:tcW w:w="7460" w:type="dxa"/>
            <w:tcMar>
              <w:left w:w="60" w:type="dxa"/>
              <w:right w:w="0" w:type="dxa"/>
            </w:tcMar>
            <w:vAlign w:val="bottom"/>
          </w:tcPr>
          <w:p w14:paraId="6B891A19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80" w:type="dxa"/>
            <w:tcMar>
              <w:left w:w="60" w:type="dxa"/>
              <w:right w:w="0" w:type="dxa"/>
            </w:tcMar>
            <w:vAlign w:val="bottom"/>
          </w:tcPr>
          <w:p w14:paraId="05BB2440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23" w:type="dxa"/>
            <w:gridSpan w:val="2"/>
            <w:tcBorders>
              <w:bottom w:val="single" w:sz="1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76A65C4" w14:textId="77777777" w:rsidR="00D838F3" w:rsidRDefault="00700484">
            <w:pPr>
              <w:keepNext/>
              <w:keepLines/>
              <w:spacing w:before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June 30,</w:t>
            </w:r>
          </w:p>
          <w:p w14:paraId="47CF0B16" w14:textId="77777777" w:rsidR="00D838F3" w:rsidRDefault="00700484">
            <w:pPr>
              <w:keepNext/>
              <w:keepLines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2016</w:t>
            </w:r>
          </w:p>
          <w:p w14:paraId="6CE920A2" w14:textId="77777777" w:rsidR="00D838F3" w:rsidRDefault="00700484">
            <w:pPr>
              <w:keepNext/>
              <w:keepLines/>
              <w:spacing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</w:t>
            </w:r>
          </w:p>
        </w:tc>
        <w:tc>
          <w:tcPr>
            <w:tcW w:w="80" w:type="dxa"/>
            <w:tcMar>
              <w:left w:w="60" w:type="dxa"/>
              <w:right w:w="0" w:type="dxa"/>
            </w:tcMar>
            <w:vAlign w:val="bottom"/>
          </w:tcPr>
          <w:p w14:paraId="4695D84B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43" w:type="dxa"/>
            <w:gridSpan w:val="2"/>
            <w:tcBorders>
              <w:bottom w:val="single" w:sz="1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D978F62" w14:textId="77777777" w:rsidR="00D838F3" w:rsidRDefault="00700484">
            <w:pPr>
              <w:keepNext/>
              <w:keepLines/>
              <w:spacing w:before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December 31,</w:t>
            </w:r>
          </w:p>
          <w:p w14:paraId="3A649026" w14:textId="77777777" w:rsidR="00D838F3" w:rsidRDefault="00700484">
            <w:pPr>
              <w:keepNext/>
              <w:keepLines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2015</w:t>
            </w:r>
          </w:p>
          <w:p w14:paraId="3EFACADC" w14:textId="77777777" w:rsidR="00D838F3" w:rsidRDefault="00700484">
            <w:pPr>
              <w:keepNext/>
              <w:keepLines/>
              <w:spacing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</w:t>
            </w:r>
          </w:p>
        </w:tc>
      </w:tr>
      <w:tr w:rsidR="00700484" w14:paraId="6E5E17ED" w14:textId="77777777" w:rsidTr="00700484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460" w:type="dxa"/>
            <w:tcMar>
              <w:left w:w="60" w:type="dxa"/>
              <w:right w:w="0" w:type="dxa"/>
            </w:tcMar>
            <w:vAlign w:val="bottom"/>
          </w:tcPr>
          <w:p w14:paraId="18722AEB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80" w:type="dxa"/>
            <w:tcMar>
              <w:left w:w="60" w:type="dxa"/>
              <w:right w:w="0" w:type="dxa"/>
            </w:tcMar>
            <w:vAlign w:val="bottom"/>
          </w:tcPr>
          <w:p w14:paraId="6EE54067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23" w:type="dxa"/>
            <w:gridSpan w:val="2"/>
            <w:tcMar>
              <w:left w:w="60" w:type="dxa"/>
              <w:right w:w="60" w:type="dxa"/>
            </w:tcMar>
            <w:vAlign w:val="bottom"/>
          </w:tcPr>
          <w:p w14:paraId="6BE490BF" w14:textId="77777777" w:rsidR="00D838F3" w:rsidRDefault="00700484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(Unaudited)</w:t>
            </w:r>
          </w:p>
        </w:tc>
        <w:tc>
          <w:tcPr>
            <w:tcW w:w="80" w:type="dxa"/>
            <w:tcMar>
              <w:left w:w="0" w:type="dxa"/>
              <w:right w:w="0" w:type="dxa"/>
            </w:tcMar>
            <w:vAlign w:val="bottom"/>
          </w:tcPr>
          <w:p w14:paraId="3A91EDCB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43" w:type="dxa"/>
            <w:gridSpan w:val="2"/>
            <w:tcMar>
              <w:left w:w="0" w:type="dxa"/>
              <w:right w:w="60" w:type="dxa"/>
            </w:tcMar>
            <w:vAlign w:val="bottom"/>
          </w:tcPr>
          <w:p w14:paraId="0B5C48B6" w14:textId="77777777" w:rsidR="00D838F3" w:rsidRDefault="00D838F3">
            <w:pPr>
              <w:keepNext/>
              <w:keepLines/>
              <w:spacing w:before="40" w:after="40"/>
            </w:pPr>
          </w:p>
        </w:tc>
      </w:tr>
      <w:tr w:rsidR="00700484" w14:paraId="0373D3B0" w14:textId="77777777" w:rsidTr="00700484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460" w:type="dxa"/>
            <w:tcMar>
              <w:left w:w="60" w:type="dxa"/>
              <w:right w:w="40" w:type="dxa"/>
            </w:tcMar>
            <w:vAlign w:val="bottom"/>
          </w:tcPr>
          <w:p w14:paraId="2AC8C693" w14:textId="77777777" w:rsidR="00D838F3" w:rsidRDefault="00700484">
            <w:pPr>
              <w:keepNext/>
              <w:keepLines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Stockholders' Equity:</w:t>
            </w:r>
          </w:p>
        </w:tc>
        <w:tc>
          <w:tcPr>
            <w:tcW w:w="80" w:type="dxa"/>
            <w:tcMar>
              <w:left w:w="60" w:type="dxa"/>
              <w:right w:w="0" w:type="dxa"/>
            </w:tcMar>
            <w:vAlign w:val="bottom"/>
          </w:tcPr>
          <w:p w14:paraId="7376C965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23" w:type="dxa"/>
            <w:gridSpan w:val="2"/>
            <w:tcMar>
              <w:left w:w="0" w:type="dxa"/>
              <w:right w:w="60" w:type="dxa"/>
            </w:tcMar>
            <w:vAlign w:val="bottom"/>
          </w:tcPr>
          <w:p w14:paraId="2F191949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80" w:type="dxa"/>
            <w:tcMar>
              <w:left w:w="0" w:type="dxa"/>
              <w:right w:w="60" w:type="dxa"/>
            </w:tcMar>
            <w:vAlign w:val="bottom"/>
          </w:tcPr>
          <w:p w14:paraId="70EBC714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43" w:type="dxa"/>
            <w:gridSpan w:val="2"/>
            <w:tcMar>
              <w:left w:w="0" w:type="dxa"/>
              <w:right w:w="60" w:type="dxa"/>
            </w:tcMar>
            <w:vAlign w:val="bottom"/>
          </w:tcPr>
          <w:p w14:paraId="204147FF" w14:textId="77777777" w:rsidR="00D838F3" w:rsidRDefault="00D838F3">
            <w:pPr>
              <w:keepNext/>
              <w:keepLines/>
              <w:spacing w:before="40" w:after="40"/>
            </w:pPr>
          </w:p>
        </w:tc>
      </w:tr>
      <w:tr w:rsidR="00D838F3" w14:paraId="510C7E35" w14:textId="77777777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7460" w:type="dxa"/>
            <w:tcMar>
              <w:left w:w="60" w:type="dxa"/>
              <w:right w:w="40" w:type="dxa"/>
            </w:tcMar>
            <w:vAlign w:val="bottom"/>
          </w:tcPr>
          <w:p w14:paraId="0D8CB672" w14:textId="77777777" w:rsidR="00D838F3" w:rsidRDefault="00700484">
            <w:pPr>
              <w:keepNext/>
              <w:keepLines/>
              <w:spacing w:before="40"/>
              <w:ind w:firstLine="1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Preferred stock, 10,000,000 shares authorized, $0.001 par value,</w:t>
            </w:r>
          </w:p>
          <w:p w14:paraId="6A3FED08" w14:textId="77777777" w:rsidR="00D838F3" w:rsidRDefault="00700484">
            <w:pPr>
              <w:keepNext/>
              <w:keepLines/>
              <w:spacing w:after="40"/>
              <w:ind w:firstLine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nil shares issued and outstanding</w:t>
            </w:r>
          </w:p>
        </w:tc>
        <w:tc>
          <w:tcPr>
            <w:tcW w:w="80" w:type="dxa"/>
            <w:tcMar>
              <w:left w:w="60" w:type="dxa"/>
              <w:right w:w="0" w:type="dxa"/>
            </w:tcMar>
            <w:vAlign w:val="bottom"/>
          </w:tcPr>
          <w:p w14:paraId="31753FE5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23" w:type="dxa"/>
            <w:tcMar>
              <w:left w:w="0" w:type="dxa"/>
              <w:right w:w="0" w:type="dxa"/>
            </w:tcMar>
            <w:vAlign w:val="bottom"/>
          </w:tcPr>
          <w:p w14:paraId="7A2114EC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—</w:t>
            </w:r>
          </w:p>
        </w:tc>
        <w:tc>
          <w:tcPr>
            <w:tcW w:w="77" w:type="dxa"/>
            <w:tcMar>
              <w:left w:w="0" w:type="dxa"/>
              <w:right w:w="0" w:type="dxa"/>
            </w:tcMar>
          </w:tcPr>
          <w:p w14:paraId="622C8EAE" w14:textId="77777777" w:rsidR="00D838F3" w:rsidRDefault="00D838F3"/>
        </w:tc>
        <w:tc>
          <w:tcPr>
            <w:tcW w:w="80" w:type="dxa"/>
            <w:tcMar>
              <w:left w:w="0" w:type="dxa"/>
              <w:right w:w="60" w:type="dxa"/>
            </w:tcMar>
            <w:vAlign w:val="bottom"/>
          </w:tcPr>
          <w:p w14:paraId="626A873F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43" w:type="dxa"/>
            <w:tcMar>
              <w:left w:w="0" w:type="dxa"/>
              <w:right w:w="0" w:type="dxa"/>
            </w:tcMar>
            <w:vAlign w:val="bottom"/>
          </w:tcPr>
          <w:p w14:paraId="2BD35427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—</w:t>
            </w:r>
          </w:p>
        </w:tc>
        <w:tc>
          <w:tcPr>
            <w:tcW w:w="77" w:type="dxa"/>
            <w:tcMar>
              <w:left w:w="0" w:type="dxa"/>
              <w:right w:w="0" w:type="dxa"/>
            </w:tcMar>
          </w:tcPr>
          <w:p w14:paraId="655034F5" w14:textId="77777777" w:rsidR="00D838F3" w:rsidRDefault="00D838F3"/>
        </w:tc>
      </w:tr>
      <w:tr w:rsidR="00D838F3" w14:paraId="682E7992" w14:textId="77777777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7460" w:type="dxa"/>
            <w:tcMar>
              <w:left w:w="60" w:type="dxa"/>
              <w:right w:w="40" w:type="dxa"/>
            </w:tcMar>
            <w:vAlign w:val="bottom"/>
          </w:tcPr>
          <w:p w14:paraId="6752A3F9" w14:textId="77777777" w:rsidR="00D838F3" w:rsidRDefault="00700484">
            <w:pPr>
              <w:keepNext/>
              <w:keepLines/>
              <w:spacing w:before="40"/>
              <w:ind w:firstLine="1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Common stock, 500,000,000 shares authorized, $0.001 par value,</w:t>
            </w:r>
          </w:p>
          <w:p w14:paraId="686976CC" w14:textId="77777777" w:rsidR="00D838F3" w:rsidRDefault="00700484">
            <w:pPr>
              <w:keepNext/>
              <w:keepLines/>
              <w:spacing w:after="40"/>
              <w:ind w:firstLine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45,975,966 shares issued and outstanding</w:t>
            </w:r>
          </w:p>
        </w:tc>
        <w:tc>
          <w:tcPr>
            <w:tcW w:w="80" w:type="dxa"/>
            <w:tcMar>
              <w:left w:w="60" w:type="dxa"/>
              <w:right w:w="0" w:type="dxa"/>
            </w:tcMar>
            <w:vAlign w:val="bottom"/>
          </w:tcPr>
          <w:p w14:paraId="30FF6D2A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23" w:type="dxa"/>
            <w:tcMar>
              <w:left w:w="0" w:type="dxa"/>
              <w:right w:w="0" w:type="dxa"/>
            </w:tcMar>
            <w:vAlign w:val="bottom"/>
          </w:tcPr>
          <w:p w14:paraId="520BC42A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45,976</w:t>
            </w:r>
          </w:p>
        </w:tc>
        <w:tc>
          <w:tcPr>
            <w:tcW w:w="77" w:type="dxa"/>
            <w:tcMar>
              <w:left w:w="0" w:type="dxa"/>
              <w:right w:w="0" w:type="dxa"/>
            </w:tcMar>
          </w:tcPr>
          <w:p w14:paraId="28716C48" w14:textId="77777777" w:rsidR="00D838F3" w:rsidRDefault="00D838F3"/>
        </w:tc>
        <w:tc>
          <w:tcPr>
            <w:tcW w:w="80" w:type="dxa"/>
            <w:tcMar>
              <w:left w:w="0" w:type="dxa"/>
              <w:right w:w="60" w:type="dxa"/>
            </w:tcMar>
            <w:vAlign w:val="bottom"/>
          </w:tcPr>
          <w:p w14:paraId="2253C4A6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43" w:type="dxa"/>
            <w:tcMar>
              <w:left w:w="0" w:type="dxa"/>
              <w:right w:w="0" w:type="dxa"/>
            </w:tcMar>
            <w:vAlign w:val="bottom"/>
          </w:tcPr>
          <w:p w14:paraId="02ABDA84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45,976</w:t>
            </w:r>
          </w:p>
        </w:tc>
        <w:tc>
          <w:tcPr>
            <w:tcW w:w="77" w:type="dxa"/>
            <w:tcMar>
              <w:left w:w="0" w:type="dxa"/>
              <w:right w:w="0" w:type="dxa"/>
            </w:tcMar>
          </w:tcPr>
          <w:p w14:paraId="15EAB500" w14:textId="77777777" w:rsidR="00D838F3" w:rsidRDefault="00D838F3"/>
        </w:tc>
      </w:tr>
      <w:tr w:rsidR="00D838F3" w14:paraId="4E81A811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460" w:type="dxa"/>
            <w:tcMar>
              <w:left w:w="180" w:type="dxa"/>
              <w:right w:w="40" w:type="dxa"/>
            </w:tcMar>
            <w:vAlign w:val="bottom"/>
          </w:tcPr>
          <w:p w14:paraId="59FACC33" w14:textId="77777777" w:rsidR="00D838F3" w:rsidRDefault="00700484">
            <w:pPr>
              <w:keepNext/>
              <w:keepLines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Additional paid-in capital</w:t>
            </w:r>
          </w:p>
        </w:tc>
        <w:tc>
          <w:tcPr>
            <w:tcW w:w="80" w:type="dxa"/>
            <w:tcMar>
              <w:left w:w="0" w:type="dxa"/>
              <w:right w:w="0" w:type="dxa"/>
            </w:tcMar>
            <w:vAlign w:val="bottom"/>
          </w:tcPr>
          <w:p w14:paraId="0578AB87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23" w:type="dxa"/>
            <w:tcMar>
              <w:left w:w="0" w:type="dxa"/>
              <w:right w:w="0" w:type="dxa"/>
            </w:tcMar>
            <w:vAlign w:val="bottom"/>
          </w:tcPr>
          <w:p w14:paraId="01591C35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42,611,186</w:t>
            </w:r>
          </w:p>
        </w:tc>
        <w:tc>
          <w:tcPr>
            <w:tcW w:w="77" w:type="dxa"/>
            <w:tcMar>
              <w:left w:w="0" w:type="dxa"/>
              <w:right w:w="0" w:type="dxa"/>
            </w:tcMar>
          </w:tcPr>
          <w:p w14:paraId="529BDFA4" w14:textId="77777777" w:rsidR="00D838F3" w:rsidRDefault="00D838F3"/>
        </w:tc>
        <w:tc>
          <w:tcPr>
            <w:tcW w:w="80" w:type="dxa"/>
            <w:tcMar>
              <w:left w:w="0" w:type="dxa"/>
              <w:right w:w="60" w:type="dxa"/>
            </w:tcMar>
            <w:vAlign w:val="bottom"/>
          </w:tcPr>
          <w:p w14:paraId="40DF6DDF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43" w:type="dxa"/>
            <w:tcMar>
              <w:left w:w="0" w:type="dxa"/>
              <w:right w:w="0" w:type="dxa"/>
            </w:tcMar>
            <w:vAlign w:val="bottom"/>
          </w:tcPr>
          <w:p w14:paraId="5686DA67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42,589,759</w:t>
            </w:r>
          </w:p>
        </w:tc>
        <w:tc>
          <w:tcPr>
            <w:tcW w:w="77" w:type="dxa"/>
            <w:tcMar>
              <w:left w:w="0" w:type="dxa"/>
              <w:right w:w="0" w:type="dxa"/>
            </w:tcMar>
          </w:tcPr>
          <w:p w14:paraId="0E758BD2" w14:textId="77777777" w:rsidR="00D838F3" w:rsidRDefault="00D838F3"/>
        </w:tc>
      </w:tr>
      <w:tr w:rsidR="00D838F3" w14:paraId="62C318D6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460" w:type="dxa"/>
            <w:tcMar>
              <w:left w:w="180" w:type="dxa"/>
              <w:right w:w="40" w:type="dxa"/>
            </w:tcMar>
            <w:vAlign w:val="bottom"/>
          </w:tcPr>
          <w:p w14:paraId="5F197787" w14:textId="77777777" w:rsidR="00D838F3" w:rsidRDefault="00700484">
            <w:pPr>
              <w:keepNext/>
              <w:keepLines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Accumulated other comprehensive income</w:t>
            </w:r>
          </w:p>
        </w:tc>
        <w:tc>
          <w:tcPr>
            <w:tcW w:w="80" w:type="dxa"/>
            <w:tcMar>
              <w:left w:w="0" w:type="dxa"/>
              <w:right w:w="0" w:type="dxa"/>
            </w:tcMar>
            <w:vAlign w:val="bottom"/>
          </w:tcPr>
          <w:p w14:paraId="6F0B70B3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23" w:type="dxa"/>
            <w:tcMar>
              <w:left w:w="0" w:type="dxa"/>
              <w:right w:w="0" w:type="dxa"/>
            </w:tcMar>
            <w:vAlign w:val="bottom"/>
          </w:tcPr>
          <w:p w14:paraId="24EF6A21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35,571</w:t>
            </w:r>
          </w:p>
        </w:tc>
        <w:tc>
          <w:tcPr>
            <w:tcW w:w="77" w:type="dxa"/>
            <w:tcMar>
              <w:left w:w="0" w:type="dxa"/>
              <w:right w:w="0" w:type="dxa"/>
            </w:tcMar>
          </w:tcPr>
          <w:p w14:paraId="0FC74B6F" w14:textId="77777777" w:rsidR="00D838F3" w:rsidRDefault="00D838F3"/>
        </w:tc>
        <w:tc>
          <w:tcPr>
            <w:tcW w:w="80" w:type="dxa"/>
            <w:tcMar>
              <w:left w:w="0" w:type="dxa"/>
              <w:right w:w="60" w:type="dxa"/>
            </w:tcMar>
            <w:vAlign w:val="bottom"/>
          </w:tcPr>
          <w:p w14:paraId="6BA593D3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43" w:type="dxa"/>
            <w:tcMar>
              <w:left w:w="0" w:type="dxa"/>
              <w:right w:w="0" w:type="dxa"/>
            </w:tcMar>
            <w:vAlign w:val="bottom"/>
          </w:tcPr>
          <w:p w14:paraId="4A24EFD3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73,243</w:t>
            </w:r>
          </w:p>
        </w:tc>
        <w:tc>
          <w:tcPr>
            <w:tcW w:w="77" w:type="dxa"/>
            <w:tcMar>
              <w:left w:w="0" w:type="dxa"/>
              <w:right w:w="0" w:type="dxa"/>
            </w:tcMar>
          </w:tcPr>
          <w:p w14:paraId="06115A55" w14:textId="77777777" w:rsidR="00D838F3" w:rsidRDefault="00D838F3"/>
        </w:tc>
      </w:tr>
      <w:tr w:rsidR="00D838F3" w14:paraId="0F62F6E8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460" w:type="dxa"/>
            <w:tcMar>
              <w:left w:w="180" w:type="dxa"/>
              <w:right w:w="40" w:type="dxa"/>
            </w:tcMar>
            <w:vAlign w:val="bottom"/>
          </w:tcPr>
          <w:p w14:paraId="719CBF27" w14:textId="77777777" w:rsidR="00D838F3" w:rsidRDefault="00700484">
            <w:pPr>
              <w:keepNext/>
              <w:keepLines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Deficit</w:t>
            </w:r>
          </w:p>
        </w:tc>
        <w:tc>
          <w:tcPr>
            <w:tcW w:w="80" w:type="dxa"/>
            <w:tcMar>
              <w:left w:w="0" w:type="dxa"/>
              <w:right w:w="0" w:type="dxa"/>
            </w:tcMar>
            <w:vAlign w:val="bottom"/>
          </w:tcPr>
          <w:p w14:paraId="255E2D36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23" w:type="dxa"/>
            <w:tcBorders>
              <w:bottom w:val="single" w:sz="1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8F935C7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(41,384,326</w:t>
            </w:r>
          </w:p>
        </w:tc>
        <w:tc>
          <w:tcPr>
            <w:tcW w:w="77" w:type="dxa"/>
            <w:tcBorders>
              <w:bottom w:val="single" w:sz="1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B90DFDE" w14:textId="77777777" w:rsidR="00D838F3" w:rsidRDefault="00700484">
            <w:pPr>
              <w:keepNext/>
              <w:keepLines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80" w:type="dxa"/>
            <w:tcMar>
              <w:left w:w="0" w:type="dxa"/>
              <w:right w:w="60" w:type="dxa"/>
            </w:tcMar>
            <w:vAlign w:val="bottom"/>
          </w:tcPr>
          <w:p w14:paraId="7FE939E9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43" w:type="dxa"/>
            <w:tcBorders>
              <w:bottom w:val="single" w:sz="1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15F9FFF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(41,331,858</w:t>
            </w:r>
          </w:p>
        </w:tc>
        <w:tc>
          <w:tcPr>
            <w:tcW w:w="77" w:type="dxa"/>
            <w:tcBorders>
              <w:bottom w:val="single" w:sz="1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C89D952" w14:textId="77777777" w:rsidR="00D838F3" w:rsidRDefault="00700484">
            <w:pPr>
              <w:keepNext/>
              <w:keepLines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</w:tr>
      <w:tr w:rsidR="00D838F3" w14:paraId="5BB15467" w14:textId="77777777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7460" w:type="dxa"/>
            <w:tcMar>
              <w:left w:w="60" w:type="dxa"/>
              <w:right w:w="40" w:type="dxa"/>
            </w:tcMar>
            <w:vAlign w:val="bottom"/>
          </w:tcPr>
          <w:p w14:paraId="62A6ED22" w14:textId="77777777" w:rsidR="00D838F3" w:rsidRDefault="00700484">
            <w:pPr>
              <w:keepNext/>
              <w:keepLines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Total Reversal, Inc. Stockholders' Equity </w:t>
            </w:r>
            <w:r>
              <w:rPr>
                <w:rFonts w:ascii="Arial" w:eastAsia="Arial" w:hAnsi="Arial" w:cs="Arial"/>
                <w:color w:val="FF0000"/>
              </w:rPr>
              <w:t>(</w:t>
            </w:r>
            <w:r>
              <w:rPr>
                <w:rFonts w:ascii="Arial" w:eastAsia="Arial" w:hAnsi="Arial" w:cs="Arial"/>
                <w:i/>
                <w:color w:val="FF0000"/>
                <w:sz w:val="16"/>
              </w:rPr>
              <w:t>Used  StockholdersEquityIncludingPortionAttributableToNoncontrollingInterest</w:t>
            </w:r>
            <w:r>
              <w:rPr>
                <w:rFonts w:ascii="Arial" w:eastAsia="Arial" w:hAnsi="Arial" w:cs="Arial"/>
                <w:color w:val="FF0000"/>
              </w:rPr>
              <w:t>)</w:t>
            </w:r>
          </w:p>
        </w:tc>
        <w:tc>
          <w:tcPr>
            <w:tcW w:w="80" w:type="dxa"/>
            <w:tcMar>
              <w:left w:w="60" w:type="dxa"/>
              <w:right w:w="0" w:type="dxa"/>
            </w:tcMar>
            <w:vAlign w:val="bottom"/>
          </w:tcPr>
          <w:p w14:paraId="38E41CCD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23" w:type="dxa"/>
            <w:tcMar>
              <w:left w:w="0" w:type="dxa"/>
              <w:right w:w="0" w:type="dxa"/>
            </w:tcMar>
            <w:vAlign w:val="bottom"/>
          </w:tcPr>
          <w:p w14:paraId="2231AA15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1,308,407</w:t>
            </w:r>
          </w:p>
        </w:tc>
        <w:tc>
          <w:tcPr>
            <w:tcW w:w="77" w:type="dxa"/>
            <w:tcMar>
              <w:left w:w="0" w:type="dxa"/>
              <w:right w:w="0" w:type="dxa"/>
            </w:tcMar>
          </w:tcPr>
          <w:p w14:paraId="6656B7A6" w14:textId="77777777" w:rsidR="00D838F3" w:rsidRDefault="00D838F3"/>
        </w:tc>
        <w:tc>
          <w:tcPr>
            <w:tcW w:w="80" w:type="dxa"/>
            <w:tcMar>
              <w:left w:w="0" w:type="dxa"/>
              <w:right w:w="60" w:type="dxa"/>
            </w:tcMar>
            <w:vAlign w:val="bottom"/>
          </w:tcPr>
          <w:p w14:paraId="27D05B36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43" w:type="dxa"/>
            <w:tcMar>
              <w:left w:w="0" w:type="dxa"/>
              <w:right w:w="0" w:type="dxa"/>
            </w:tcMar>
            <w:vAlign w:val="bottom"/>
          </w:tcPr>
          <w:p w14:paraId="7F47DC6A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1,377,120</w:t>
            </w:r>
          </w:p>
        </w:tc>
        <w:tc>
          <w:tcPr>
            <w:tcW w:w="77" w:type="dxa"/>
            <w:tcMar>
              <w:left w:w="0" w:type="dxa"/>
              <w:right w:w="0" w:type="dxa"/>
            </w:tcMar>
          </w:tcPr>
          <w:p w14:paraId="02DFB863" w14:textId="77777777" w:rsidR="00D838F3" w:rsidRDefault="00D838F3"/>
        </w:tc>
      </w:tr>
      <w:tr w:rsidR="00D838F3" w14:paraId="5CD7A316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460" w:type="dxa"/>
            <w:tcMar>
              <w:left w:w="60" w:type="dxa"/>
              <w:right w:w="40" w:type="dxa"/>
            </w:tcMar>
            <w:vAlign w:val="bottom"/>
          </w:tcPr>
          <w:p w14:paraId="3CFFD43A" w14:textId="77777777" w:rsidR="00D838F3" w:rsidRDefault="00700484">
            <w:pPr>
              <w:keepNext/>
              <w:keepLines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Non-controlling interest</w:t>
            </w:r>
          </w:p>
        </w:tc>
        <w:tc>
          <w:tcPr>
            <w:tcW w:w="80" w:type="dxa"/>
            <w:tcMar>
              <w:left w:w="60" w:type="dxa"/>
              <w:right w:w="0" w:type="dxa"/>
            </w:tcMar>
            <w:vAlign w:val="bottom"/>
          </w:tcPr>
          <w:p w14:paraId="3D7D99A0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23" w:type="dxa"/>
            <w:tcBorders>
              <w:bottom w:val="single" w:sz="1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67B5FD3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(1,112,963</w:t>
            </w:r>
          </w:p>
        </w:tc>
        <w:tc>
          <w:tcPr>
            <w:tcW w:w="77" w:type="dxa"/>
            <w:tcBorders>
              <w:bottom w:val="single" w:sz="1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617ED2F" w14:textId="77777777" w:rsidR="00D838F3" w:rsidRDefault="00700484">
            <w:pPr>
              <w:keepNext/>
              <w:keepLines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80" w:type="dxa"/>
            <w:tcMar>
              <w:left w:w="0" w:type="dxa"/>
              <w:right w:w="60" w:type="dxa"/>
            </w:tcMar>
            <w:vAlign w:val="bottom"/>
          </w:tcPr>
          <w:p w14:paraId="2EF2DB26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43" w:type="dxa"/>
            <w:tcBorders>
              <w:bottom w:val="single" w:sz="1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5CE07B0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(1,156,064</w:t>
            </w:r>
          </w:p>
        </w:tc>
        <w:tc>
          <w:tcPr>
            <w:tcW w:w="77" w:type="dxa"/>
            <w:tcBorders>
              <w:bottom w:val="single" w:sz="1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C09BE55" w14:textId="77777777" w:rsidR="00D838F3" w:rsidRDefault="00700484">
            <w:pPr>
              <w:keepNext/>
              <w:keepLines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</w:tr>
      <w:tr w:rsidR="00D838F3" w14:paraId="18B5A0B4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7460" w:type="dxa"/>
            <w:tcMar>
              <w:left w:w="60" w:type="dxa"/>
              <w:right w:w="40" w:type="dxa"/>
            </w:tcMar>
            <w:vAlign w:val="bottom"/>
          </w:tcPr>
          <w:p w14:paraId="57986586" w14:textId="77777777" w:rsidR="00D838F3" w:rsidRDefault="00700484">
            <w:pPr>
              <w:keepNext/>
              <w:keepLines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Total Stockholders' Equity </w:t>
            </w:r>
            <w:r>
              <w:rPr>
                <w:rFonts w:ascii="Arial" w:eastAsia="Arial" w:hAnsi="Arial" w:cs="Arial"/>
                <w:color w:val="FF0000"/>
              </w:rPr>
              <w:t>(</w:t>
            </w:r>
            <w:r>
              <w:rPr>
                <w:rFonts w:ascii="Arial" w:eastAsia="Arial" w:hAnsi="Arial" w:cs="Arial"/>
                <w:i/>
                <w:color w:val="FF0000"/>
                <w:sz w:val="16"/>
              </w:rPr>
              <w:t xml:space="preserve">Used  </w:t>
            </w:r>
            <w:proofErr w:type="spellStart"/>
            <w:r>
              <w:rPr>
                <w:rFonts w:ascii="Arial" w:eastAsia="Arial" w:hAnsi="Arial" w:cs="Arial"/>
                <w:i/>
                <w:color w:val="FF0000"/>
                <w:sz w:val="16"/>
              </w:rPr>
              <w:t>StockholdersEquity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)</w:t>
            </w:r>
          </w:p>
        </w:tc>
        <w:tc>
          <w:tcPr>
            <w:tcW w:w="80" w:type="dxa"/>
            <w:tcMar>
              <w:left w:w="60" w:type="dxa"/>
              <w:right w:w="0" w:type="dxa"/>
            </w:tcMar>
            <w:vAlign w:val="bottom"/>
          </w:tcPr>
          <w:p w14:paraId="0C7B9A0D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23" w:type="dxa"/>
            <w:tcMar>
              <w:left w:w="0" w:type="dxa"/>
              <w:right w:w="0" w:type="dxa"/>
            </w:tcMar>
            <w:vAlign w:val="bottom"/>
          </w:tcPr>
          <w:p w14:paraId="7CD1AC6D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195,444</w:t>
            </w:r>
          </w:p>
        </w:tc>
        <w:tc>
          <w:tcPr>
            <w:tcW w:w="77" w:type="dxa"/>
            <w:tcMar>
              <w:left w:w="0" w:type="dxa"/>
              <w:right w:w="0" w:type="dxa"/>
            </w:tcMar>
          </w:tcPr>
          <w:p w14:paraId="12D0CB49" w14:textId="77777777" w:rsidR="00D838F3" w:rsidRDefault="00D838F3"/>
        </w:tc>
        <w:tc>
          <w:tcPr>
            <w:tcW w:w="80" w:type="dxa"/>
            <w:tcMar>
              <w:left w:w="0" w:type="dxa"/>
              <w:right w:w="60" w:type="dxa"/>
            </w:tcMar>
            <w:vAlign w:val="bottom"/>
          </w:tcPr>
          <w:p w14:paraId="6F136265" w14:textId="77777777" w:rsidR="00D838F3" w:rsidRDefault="00D838F3">
            <w:pPr>
              <w:keepNext/>
              <w:keepLines/>
              <w:spacing w:before="40" w:after="40"/>
            </w:pPr>
          </w:p>
        </w:tc>
        <w:tc>
          <w:tcPr>
            <w:tcW w:w="1243" w:type="dxa"/>
            <w:tcMar>
              <w:left w:w="0" w:type="dxa"/>
              <w:right w:w="0" w:type="dxa"/>
            </w:tcMar>
            <w:vAlign w:val="bottom"/>
          </w:tcPr>
          <w:p w14:paraId="55B2A358" w14:textId="77777777" w:rsidR="00D838F3" w:rsidRDefault="00700484">
            <w:pPr>
              <w:keepNext/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221,056</w:t>
            </w:r>
          </w:p>
        </w:tc>
        <w:tc>
          <w:tcPr>
            <w:tcW w:w="77" w:type="dxa"/>
            <w:tcMar>
              <w:left w:w="0" w:type="dxa"/>
              <w:right w:w="0" w:type="dxa"/>
            </w:tcMar>
          </w:tcPr>
          <w:p w14:paraId="41313B1D" w14:textId="77777777" w:rsidR="00D838F3" w:rsidRDefault="00D838F3"/>
        </w:tc>
      </w:tr>
      <w:tr w:rsidR="00D838F3" w14:paraId="194369C5" w14:textId="7777777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460" w:type="dxa"/>
            <w:tcMar>
              <w:left w:w="60" w:type="dxa"/>
              <w:right w:w="40" w:type="dxa"/>
            </w:tcMar>
            <w:vAlign w:val="bottom"/>
          </w:tcPr>
          <w:p w14:paraId="0AE2D2B7" w14:textId="77777777" w:rsidR="00D838F3" w:rsidRDefault="00700484">
            <w:pPr>
              <w:keepLines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Total Liabilities and Stockholders' Equity</w:t>
            </w:r>
          </w:p>
        </w:tc>
        <w:tc>
          <w:tcPr>
            <w:tcW w:w="80" w:type="dxa"/>
            <w:tcMar>
              <w:left w:w="60" w:type="dxa"/>
              <w:right w:w="0" w:type="dxa"/>
            </w:tcMar>
            <w:vAlign w:val="bottom"/>
          </w:tcPr>
          <w:p w14:paraId="3ABA683C" w14:textId="77777777" w:rsidR="00D838F3" w:rsidRDefault="00D838F3">
            <w:pPr>
              <w:keepLines/>
              <w:spacing w:before="40" w:after="40"/>
            </w:pPr>
          </w:p>
        </w:tc>
        <w:tc>
          <w:tcPr>
            <w:tcW w:w="1223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C3D90A7" w14:textId="77777777" w:rsidR="00D838F3" w:rsidRDefault="00700484">
            <w:pPr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247,894</w:t>
            </w:r>
          </w:p>
        </w:tc>
        <w:tc>
          <w:tcPr>
            <w:tcW w:w="7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</w:tcPr>
          <w:p w14:paraId="00E31BC2" w14:textId="77777777" w:rsidR="00D838F3" w:rsidRDefault="00D838F3"/>
        </w:tc>
        <w:tc>
          <w:tcPr>
            <w:tcW w:w="80" w:type="dxa"/>
            <w:tcMar>
              <w:left w:w="0" w:type="dxa"/>
              <w:right w:w="60" w:type="dxa"/>
            </w:tcMar>
            <w:vAlign w:val="bottom"/>
          </w:tcPr>
          <w:p w14:paraId="23AC80B9" w14:textId="77777777" w:rsidR="00D838F3" w:rsidRDefault="00D838F3">
            <w:pPr>
              <w:keepLines/>
              <w:spacing w:before="40" w:after="40"/>
            </w:pPr>
          </w:p>
        </w:tc>
        <w:tc>
          <w:tcPr>
            <w:tcW w:w="1243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BD3093C" w14:textId="77777777" w:rsidR="00D838F3" w:rsidRDefault="00700484">
            <w:pPr>
              <w:keepLines/>
              <w:spacing w:before="40" w:after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1,274,162</w:t>
            </w:r>
          </w:p>
        </w:tc>
        <w:tc>
          <w:tcPr>
            <w:tcW w:w="77" w:type="dxa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</w:tcPr>
          <w:p w14:paraId="5A160179" w14:textId="77777777" w:rsidR="00D838F3" w:rsidRDefault="00D838F3"/>
        </w:tc>
      </w:tr>
    </w:tbl>
    <w:p w14:paraId="4A3D6E73" w14:textId="77777777" w:rsidR="00D838F3" w:rsidRDefault="00D838F3">
      <w:pPr>
        <w:spacing w:before="60" w:line="288" w:lineRule="auto"/>
        <w:rPr>
          <w:rFonts w:ascii="Arial" w:eastAsia="Arial" w:hAnsi="Arial" w:cs="Arial"/>
          <w:sz w:val="22"/>
        </w:rPr>
      </w:pPr>
    </w:p>
    <w:p w14:paraId="31C32159" w14:textId="77777777" w:rsidR="00D838F3" w:rsidRDefault="00700484">
      <w:pPr>
        <w:spacing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lastRenderedPageBreak/>
        <w:t>The following diagram shows the incorrect tree created by the filer.</w:t>
      </w:r>
    </w:p>
    <w:p w14:paraId="25E31891" w14:textId="77777777" w:rsidR="00D838F3" w:rsidRDefault="00D838F3">
      <w:pPr>
        <w:spacing w:line="288" w:lineRule="auto"/>
        <w:rPr>
          <w:rFonts w:ascii="Arial" w:eastAsia="Arial" w:hAnsi="Arial" w:cs="Arial"/>
          <w:sz w:val="22"/>
        </w:rPr>
      </w:pPr>
    </w:p>
    <w:p w14:paraId="14324639" w14:textId="77777777" w:rsidR="00D838F3" w:rsidRDefault="00700484">
      <w:pPr>
        <w:spacing w:line="288" w:lineRule="auto"/>
        <w:jc w:val="both"/>
      </w:pPr>
      <w:r>
        <w:rPr>
          <w:noProof/>
        </w:rPr>
        <w:drawing>
          <wp:inline distT="0" distB="0" distL="0" distR="0" wp14:anchorId="2570CC10" wp14:editId="735158F4">
            <wp:extent cx="6362700" cy="2222500"/>
            <wp:effectExtent l="0" t="0" r="0" b="0"/>
            <wp:docPr id="1" name="Image - 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C07C" w14:textId="77777777" w:rsidR="00D838F3" w:rsidRDefault="00D838F3">
      <w:pPr>
        <w:spacing w:line="288" w:lineRule="auto"/>
        <w:jc w:val="both"/>
        <w:rPr>
          <w:rFonts w:ascii="Arial" w:eastAsia="Arial" w:hAnsi="Arial" w:cs="Arial"/>
          <w:sz w:val="22"/>
        </w:rPr>
      </w:pPr>
    </w:p>
    <w:p w14:paraId="4F3155B3" w14:textId="77777777" w:rsidR="00D838F3" w:rsidRDefault="00700484">
      <w:pPr>
        <w:spacing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correct calculation tree should be as follows:</w:t>
      </w:r>
    </w:p>
    <w:p w14:paraId="32B18926" w14:textId="77777777" w:rsidR="00D838F3" w:rsidRDefault="00D838F3">
      <w:pPr>
        <w:spacing w:line="288" w:lineRule="auto"/>
        <w:rPr>
          <w:rFonts w:ascii="Arial" w:eastAsia="Arial" w:hAnsi="Arial" w:cs="Arial"/>
          <w:sz w:val="22"/>
        </w:rPr>
      </w:pPr>
    </w:p>
    <w:p w14:paraId="5FE73777" w14:textId="77777777" w:rsidR="00D838F3" w:rsidRDefault="00700484">
      <w:pPr>
        <w:spacing w:line="288" w:lineRule="auto"/>
      </w:pPr>
      <w:r>
        <w:rPr>
          <w:noProof/>
        </w:rPr>
        <w:drawing>
          <wp:inline distT="0" distB="0" distL="0" distR="0" wp14:anchorId="12CE6C00" wp14:editId="1411EA15">
            <wp:extent cx="6362700" cy="2222500"/>
            <wp:effectExtent l="0" t="0" r="0" b="0"/>
            <wp:docPr id="2" name="Image - 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br/>
      </w:r>
      <w:r>
        <w:rPr>
          <w:rFonts w:ascii="Arial" w:eastAsia="Arial" w:hAnsi="Arial" w:cs="Arial"/>
          <w:b/>
          <w:sz w:val="28"/>
        </w:rPr>
        <w:t>Example rule message</w:t>
      </w:r>
    </w:p>
    <w:p w14:paraId="4447C711" w14:textId="77777777" w:rsidR="00D838F3" w:rsidRDefault="00D838F3">
      <w:pPr>
        <w:spacing w:line="288" w:lineRule="auto"/>
        <w:jc w:val="both"/>
        <w:rPr>
          <w:rFonts w:ascii="Arial" w:eastAsia="Arial" w:hAnsi="Arial" w:cs="Arial"/>
          <w:sz w:val="22"/>
        </w:rPr>
      </w:pPr>
    </w:p>
    <w:p w14:paraId="10ACB42A" w14:textId="77777777" w:rsidR="00D838F3" w:rsidRDefault="00700484">
      <w:pPr>
        <w:spacing w:line="28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The calculation in the extension taxonomy shows Stockholders Equity Including Portion Attributable To </w:t>
      </w:r>
      <w:proofErr w:type="spellStart"/>
      <w:r>
        <w:rPr>
          <w:rFonts w:ascii="Arial" w:eastAsia="Arial" w:hAnsi="Arial" w:cs="Arial"/>
          <w:sz w:val="22"/>
        </w:rPr>
        <w:t>Noncontrolling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Arial" w:eastAsia="Arial" w:hAnsi="Arial" w:cs="Arial"/>
          <w:sz w:val="22"/>
        </w:rPr>
        <w:t>Interest  as</w:t>
      </w:r>
      <w:proofErr w:type="gramEnd"/>
      <w:r>
        <w:rPr>
          <w:rFonts w:ascii="Arial" w:eastAsia="Arial" w:hAnsi="Arial" w:cs="Arial"/>
          <w:sz w:val="22"/>
        </w:rPr>
        <w:t xml:space="preserve"> a calculation component of  </w:t>
      </w:r>
      <w:r>
        <w:rPr>
          <w:rFonts w:ascii="Arial" w:eastAsia="Arial" w:hAnsi="Arial" w:cs="Arial"/>
        </w:rPr>
        <w:t>Stockholders' Equity Attributable to Parent</w:t>
      </w:r>
      <w:r>
        <w:rPr>
          <w:rFonts w:ascii="Arial" w:eastAsia="Arial" w:hAnsi="Arial" w:cs="Arial"/>
          <w:sz w:val="22"/>
        </w:rPr>
        <w:t xml:space="preserve"> in the network for the balance sheet. This is the opposite of a calculation defined in the base US GAAP taxonomy. Check that the calculation is correct or that you have used the correct tag for the two elements identified in the calculation.</w:t>
      </w:r>
    </w:p>
    <w:p w14:paraId="4C8872B1" w14:textId="77777777" w:rsidR="00D838F3" w:rsidRDefault="00D838F3">
      <w:pPr>
        <w:spacing w:line="288" w:lineRule="auto"/>
        <w:rPr>
          <w:rFonts w:ascii="Arial" w:eastAsia="Arial" w:hAnsi="Arial" w:cs="Arial"/>
        </w:rPr>
      </w:pPr>
    </w:p>
    <w:p w14:paraId="29A4DC6D" w14:textId="77777777" w:rsidR="00D838F3" w:rsidRDefault="00700484">
      <w:pPr>
        <w:spacing w:line="41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Rule version</w:t>
      </w:r>
      <w:r>
        <w:rPr>
          <w:rFonts w:ascii="Arial" w:eastAsia="Arial" w:hAnsi="Arial" w:cs="Arial"/>
          <w:sz w:val="22"/>
        </w:rPr>
        <w:t>: 4.0</w:t>
      </w:r>
    </w:p>
    <w:p w14:paraId="34A8F932" w14:textId="77777777" w:rsidR="00D838F3" w:rsidRDefault="00700484">
      <w:pPr>
        <w:spacing w:before="60" w:after="120" w:line="288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For Developers</w:t>
      </w:r>
    </w:p>
    <w:p w14:paraId="516CC476" w14:textId="77777777" w:rsidR="00D838F3" w:rsidRDefault="00700484">
      <w:pPr>
        <w:spacing w:line="28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Global Rule Logic document contains general guidelines for implementation of rules.</w:t>
      </w:r>
    </w:p>
    <w:p w14:paraId="54B9BFC7" w14:textId="77777777" w:rsidR="00D838F3" w:rsidRDefault="00700484">
      <w:pPr>
        <w:spacing w:line="28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rule message template contains text and parametric reference to arguments of the rule operation, using the syntax ${parameter} to indicate that insertion of a parameter’s value is to occur.</w:t>
      </w:r>
    </w:p>
    <w:p w14:paraId="74FF181F" w14:textId="77777777" w:rsidR="00D838F3" w:rsidRDefault="00D838F3">
      <w:pPr>
        <w:spacing w:line="418" w:lineRule="auto"/>
        <w:rPr>
          <w:rFonts w:ascii="Arial" w:eastAsia="Arial" w:hAnsi="Arial" w:cs="Arial"/>
        </w:rPr>
      </w:pPr>
    </w:p>
    <w:p w14:paraId="794D4D80" w14:textId="77777777" w:rsidR="00D838F3" w:rsidRDefault="00700484">
      <w:pPr>
        <w:spacing w:before="60" w:after="120" w:line="288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Message template</w:t>
      </w:r>
    </w:p>
    <w:p w14:paraId="25A32B9A" w14:textId="77777777" w:rsidR="00D838F3" w:rsidRDefault="00700484">
      <w:pPr>
        <w:spacing w:line="28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calculation in the extension taxonomy sh</w:t>
      </w:r>
      <w:r>
        <w:rPr>
          <w:rFonts w:ascii="Arial" w:eastAsia="Arial" w:hAnsi="Arial" w:cs="Arial"/>
          <w:sz w:val="22"/>
        </w:rPr>
        <w:t>ows ${</w:t>
      </w:r>
      <w:proofErr w:type="spellStart"/>
      <w:r>
        <w:rPr>
          <w:rFonts w:ascii="Arial" w:eastAsia="Arial" w:hAnsi="Arial" w:cs="Arial"/>
          <w:sz w:val="22"/>
        </w:rPr>
        <w:t>extCalcTargetName</w:t>
      </w:r>
      <w:proofErr w:type="spellEnd"/>
      <w:r>
        <w:rPr>
          <w:rFonts w:ascii="Arial" w:eastAsia="Arial" w:hAnsi="Arial" w:cs="Arial"/>
          <w:sz w:val="22"/>
        </w:rPr>
        <w:t xml:space="preserve">} as a calculation component </w:t>
      </w:r>
      <w:proofErr w:type="gramStart"/>
      <w:r>
        <w:rPr>
          <w:rFonts w:ascii="Arial" w:eastAsia="Arial" w:hAnsi="Arial" w:cs="Arial"/>
          <w:sz w:val="22"/>
        </w:rPr>
        <w:t>of  $</w:t>
      </w:r>
      <w:proofErr w:type="gramEnd"/>
      <w:r>
        <w:rPr>
          <w:rFonts w:ascii="Arial" w:eastAsia="Arial" w:hAnsi="Arial" w:cs="Arial"/>
          <w:sz w:val="22"/>
        </w:rPr>
        <w:t>{</w:t>
      </w:r>
      <w:proofErr w:type="spellStart"/>
      <w:r>
        <w:rPr>
          <w:rFonts w:ascii="Arial" w:eastAsia="Arial" w:hAnsi="Arial" w:cs="Arial"/>
          <w:sz w:val="22"/>
        </w:rPr>
        <w:t>extCalcSourceName</w:t>
      </w:r>
      <w:proofErr w:type="spellEnd"/>
      <w:r>
        <w:rPr>
          <w:rFonts w:ascii="Arial" w:eastAsia="Arial" w:hAnsi="Arial" w:cs="Arial"/>
          <w:sz w:val="22"/>
        </w:rPr>
        <w:t>} in the network for the ${</w:t>
      </w:r>
      <w:proofErr w:type="spellStart"/>
      <w:r>
        <w:rPr>
          <w:rFonts w:ascii="Arial" w:eastAsia="Arial" w:hAnsi="Arial" w:cs="Arial"/>
          <w:sz w:val="22"/>
        </w:rPr>
        <w:t>networkName</w:t>
      </w:r>
      <w:proofErr w:type="spellEnd"/>
      <w:r>
        <w:rPr>
          <w:rFonts w:ascii="Arial" w:eastAsia="Arial" w:hAnsi="Arial" w:cs="Arial"/>
          <w:sz w:val="22"/>
        </w:rPr>
        <w:t xml:space="preserve">}. This is the opposite of a calculation defined </w:t>
      </w:r>
      <w:r>
        <w:rPr>
          <w:rFonts w:ascii="Arial" w:eastAsia="Arial" w:hAnsi="Arial" w:cs="Arial"/>
          <w:sz w:val="22"/>
        </w:rPr>
        <w:lastRenderedPageBreak/>
        <w:t xml:space="preserve">in the base US GAAP taxonomy. Check that the calculation is correct or that you have used the </w:t>
      </w:r>
      <w:r>
        <w:rPr>
          <w:rFonts w:ascii="Arial" w:eastAsia="Arial" w:hAnsi="Arial" w:cs="Arial"/>
          <w:sz w:val="22"/>
        </w:rPr>
        <w:t>correct tag for the two elements identified in the calculation.</w:t>
      </w:r>
    </w:p>
    <w:p w14:paraId="7FCC6F69" w14:textId="77777777" w:rsidR="00D838F3" w:rsidRDefault="00D838F3">
      <w:pPr>
        <w:spacing w:line="288" w:lineRule="auto"/>
        <w:jc w:val="both"/>
        <w:rPr>
          <w:rFonts w:ascii="Arial" w:eastAsia="Arial" w:hAnsi="Arial" w:cs="Arial"/>
          <w:sz w:val="22"/>
        </w:rPr>
      </w:pPr>
    </w:p>
    <w:p w14:paraId="60DAFF63" w14:textId="77777777" w:rsidR="00D838F3" w:rsidRDefault="00700484">
      <w:pPr>
        <w:spacing w:line="28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Rule version: 4.0</w:t>
      </w:r>
    </w:p>
    <w:p w14:paraId="4C8456B3" w14:textId="77777777" w:rsidR="00D838F3" w:rsidRDefault="00700484">
      <w:pPr>
        <w:spacing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br/>
      </w:r>
      <w:r>
        <w:rPr>
          <w:rFonts w:ascii="Arial" w:eastAsia="Arial" w:hAnsi="Arial" w:cs="Arial"/>
          <w:b/>
          <w:sz w:val="28"/>
        </w:rPr>
        <w:t>Rule element ID index</w:t>
      </w:r>
    </w:p>
    <w:p w14:paraId="0BFEF3C9" w14:textId="77777777" w:rsidR="00D838F3" w:rsidRDefault="00700484">
      <w:pPr>
        <w:spacing w:line="28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rule element id is used to identify unique elements or combinations of elements tested in the rule.</w:t>
      </w:r>
    </w:p>
    <w:p w14:paraId="4EDB28EE" w14:textId="77777777" w:rsidR="00D838F3" w:rsidRDefault="00D838F3">
      <w:pPr>
        <w:spacing w:after="140"/>
        <w:rPr>
          <w:rFonts w:ascii="Arial" w:eastAsia="Arial" w:hAnsi="Arial" w:cs="Arial"/>
          <w:sz w:val="22"/>
        </w:rPr>
      </w:pPr>
    </w:p>
    <w:tbl>
      <w:tblPr>
        <w:tblW w:w="1020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3400"/>
        <w:gridCol w:w="3400"/>
      </w:tblGrid>
      <w:tr w:rsidR="00D838F3" w14:paraId="55438665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3400" w:type="dxa"/>
            <w:tcBorders>
              <w:top w:val="single" w:sz="8" w:space="0" w:color="auto"/>
              <w:left w:val="single" w:sz="8" w:space="0" w:color="auto"/>
            </w:tcBorders>
            <w:tcMar>
              <w:left w:w="60" w:type="dxa"/>
              <w:right w:w="40" w:type="dxa"/>
            </w:tcMar>
            <w:vAlign w:val="bottom"/>
          </w:tcPr>
          <w:p w14:paraId="48BE142B" w14:textId="77777777" w:rsidR="00D838F3" w:rsidRDefault="00700484">
            <w:pPr>
              <w:keepNext/>
              <w:keepLines/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Rule Element ID</w:t>
            </w:r>
          </w:p>
        </w:tc>
        <w:tc>
          <w:tcPr>
            <w:tcW w:w="3400" w:type="dxa"/>
            <w:tcBorders>
              <w:top w:val="single" w:sz="8" w:space="0" w:color="auto"/>
              <w:left w:val="single" w:sz="8" w:space="0" w:color="auto"/>
            </w:tcBorders>
            <w:tcMar>
              <w:left w:w="60" w:type="dxa"/>
              <w:right w:w="40" w:type="dxa"/>
            </w:tcMar>
            <w:vAlign w:val="bottom"/>
          </w:tcPr>
          <w:p w14:paraId="3F188A11" w14:textId="77777777" w:rsidR="00D838F3" w:rsidRDefault="00700484">
            <w:pPr>
              <w:keepNext/>
              <w:keepLines/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Element Label</w:t>
            </w:r>
          </w:p>
        </w:tc>
        <w:tc>
          <w:tcPr>
            <w:tcW w:w="3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60" w:type="dxa"/>
              <w:right w:w="40" w:type="dxa"/>
            </w:tcMar>
            <w:vAlign w:val="bottom"/>
          </w:tcPr>
          <w:p w14:paraId="2B757CDA" w14:textId="77777777" w:rsidR="00D838F3" w:rsidRDefault="00700484">
            <w:pPr>
              <w:keepNext/>
              <w:keepLines/>
              <w:spacing w:before="40" w:after="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Element Name</w:t>
            </w:r>
          </w:p>
        </w:tc>
      </w:tr>
      <w:tr w:rsidR="00D838F3" w14:paraId="3C40DFA6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left w:w="60" w:type="dxa"/>
              <w:right w:w="40" w:type="dxa"/>
            </w:tcMar>
            <w:vAlign w:val="bottom"/>
          </w:tcPr>
          <w:p w14:paraId="1A87AA4F" w14:textId="77777777" w:rsidR="00D838F3" w:rsidRDefault="00700484">
            <w:pPr>
              <w:keepLines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DQC_0008.90</w:t>
            </w:r>
          </w:p>
        </w:tc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left w:w="60" w:type="dxa"/>
              <w:right w:w="40" w:type="dxa"/>
            </w:tcMar>
            <w:vAlign w:val="bottom"/>
          </w:tcPr>
          <w:p w14:paraId="619D5577" w14:textId="77777777" w:rsidR="00D838F3" w:rsidRDefault="00700484">
            <w:pPr>
              <w:keepLines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All</w:t>
            </w:r>
          </w:p>
        </w:tc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60" w:type="dxa"/>
              <w:right w:w="40" w:type="dxa"/>
            </w:tcMar>
            <w:vAlign w:val="bottom"/>
          </w:tcPr>
          <w:p w14:paraId="6BE49BFB" w14:textId="77777777" w:rsidR="00D838F3" w:rsidRDefault="00700484">
            <w:pPr>
              <w:keepLines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All</w:t>
            </w:r>
          </w:p>
        </w:tc>
      </w:tr>
    </w:tbl>
    <w:p w14:paraId="1FD0B9B3" w14:textId="77777777" w:rsidR="00D838F3" w:rsidRDefault="00D838F3">
      <w:pPr>
        <w:spacing w:before="60" w:line="288" w:lineRule="auto"/>
        <w:rPr>
          <w:rFonts w:ascii="Arial" w:eastAsia="Arial" w:hAnsi="Arial" w:cs="Arial"/>
          <w:sz w:val="22"/>
        </w:rPr>
      </w:pPr>
    </w:p>
    <w:sectPr w:rsidR="00D838F3">
      <w:headerReference w:type="default" r:id="rId8"/>
      <w:footerReference w:type="default" r:id="rId9"/>
      <w:pgSz w:w="12240" w:h="15840"/>
      <w:pgMar w:top="860" w:right="1000" w:bottom="860" w:left="1000" w:header="160" w:footer="440" w:gutter="0"/>
      <w:pgNumType w:chapSep="period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A625C" w14:textId="77777777" w:rsidR="00000000" w:rsidRDefault="00700484">
      <w:r>
        <w:separator/>
      </w:r>
    </w:p>
  </w:endnote>
  <w:endnote w:type="continuationSeparator" w:id="0">
    <w:p w14:paraId="0EDC4861" w14:textId="77777777" w:rsidR="00000000" w:rsidRDefault="00700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51478" w14:textId="77777777" w:rsidR="00D838F3" w:rsidRDefault="00D838F3">
    <w:pPr>
      <w:spacing w:line="288" w:lineRule="auto"/>
      <w:rPr>
        <w:rFonts w:ascii="Arial" w:eastAsia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654BB" w14:textId="77777777" w:rsidR="00000000" w:rsidRDefault="00700484">
      <w:r>
        <w:separator/>
      </w:r>
    </w:p>
  </w:footnote>
  <w:footnote w:type="continuationSeparator" w:id="0">
    <w:p w14:paraId="38B28030" w14:textId="77777777" w:rsidR="00000000" w:rsidRDefault="007004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FA0A4" w14:textId="77777777" w:rsidR="00D838F3" w:rsidRDefault="00D838F3">
    <w:pPr>
      <w:spacing w:line="288" w:lineRule="auto"/>
      <w:rPr>
        <w:rFonts w:ascii="Arial" w:eastAsia="Arial" w:hAnsi="Arial" w:cs="Arial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F3"/>
    <w:rsid w:val="00700484"/>
    <w:rsid w:val="00D8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7049"/>
  <w15:docId w15:val="{0D8CA61C-06B4-49A6-9DFD-A83D2A35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app0.xml><?xml version="1.0" encoding="utf-8"?>
<Properties xmlns="http://schemas.openxmlformats.org/officeDocument/2006/extended-properties">
  <Application>SSC Docx Exporter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workiva.com</dc:creator>
  <cp:keywords/>
  <dc:description/>
  <cp:lastModifiedBy>Ami Beers</cp:lastModifiedBy>
  <cp:revision>2</cp:revision>
  <dcterms:created xsi:type="dcterms:W3CDTF">2016-09-21T17:31:00Z</dcterms:created>
  <dcterms:modified xsi:type="dcterms:W3CDTF">2016-09-21T17:31:00Z</dcterms:modified>
</cp:coreProperties>
</file>