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d7b3284a3" Type="http://schemas.openxmlformats.org/officeDocument/2006/extended-properties" Target="docProps/app0.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D8BAC" w14:textId="77777777" w:rsidR="0084122C" w:rsidRDefault="0084122C" w:rsidP="0084122C">
      <w:pPr>
        <w:spacing w:after="240" w:line="418" w:lineRule="auto"/>
        <w:rPr>
          <w:b/>
          <w:sz w:val="36"/>
        </w:rPr>
      </w:pPr>
      <w:r>
        <w:rPr>
          <w:b/>
          <w:color w:val="333333"/>
          <w:sz w:val="36"/>
        </w:rPr>
        <w:t>Data Quality Guidance</w:t>
      </w:r>
      <w:bookmarkStart w:id="0" w:name="Guidance"/>
      <w:bookmarkEnd w:id="0"/>
    </w:p>
    <w:p w14:paraId="05D44C82" w14:textId="77777777" w:rsidR="0084122C" w:rsidRDefault="0084122C" w:rsidP="0084122C">
      <w:pPr>
        <w:spacing w:line="418" w:lineRule="auto"/>
        <w:rPr>
          <w:rFonts w:ascii="Arial" w:eastAsia="Arial" w:hAnsi="Arial" w:cs="Arial"/>
          <w:b/>
          <w:sz w:val="32"/>
        </w:rPr>
      </w:pPr>
      <w:r>
        <w:rPr>
          <w:rFonts w:ascii="Arial" w:eastAsia="Arial" w:hAnsi="Arial" w:cs="Arial"/>
          <w:b/>
          <w:sz w:val="32"/>
        </w:rPr>
        <w:t>Guidance on Tagging Axis and Members Using the US GAAP Taxonomy</w:t>
      </w:r>
      <w:r>
        <w:rPr>
          <w:rFonts w:ascii="Arial" w:eastAsia="Arial" w:hAnsi="Arial" w:cs="Arial"/>
          <w:b/>
          <w:sz w:val="32"/>
        </w:rPr>
        <w:t xml:space="preserve"> (Update for Public Review)</w:t>
      </w:r>
    </w:p>
    <w:p w14:paraId="3C87D6FE" w14:textId="77777777" w:rsidR="0084122C" w:rsidRDefault="0084122C" w:rsidP="0084122C">
      <w:pPr>
        <w:spacing w:line="418" w:lineRule="auto"/>
        <w:rPr>
          <w:rFonts w:ascii="Arial" w:eastAsia="Arial" w:hAnsi="Arial" w:cs="Arial"/>
          <w:sz w:val="28"/>
        </w:rPr>
      </w:pPr>
      <w:r>
        <w:rPr>
          <w:rFonts w:ascii="Arial" w:eastAsia="Arial" w:hAnsi="Arial" w:cs="Arial"/>
          <w:color w:val="666666"/>
          <w:sz w:val="28"/>
        </w:rPr>
        <w:t>XBRL US Data Quality Committee</w:t>
      </w:r>
    </w:p>
    <w:p w14:paraId="424F97DA" w14:textId="77777777" w:rsidR="0084122C" w:rsidRDefault="0084122C" w:rsidP="0084122C">
      <w:pPr>
        <w:keepNext/>
        <w:keepLines/>
        <w:spacing w:after="320" w:line="418" w:lineRule="auto"/>
        <w:rPr>
          <w:rFonts w:ascii="Arial" w:eastAsia="Arial" w:hAnsi="Arial" w:cs="Arial"/>
          <w:sz w:val="30"/>
        </w:rPr>
      </w:pPr>
      <w:r>
        <w:rPr>
          <w:rFonts w:ascii="Arial" w:eastAsia="Arial" w:hAnsi="Arial" w:cs="Arial"/>
          <w:color w:val="666666"/>
          <w:sz w:val="30"/>
        </w:rPr>
        <w:t>October 2016</w:t>
      </w:r>
    </w:p>
    <w:p w14:paraId="02816E46" w14:textId="77777777" w:rsidR="00236CD9" w:rsidRDefault="00236CD9">
      <w:pPr>
        <w:keepNext/>
        <w:keepLines/>
        <w:spacing w:after="60" w:line="288" w:lineRule="auto"/>
        <w:jc w:val="both"/>
        <w:rPr>
          <w:rFonts w:ascii="Arial" w:eastAsia="Arial" w:hAnsi="Arial" w:cs="Arial"/>
          <w:sz w:val="28"/>
        </w:rPr>
      </w:pPr>
    </w:p>
    <w:p w14:paraId="3A70325F" w14:textId="77777777" w:rsidR="00236CD9" w:rsidRDefault="0084122C">
      <w:pPr>
        <w:keepNext/>
        <w:keepLines/>
        <w:spacing w:after="60" w:line="288" w:lineRule="auto"/>
        <w:jc w:val="both"/>
        <w:rPr>
          <w:rFonts w:ascii="Arial" w:eastAsia="Arial" w:hAnsi="Arial" w:cs="Arial"/>
          <w:sz w:val="22"/>
        </w:rPr>
      </w:pPr>
      <w:r>
        <w:rPr>
          <w:rFonts w:ascii="Arial" w:eastAsia="Arial" w:hAnsi="Arial" w:cs="Arial"/>
          <w:sz w:val="22"/>
        </w:rPr>
        <w:t>The XBRL US Data Quality Committee (DQC) has developed prescriptive guidance for issuers submitting XBRL files that contain financial statements to the Securities Exchange Commission (SEC).  This guidance provides for uniform, consistent tagging of financi</w:t>
      </w:r>
      <w:r>
        <w:rPr>
          <w:rFonts w:ascii="Arial" w:eastAsia="Arial" w:hAnsi="Arial" w:cs="Arial"/>
          <w:sz w:val="22"/>
        </w:rPr>
        <w:t xml:space="preserve">al data using the US GAAP taxonomy to improve the usability of such data.  The DQC has also developed rules that test XBRL files for conformity with the guidance.  The additional </w:t>
      </w:r>
      <w:r>
        <w:rPr>
          <w:rFonts w:ascii="Arial" w:eastAsia="Arial" w:hAnsi="Arial" w:cs="Arial"/>
          <w:sz w:val="22"/>
        </w:rPr>
        <w:t>guidance included</w:t>
      </w:r>
      <w:r>
        <w:rPr>
          <w:rFonts w:ascii="Arial" w:eastAsia="Arial" w:hAnsi="Arial" w:cs="Arial"/>
          <w:sz w:val="22"/>
        </w:rPr>
        <w:t xml:space="preserve"> in this document is being exposed for public review.  Once approved for release, the Committee’s will be updated to include this information.</w:t>
      </w:r>
    </w:p>
    <w:p w14:paraId="7D49302A" w14:textId="77777777" w:rsidR="00236CD9" w:rsidRDefault="00236CD9">
      <w:pPr>
        <w:spacing w:before="60" w:after="120" w:line="288" w:lineRule="auto"/>
        <w:rPr>
          <w:rFonts w:ascii="Arial" w:eastAsia="Arial" w:hAnsi="Arial" w:cs="Arial"/>
          <w:b/>
          <w:sz w:val="36"/>
        </w:rPr>
      </w:pPr>
    </w:p>
    <w:p w14:paraId="7BC9C14D" w14:textId="77777777" w:rsidR="00236CD9" w:rsidRDefault="0084122C">
      <w:pPr>
        <w:spacing w:after="120" w:line="288" w:lineRule="auto"/>
        <w:rPr>
          <w:rFonts w:ascii="Arial" w:eastAsia="Arial" w:hAnsi="Arial" w:cs="Arial"/>
          <w:b/>
          <w:sz w:val="36"/>
        </w:rPr>
      </w:pPr>
      <w:r>
        <w:rPr>
          <w:rFonts w:ascii="Arial" w:eastAsia="Arial" w:hAnsi="Arial" w:cs="Arial"/>
          <w:b/>
          <w:sz w:val="36"/>
        </w:rPr>
        <w:t>Appropriate Modeling of Axis and Members</w:t>
      </w:r>
    </w:p>
    <w:p w14:paraId="0609A588" w14:textId="77777777" w:rsidR="00236CD9" w:rsidRDefault="0084122C">
      <w:pPr>
        <w:keepNext/>
        <w:keepLines/>
        <w:spacing w:after="60" w:line="288" w:lineRule="auto"/>
        <w:jc w:val="both"/>
        <w:rPr>
          <w:rFonts w:ascii="Arial" w:eastAsia="Arial" w:hAnsi="Arial" w:cs="Arial"/>
          <w:sz w:val="22"/>
        </w:rPr>
      </w:pPr>
      <w:r>
        <w:rPr>
          <w:rFonts w:ascii="Arial" w:eastAsia="Arial" w:hAnsi="Arial" w:cs="Arial"/>
          <w:sz w:val="22"/>
        </w:rPr>
        <w:t>In its Staff Observations, t</w:t>
      </w:r>
      <w:r>
        <w:rPr>
          <w:rFonts w:ascii="Arial" w:eastAsia="Arial" w:hAnsi="Arial" w:cs="Arial"/>
          <w:sz w:val="22"/>
        </w:rPr>
        <w:t>he SEC suggested filers utilize the pre-defined table structures included in the US GAAP taxonomy. Certain axes in the US GAAP taxonomy should only have certain members, otherwise consumption of the data is adversely impacted because the resulting axis and</w:t>
      </w:r>
      <w:r>
        <w:rPr>
          <w:rFonts w:ascii="Arial" w:eastAsia="Arial" w:hAnsi="Arial" w:cs="Arial"/>
          <w:sz w:val="22"/>
        </w:rPr>
        <w:t xml:space="preserve"> member combinations are nonsensical, e.g., reporting a type of currency as a member on a debt instrument axis.  The following guidance provides limitations on the use of certain axis and member combinations that should be adhered to when tagging financial</w:t>
      </w:r>
      <w:r>
        <w:rPr>
          <w:rFonts w:ascii="Arial" w:eastAsia="Arial" w:hAnsi="Arial" w:cs="Arial"/>
          <w:sz w:val="22"/>
        </w:rPr>
        <w:t xml:space="preserve"> information using the US GAAP Taxonomy.</w:t>
      </w:r>
    </w:p>
    <w:p w14:paraId="3B1FFDF1" w14:textId="77777777" w:rsidR="00236CD9" w:rsidRDefault="00236CD9">
      <w:pPr>
        <w:spacing w:after="60" w:line="418" w:lineRule="auto"/>
        <w:rPr>
          <w:rFonts w:ascii="Arial" w:eastAsia="Arial" w:hAnsi="Arial" w:cs="Arial"/>
          <w:sz w:val="22"/>
        </w:rPr>
      </w:pPr>
    </w:p>
    <w:p w14:paraId="555DCE7B" w14:textId="77777777" w:rsidR="00236CD9" w:rsidRDefault="0084122C">
      <w:pPr>
        <w:spacing w:before="60" w:after="120" w:line="288" w:lineRule="auto"/>
        <w:rPr>
          <w:rFonts w:ascii="Arial" w:eastAsia="Arial" w:hAnsi="Arial" w:cs="Arial"/>
          <w:b/>
          <w:sz w:val="28"/>
        </w:rPr>
      </w:pPr>
      <w:r>
        <w:rPr>
          <w:rFonts w:ascii="Arial" w:eastAsia="Arial" w:hAnsi="Arial" w:cs="Arial"/>
          <w:b/>
          <w:color w:val="424242"/>
          <w:sz w:val="28"/>
        </w:rPr>
        <w:t xml:space="preserve">Statement Equity Components [Axis] </w:t>
      </w:r>
      <w:r>
        <w:rPr>
          <w:rFonts w:ascii="Arial" w:eastAsia="Arial" w:hAnsi="Arial" w:cs="Arial"/>
          <w:i/>
          <w:color w:val="434343"/>
          <w:sz w:val="18"/>
        </w:rPr>
        <w:t>(</w:t>
      </w:r>
      <w:proofErr w:type="spellStart"/>
      <w:r>
        <w:rPr>
          <w:rFonts w:ascii="Arial" w:eastAsia="Arial" w:hAnsi="Arial" w:cs="Arial"/>
          <w:b/>
          <w:i/>
          <w:color w:val="434343"/>
          <w:sz w:val="18"/>
        </w:rPr>
        <w:t>StatementEquityComponentsAxis</w:t>
      </w:r>
      <w:proofErr w:type="spellEnd"/>
      <w:r>
        <w:rPr>
          <w:rFonts w:ascii="Arial" w:eastAsia="Arial" w:hAnsi="Arial" w:cs="Arial"/>
          <w:i/>
          <w:color w:val="434343"/>
          <w:sz w:val="18"/>
        </w:rPr>
        <w:t>)</w:t>
      </w:r>
    </w:p>
    <w:p w14:paraId="0AC72CEA" w14:textId="77777777" w:rsidR="00236CD9" w:rsidRDefault="0084122C">
      <w:pPr>
        <w:spacing w:after="60" w:line="288" w:lineRule="auto"/>
        <w:rPr>
          <w:rFonts w:ascii="Arial" w:eastAsia="Arial" w:hAnsi="Arial" w:cs="Arial"/>
          <w:sz w:val="22"/>
        </w:rPr>
      </w:pPr>
      <w:r>
        <w:rPr>
          <w:rFonts w:ascii="Arial" w:eastAsia="Arial" w:hAnsi="Arial" w:cs="Arial"/>
          <w:sz w:val="22"/>
        </w:rPr>
        <w:t xml:space="preserve">This axis is used to disaggregate shareholders equity into all its possible components. This axis should only include </w:t>
      </w:r>
      <w:r>
        <w:rPr>
          <w:rFonts w:ascii="Arial" w:eastAsia="Arial" w:hAnsi="Arial" w:cs="Arial"/>
          <w:sz w:val="22"/>
        </w:rPr>
        <w:t>sub categories of shareholde</w:t>
      </w:r>
      <w:r>
        <w:rPr>
          <w:rFonts w:ascii="Arial" w:eastAsia="Arial" w:hAnsi="Arial" w:cs="Arial"/>
          <w:sz w:val="22"/>
        </w:rPr>
        <w:t>rs equity and partnership capital on this axis. This axis can only have those members identified as components of stockholder equity  in the US GAAP taxonomy, the additional members identified below and extension members which may be specific to a given co</w:t>
      </w:r>
      <w:r>
        <w:rPr>
          <w:rFonts w:ascii="Arial" w:eastAsia="Arial" w:hAnsi="Arial" w:cs="Arial"/>
          <w:sz w:val="22"/>
        </w:rPr>
        <w:t>mpany that are not included in the taxonomy.  (DCQ_0001.75)</w:t>
      </w:r>
    </w:p>
    <w:p w14:paraId="1612B386" w14:textId="77777777" w:rsidR="00236CD9" w:rsidRDefault="00236CD9">
      <w:pPr>
        <w:spacing w:after="200"/>
        <w:rPr>
          <w:rFonts w:ascii="Arial" w:eastAsia="Arial" w:hAnsi="Arial" w:cs="Arial"/>
          <w:sz w:val="22"/>
        </w:rPr>
      </w:pPr>
    </w:p>
    <w:tbl>
      <w:tblPr>
        <w:tblW w:w="10240" w:type="dxa"/>
        <w:tblInd w:w="60" w:type="dxa"/>
        <w:tblLayout w:type="fixed"/>
        <w:tblCellMar>
          <w:left w:w="10" w:type="dxa"/>
          <w:right w:w="10" w:type="dxa"/>
        </w:tblCellMar>
        <w:tblLook w:val="04A0" w:firstRow="1" w:lastRow="0" w:firstColumn="1" w:lastColumn="0" w:noHBand="0" w:noVBand="1"/>
      </w:tblPr>
      <w:tblGrid>
        <w:gridCol w:w="2560"/>
        <w:gridCol w:w="2560"/>
        <w:gridCol w:w="1100"/>
        <w:gridCol w:w="4020"/>
      </w:tblGrid>
      <w:tr w:rsidR="00236CD9" w14:paraId="754000FC" w14:textId="77777777">
        <w:tblPrEx>
          <w:tblCellMar>
            <w:top w:w="0" w:type="dxa"/>
            <w:bottom w:w="0" w:type="dxa"/>
          </w:tblCellMar>
        </w:tblPrEx>
        <w:trPr>
          <w:trHeight w:hRule="exact" w:val="260"/>
        </w:trPr>
        <w:tc>
          <w:tcPr>
            <w:tcW w:w="25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667DDD17" w14:textId="77777777" w:rsidR="00236CD9" w:rsidRDefault="0084122C">
            <w:pPr>
              <w:keepNext/>
              <w:keepLines/>
              <w:spacing w:before="40" w:after="40"/>
              <w:rPr>
                <w:rFonts w:ascii="Arial" w:eastAsia="Arial" w:hAnsi="Arial" w:cs="Arial"/>
                <w:b/>
                <w:sz w:val="18"/>
              </w:rPr>
            </w:pPr>
            <w:r>
              <w:rPr>
                <w:rFonts w:ascii="Arial" w:eastAsia="Arial" w:hAnsi="Arial" w:cs="Arial"/>
                <w:b/>
                <w:color w:val="000000"/>
                <w:sz w:val="18"/>
              </w:rPr>
              <w:t>Element Name</w:t>
            </w:r>
          </w:p>
        </w:tc>
        <w:tc>
          <w:tcPr>
            <w:tcW w:w="256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597AB27" w14:textId="77777777" w:rsidR="00236CD9" w:rsidRDefault="0084122C">
            <w:pPr>
              <w:keepNext/>
              <w:keepLines/>
              <w:spacing w:before="40" w:after="40"/>
              <w:rPr>
                <w:rFonts w:ascii="Arial" w:eastAsia="Arial" w:hAnsi="Arial" w:cs="Arial"/>
                <w:b/>
                <w:sz w:val="18"/>
              </w:rPr>
            </w:pPr>
            <w:r>
              <w:rPr>
                <w:rFonts w:ascii="Arial" w:eastAsia="Arial" w:hAnsi="Arial" w:cs="Arial"/>
                <w:b/>
                <w:color w:val="000000"/>
                <w:sz w:val="18"/>
              </w:rPr>
              <w:t>Label</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68DAAF2" w14:textId="77777777" w:rsidR="00236CD9" w:rsidRDefault="0084122C">
            <w:pPr>
              <w:keepNext/>
              <w:keepLines/>
              <w:rPr>
                <w:rFonts w:ascii="Arial" w:eastAsia="Arial" w:hAnsi="Arial" w:cs="Arial"/>
                <w:b/>
                <w:sz w:val="18"/>
              </w:rPr>
            </w:pPr>
            <w:r>
              <w:rPr>
                <w:rFonts w:ascii="Arial" w:eastAsia="Arial" w:hAnsi="Arial" w:cs="Arial"/>
                <w:b/>
                <w:color w:val="000000"/>
                <w:sz w:val="18"/>
              </w:rPr>
              <w:t>Namespace</w:t>
            </w:r>
          </w:p>
        </w:tc>
        <w:tc>
          <w:tcPr>
            <w:tcW w:w="402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23E3CD19" w14:textId="77777777" w:rsidR="00236CD9" w:rsidRDefault="0084122C">
            <w:pPr>
              <w:keepNext/>
              <w:keepLines/>
              <w:spacing w:before="40" w:after="40"/>
              <w:rPr>
                <w:rFonts w:ascii="Arial" w:eastAsia="Arial" w:hAnsi="Arial" w:cs="Arial"/>
                <w:b/>
                <w:sz w:val="18"/>
              </w:rPr>
            </w:pPr>
            <w:r>
              <w:rPr>
                <w:rFonts w:ascii="Arial" w:eastAsia="Arial" w:hAnsi="Arial" w:cs="Arial"/>
                <w:b/>
                <w:color w:val="000000"/>
                <w:sz w:val="18"/>
              </w:rPr>
              <w:t>Documentation</w:t>
            </w:r>
          </w:p>
        </w:tc>
      </w:tr>
      <w:tr w:rsidR="00236CD9" w14:paraId="26F6CBA3" w14:textId="77777777">
        <w:tblPrEx>
          <w:tblCellMar>
            <w:top w:w="0" w:type="dxa"/>
            <w:bottom w:w="0" w:type="dxa"/>
          </w:tblCellMar>
        </w:tblPrEx>
        <w:trPr>
          <w:trHeight w:hRule="exact" w:val="780"/>
        </w:trPr>
        <w:tc>
          <w:tcPr>
            <w:tcW w:w="2560" w:type="dxa"/>
            <w:tcBorders>
              <w:top w:val="single" w:sz="8" w:space="0" w:color="CCCCCC"/>
              <w:left w:val="single" w:sz="8" w:space="0" w:color="CCCCCC"/>
              <w:bottom w:val="single" w:sz="8" w:space="0" w:color="CCCCCC"/>
              <w:right w:val="single" w:sz="8" w:space="0" w:color="CCCCCC"/>
            </w:tcBorders>
            <w:tcMar>
              <w:left w:w="40" w:type="dxa"/>
              <w:right w:w="40" w:type="dxa"/>
            </w:tcMar>
            <w:vAlign w:val="bottom"/>
          </w:tcPr>
          <w:p w14:paraId="3372B9A3" w14:textId="77777777" w:rsidR="00236CD9" w:rsidRDefault="0084122C">
            <w:pPr>
              <w:keepNext/>
              <w:keepLines/>
              <w:spacing w:before="40" w:after="40"/>
              <w:rPr>
                <w:rFonts w:ascii="Arial" w:eastAsia="Arial" w:hAnsi="Arial" w:cs="Arial"/>
                <w:sz w:val="18"/>
              </w:rPr>
            </w:pPr>
            <w:proofErr w:type="spellStart"/>
            <w:r>
              <w:rPr>
                <w:rFonts w:ascii="Arial" w:eastAsia="Arial" w:hAnsi="Arial" w:cs="Arial"/>
                <w:color w:val="000000"/>
                <w:sz w:val="18"/>
              </w:rPr>
              <w:t>WarrantsNotSettleableInCashMember</w:t>
            </w:r>
            <w:proofErr w:type="spellEnd"/>
          </w:p>
        </w:tc>
        <w:tc>
          <w:tcPr>
            <w:tcW w:w="2560" w:type="dxa"/>
            <w:tcMar>
              <w:left w:w="60" w:type="dxa"/>
              <w:right w:w="40" w:type="dxa"/>
            </w:tcMar>
            <w:vAlign w:val="bottom"/>
          </w:tcPr>
          <w:p w14:paraId="53485FE1"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 xml:space="preserve">Warrants Not </w:t>
            </w:r>
            <w:proofErr w:type="spellStart"/>
            <w:r>
              <w:rPr>
                <w:rFonts w:ascii="Arial" w:eastAsia="Arial" w:hAnsi="Arial" w:cs="Arial"/>
                <w:color w:val="000000"/>
                <w:sz w:val="18"/>
              </w:rPr>
              <w:t>Settleable</w:t>
            </w:r>
            <w:proofErr w:type="spellEnd"/>
            <w:r>
              <w:rPr>
                <w:rFonts w:ascii="Arial" w:eastAsia="Arial" w:hAnsi="Arial" w:cs="Arial"/>
                <w:color w:val="000000"/>
                <w:sz w:val="18"/>
              </w:rPr>
              <w:t xml:space="preserve"> in Cash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1A932763"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us-</w:t>
            </w:r>
            <w:proofErr w:type="spellStart"/>
            <w:r>
              <w:rPr>
                <w:rFonts w:ascii="Arial" w:eastAsia="Arial" w:hAnsi="Arial" w:cs="Arial"/>
                <w:color w:val="000000"/>
                <w:sz w:val="18"/>
              </w:rPr>
              <w:t>gaap</w:t>
            </w:r>
            <w:proofErr w:type="spellEnd"/>
          </w:p>
        </w:tc>
        <w:tc>
          <w:tcPr>
            <w:tcW w:w="4020" w:type="dxa"/>
            <w:tcBorders>
              <w:top w:val="single" w:sz="8" w:space="0" w:color="CCCCCC"/>
              <w:left w:val="single" w:sz="8" w:space="0" w:color="CCCCCC"/>
              <w:right w:val="single" w:sz="8" w:space="0" w:color="CCCCCC"/>
            </w:tcBorders>
            <w:tcMar>
              <w:left w:w="60" w:type="dxa"/>
              <w:right w:w="40" w:type="dxa"/>
            </w:tcMar>
            <w:vAlign w:val="bottom"/>
          </w:tcPr>
          <w:p w14:paraId="1A5AC2FB"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 xml:space="preserve">Warrants not </w:t>
            </w:r>
            <w:proofErr w:type="spellStart"/>
            <w:r>
              <w:rPr>
                <w:rFonts w:ascii="Arial" w:eastAsia="Arial" w:hAnsi="Arial" w:cs="Arial"/>
                <w:color w:val="000000"/>
                <w:sz w:val="18"/>
              </w:rPr>
              <w:t>settleable</w:t>
            </w:r>
            <w:proofErr w:type="spellEnd"/>
            <w:r>
              <w:rPr>
                <w:rFonts w:ascii="Arial" w:eastAsia="Arial" w:hAnsi="Arial" w:cs="Arial"/>
                <w:color w:val="000000"/>
                <w:sz w:val="18"/>
              </w:rPr>
              <w:t xml:space="preserve"> in cash that are classified in shareholders' equity.</w:t>
            </w:r>
          </w:p>
        </w:tc>
      </w:tr>
      <w:tr w:rsidR="00236CD9" w14:paraId="01B91540" w14:textId="77777777">
        <w:tblPrEx>
          <w:tblCellMar>
            <w:top w:w="0" w:type="dxa"/>
            <w:bottom w:w="0" w:type="dxa"/>
          </w:tblCellMar>
        </w:tblPrEx>
        <w:trPr>
          <w:trHeight w:hRule="exact" w:val="780"/>
        </w:trPr>
        <w:tc>
          <w:tcPr>
            <w:tcW w:w="2560" w:type="dxa"/>
            <w:tcBorders>
              <w:top w:val="single" w:sz="8" w:space="0" w:color="CCCCCC"/>
              <w:left w:val="single" w:sz="8" w:space="0" w:color="CCCCCC"/>
              <w:bottom w:val="single" w:sz="8" w:space="0" w:color="CCCCCC"/>
              <w:right w:val="single" w:sz="8" w:space="0" w:color="CCCCCC"/>
            </w:tcBorders>
            <w:tcMar>
              <w:left w:w="40" w:type="dxa"/>
              <w:right w:w="40" w:type="dxa"/>
            </w:tcMar>
            <w:vAlign w:val="bottom"/>
          </w:tcPr>
          <w:p w14:paraId="64EEE562" w14:textId="77777777" w:rsidR="00236CD9" w:rsidRDefault="0084122C">
            <w:pPr>
              <w:keepNext/>
              <w:keepLines/>
              <w:spacing w:before="40" w:after="40"/>
              <w:rPr>
                <w:rFonts w:ascii="Arial" w:eastAsia="Arial" w:hAnsi="Arial" w:cs="Arial"/>
                <w:sz w:val="18"/>
              </w:rPr>
            </w:pPr>
            <w:proofErr w:type="spellStart"/>
            <w:r>
              <w:rPr>
                <w:rFonts w:ascii="Arial" w:eastAsia="Arial" w:hAnsi="Arial" w:cs="Arial"/>
                <w:color w:val="000000"/>
                <w:sz w:val="18"/>
              </w:rPr>
              <w:t>ContingentConsiderationClassifiedAsEquityMember</w:t>
            </w:r>
            <w:proofErr w:type="spellEnd"/>
          </w:p>
        </w:tc>
        <w:tc>
          <w:tcPr>
            <w:tcW w:w="2560" w:type="dxa"/>
            <w:tcMar>
              <w:left w:w="60" w:type="dxa"/>
              <w:right w:w="40" w:type="dxa"/>
            </w:tcMar>
            <w:vAlign w:val="bottom"/>
          </w:tcPr>
          <w:p w14:paraId="3BE2D125"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Contingent Consideration Classified as Equity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077E4B8A"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us-</w:t>
            </w:r>
            <w:proofErr w:type="spellStart"/>
            <w:r>
              <w:rPr>
                <w:rFonts w:ascii="Arial" w:eastAsia="Arial" w:hAnsi="Arial" w:cs="Arial"/>
                <w:color w:val="000000"/>
                <w:sz w:val="18"/>
              </w:rPr>
              <w:t>gaap</w:t>
            </w:r>
            <w:proofErr w:type="spellEnd"/>
          </w:p>
        </w:tc>
        <w:tc>
          <w:tcPr>
            <w:tcW w:w="4020" w:type="dxa"/>
            <w:tcBorders>
              <w:top w:val="single" w:sz="8" w:space="0" w:color="CCCCCC"/>
              <w:left w:val="single" w:sz="8" w:space="0" w:color="CCCCCC"/>
              <w:right w:val="single" w:sz="8" w:space="0" w:color="CCCCCC"/>
            </w:tcBorders>
            <w:tcMar>
              <w:left w:w="60" w:type="dxa"/>
              <w:right w:w="40" w:type="dxa"/>
            </w:tcMar>
            <w:vAlign w:val="bottom"/>
          </w:tcPr>
          <w:p w14:paraId="1324B178"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Contingent consideration in a business combination that is classified in shareholders' equity.</w:t>
            </w:r>
          </w:p>
        </w:tc>
      </w:tr>
      <w:tr w:rsidR="00236CD9" w14:paraId="799F56AA" w14:textId="77777777">
        <w:tblPrEx>
          <w:tblCellMar>
            <w:top w:w="0" w:type="dxa"/>
            <w:bottom w:w="0" w:type="dxa"/>
          </w:tblCellMar>
        </w:tblPrEx>
        <w:trPr>
          <w:trHeight w:hRule="exact" w:val="780"/>
        </w:trPr>
        <w:tc>
          <w:tcPr>
            <w:tcW w:w="2560" w:type="dxa"/>
            <w:tcBorders>
              <w:top w:val="single" w:sz="8" w:space="0" w:color="CCCCCC"/>
              <w:left w:val="single" w:sz="8" w:space="0" w:color="CCCCCC"/>
              <w:bottom w:val="single" w:sz="8" w:space="0" w:color="CCCCCC"/>
              <w:right w:val="single" w:sz="8" w:space="0" w:color="CCCCCC"/>
            </w:tcBorders>
            <w:tcMar>
              <w:left w:w="40" w:type="dxa"/>
              <w:right w:w="40" w:type="dxa"/>
            </w:tcMar>
            <w:vAlign w:val="bottom"/>
          </w:tcPr>
          <w:p w14:paraId="3470E4C2" w14:textId="77777777" w:rsidR="00236CD9" w:rsidRDefault="0084122C">
            <w:pPr>
              <w:keepNext/>
              <w:keepLines/>
              <w:spacing w:before="40" w:after="40"/>
              <w:rPr>
                <w:rFonts w:ascii="Arial" w:eastAsia="Arial" w:hAnsi="Arial" w:cs="Arial"/>
                <w:sz w:val="18"/>
              </w:rPr>
            </w:pPr>
            <w:proofErr w:type="spellStart"/>
            <w:r>
              <w:rPr>
                <w:rFonts w:ascii="Arial" w:eastAsia="Arial" w:hAnsi="Arial" w:cs="Arial"/>
                <w:color w:val="000000"/>
                <w:sz w:val="18"/>
              </w:rPr>
              <w:t>EquityIssuedInBusinessCombinationMember</w:t>
            </w:r>
            <w:proofErr w:type="spellEnd"/>
          </w:p>
        </w:tc>
        <w:tc>
          <w:tcPr>
            <w:tcW w:w="2560" w:type="dxa"/>
            <w:tcMar>
              <w:left w:w="60" w:type="dxa"/>
              <w:right w:w="40" w:type="dxa"/>
            </w:tcMar>
            <w:vAlign w:val="bottom"/>
          </w:tcPr>
          <w:p w14:paraId="6A04BC45"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Equity Issued in Business Combination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52B79315"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us-</w:t>
            </w:r>
            <w:proofErr w:type="spellStart"/>
            <w:r>
              <w:rPr>
                <w:rFonts w:ascii="Arial" w:eastAsia="Arial" w:hAnsi="Arial" w:cs="Arial"/>
                <w:color w:val="000000"/>
                <w:sz w:val="18"/>
              </w:rPr>
              <w:t>gaap</w:t>
            </w:r>
            <w:proofErr w:type="spellEnd"/>
          </w:p>
        </w:tc>
        <w:tc>
          <w:tcPr>
            <w:tcW w:w="4020" w:type="dxa"/>
            <w:tcBorders>
              <w:top w:val="single" w:sz="8" w:space="0" w:color="CCCCCC"/>
              <w:left w:val="single" w:sz="8" w:space="0" w:color="CCCCCC"/>
              <w:right w:val="single" w:sz="8" w:space="0" w:color="CCCCCC"/>
            </w:tcBorders>
            <w:tcMar>
              <w:left w:w="60" w:type="dxa"/>
              <w:right w:w="40" w:type="dxa"/>
            </w:tcMar>
            <w:vAlign w:val="bottom"/>
          </w:tcPr>
          <w:p w14:paraId="67927BAC" w14:textId="77777777" w:rsidR="00236CD9" w:rsidRDefault="0084122C">
            <w:pPr>
              <w:keepNext/>
              <w:keepLines/>
              <w:spacing w:before="40" w:after="40"/>
              <w:rPr>
                <w:rFonts w:ascii="Arial" w:eastAsia="Arial" w:hAnsi="Arial" w:cs="Arial"/>
                <w:sz w:val="18"/>
              </w:rPr>
            </w:pPr>
            <w:r>
              <w:rPr>
                <w:rFonts w:ascii="Arial" w:eastAsia="Arial" w:hAnsi="Arial" w:cs="Arial"/>
                <w:color w:val="000000"/>
                <w:sz w:val="18"/>
              </w:rPr>
              <w:t>Equity issued by an entity in a business combination that is clas</w:t>
            </w:r>
            <w:r>
              <w:rPr>
                <w:rFonts w:ascii="Arial" w:eastAsia="Arial" w:hAnsi="Arial" w:cs="Arial"/>
                <w:color w:val="000000"/>
                <w:sz w:val="18"/>
              </w:rPr>
              <w:t>sified in shareholders' equity.</w:t>
            </w:r>
          </w:p>
        </w:tc>
      </w:tr>
      <w:tr w:rsidR="00236CD9" w14:paraId="16F23F71" w14:textId="77777777">
        <w:tblPrEx>
          <w:tblCellMar>
            <w:top w:w="0" w:type="dxa"/>
            <w:bottom w:w="0" w:type="dxa"/>
          </w:tblCellMar>
        </w:tblPrEx>
        <w:trPr>
          <w:trHeight w:hRule="exact" w:val="780"/>
        </w:trPr>
        <w:tc>
          <w:tcPr>
            <w:tcW w:w="2560" w:type="dxa"/>
            <w:tcBorders>
              <w:top w:val="single" w:sz="8" w:space="0" w:color="CCCCCC"/>
              <w:left w:val="single" w:sz="8" w:space="0" w:color="CCCCCC"/>
              <w:bottom w:val="single" w:sz="8" w:space="0" w:color="CCCCCC"/>
              <w:right w:val="single" w:sz="8" w:space="0" w:color="CCCCCC"/>
            </w:tcBorders>
            <w:tcMar>
              <w:left w:w="40" w:type="dxa"/>
              <w:right w:w="40" w:type="dxa"/>
            </w:tcMar>
            <w:vAlign w:val="bottom"/>
          </w:tcPr>
          <w:p w14:paraId="70CCA826" w14:textId="77777777" w:rsidR="00236CD9" w:rsidRDefault="0084122C">
            <w:pPr>
              <w:keepLines/>
              <w:spacing w:before="40" w:after="40"/>
              <w:rPr>
                <w:rFonts w:ascii="Arial" w:eastAsia="Arial" w:hAnsi="Arial" w:cs="Arial"/>
                <w:sz w:val="18"/>
              </w:rPr>
            </w:pPr>
            <w:proofErr w:type="spellStart"/>
            <w:r>
              <w:rPr>
                <w:rFonts w:ascii="Arial" w:eastAsia="Arial" w:hAnsi="Arial" w:cs="Arial"/>
                <w:color w:val="000000"/>
                <w:sz w:val="18"/>
              </w:rPr>
              <w:t>TrustForBenefitOfEmployeesMember</w:t>
            </w:r>
            <w:proofErr w:type="spellEnd"/>
          </w:p>
        </w:tc>
        <w:tc>
          <w:tcPr>
            <w:tcW w:w="2560" w:type="dxa"/>
            <w:tcMar>
              <w:left w:w="60" w:type="dxa"/>
              <w:right w:w="40" w:type="dxa"/>
            </w:tcMar>
            <w:vAlign w:val="bottom"/>
          </w:tcPr>
          <w:p w14:paraId="765BA553" w14:textId="77777777" w:rsidR="00236CD9" w:rsidRDefault="0084122C">
            <w:pPr>
              <w:keepLines/>
              <w:spacing w:before="40" w:after="40"/>
              <w:rPr>
                <w:rFonts w:ascii="Arial" w:eastAsia="Arial" w:hAnsi="Arial" w:cs="Arial"/>
                <w:sz w:val="18"/>
              </w:rPr>
            </w:pPr>
            <w:r>
              <w:rPr>
                <w:rFonts w:ascii="Arial" w:eastAsia="Arial" w:hAnsi="Arial" w:cs="Arial"/>
                <w:color w:val="000000"/>
                <w:sz w:val="18"/>
              </w:rPr>
              <w:t>Trust for Benefit of Employees [Member]</w:t>
            </w:r>
          </w:p>
        </w:tc>
        <w:tc>
          <w:tcPr>
            <w:tcW w:w="1100" w:type="dxa"/>
            <w:tcBorders>
              <w:top w:val="single" w:sz="8" w:space="0" w:color="CCCCCC"/>
              <w:left w:val="single" w:sz="8" w:space="0" w:color="CCCCCC"/>
              <w:bottom w:val="single" w:sz="8" w:space="0" w:color="CCCCCC"/>
              <w:right w:val="single" w:sz="8" w:space="0" w:color="CCCCCC"/>
            </w:tcBorders>
            <w:tcMar>
              <w:left w:w="60" w:type="dxa"/>
              <w:right w:w="40" w:type="dxa"/>
            </w:tcMar>
            <w:vAlign w:val="bottom"/>
          </w:tcPr>
          <w:p w14:paraId="34E2542B" w14:textId="77777777" w:rsidR="00236CD9" w:rsidRDefault="0084122C">
            <w:pPr>
              <w:keepLines/>
              <w:spacing w:before="40" w:after="40"/>
              <w:rPr>
                <w:rFonts w:ascii="Arial" w:eastAsia="Arial" w:hAnsi="Arial" w:cs="Arial"/>
                <w:sz w:val="18"/>
              </w:rPr>
            </w:pPr>
            <w:r>
              <w:rPr>
                <w:rFonts w:ascii="Arial" w:eastAsia="Arial" w:hAnsi="Arial" w:cs="Arial"/>
                <w:color w:val="000000"/>
                <w:sz w:val="18"/>
              </w:rPr>
              <w:t>us-</w:t>
            </w:r>
            <w:proofErr w:type="spellStart"/>
            <w:r>
              <w:rPr>
                <w:rFonts w:ascii="Arial" w:eastAsia="Arial" w:hAnsi="Arial" w:cs="Arial"/>
                <w:color w:val="000000"/>
                <w:sz w:val="18"/>
              </w:rPr>
              <w:t>gaap</w:t>
            </w:r>
            <w:proofErr w:type="spellEnd"/>
          </w:p>
        </w:tc>
        <w:tc>
          <w:tcPr>
            <w:tcW w:w="4020" w:type="dxa"/>
            <w:tcBorders>
              <w:top w:val="single" w:sz="8" w:space="0" w:color="CCCCCC"/>
              <w:left w:val="single" w:sz="8" w:space="0" w:color="CCCCCC"/>
              <w:right w:val="single" w:sz="8" w:space="0" w:color="CCCCCC"/>
            </w:tcBorders>
            <w:tcMar>
              <w:left w:w="60" w:type="dxa"/>
              <w:right w:w="40" w:type="dxa"/>
            </w:tcMar>
            <w:vAlign w:val="bottom"/>
          </w:tcPr>
          <w:p w14:paraId="69C3C891" w14:textId="77777777" w:rsidR="00236CD9" w:rsidRDefault="0084122C">
            <w:pPr>
              <w:keepLines/>
              <w:rPr>
                <w:rFonts w:ascii="Arial" w:eastAsia="Arial" w:hAnsi="Arial" w:cs="Arial"/>
                <w:sz w:val="18"/>
              </w:rPr>
            </w:pPr>
            <w:r>
              <w:rPr>
                <w:rFonts w:ascii="Arial" w:eastAsia="Arial" w:hAnsi="Arial" w:cs="Arial"/>
                <w:color w:val="000000"/>
                <w:sz w:val="18"/>
              </w:rPr>
              <w:t>Trust created by the entity that exists for the benefit of its employees, such as pension and profit-sharing trusts that are managed by or under the trusteeship of the entity's management.</w:t>
            </w:r>
          </w:p>
        </w:tc>
      </w:tr>
    </w:tbl>
    <w:p w14:paraId="66788094" w14:textId="77777777" w:rsidR="00236CD9" w:rsidRDefault="00236CD9">
      <w:pPr>
        <w:spacing w:before="120" w:after="60" w:line="418" w:lineRule="auto"/>
        <w:rPr>
          <w:rFonts w:ascii="Arial" w:eastAsia="Arial" w:hAnsi="Arial" w:cs="Arial"/>
          <w:sz w:val="22"/>
        </w:rPr>
      </w:pPr>
    </w:p>
    <w:p w14:paraId="37E9A640" w14:textId="77777777" w:rsidR="00236CD9" w:rsidRDefault="00236CD9">
      <w:pPr>
        <w:spacing w:before="60" w:after="120" w:line="418" w:lineRule="auto"/>
        <w:rPr>
          <w:rFonts w:ascii="Arial" w:eastAsia="Arial" w:hAnsi="Arial" w:cs="Arial"/>
          <w:b/>
          <w:sz w:val="28"/>
        </w:rPr>
      </w:pPr>
    </w:p>
    <w:p w14:paraId="199BC217" w14:textId="77777777" w:rsidR="00236CD9" w:rsidRDefault="0084122C">
      <w:pPr>
        <w:spacing w:before="60" w:after="120" w:line="288" w:lineRule="auto"/>
        <w:rPr>
          <w:rFonts w:ascii="Arial" w:eastAsia="Arial" w:hAnsi="Arial" w:cs="Arial"/>
          <w:b/>
          <w:sz w:val="28"/>
        </w:rPr>
      </w:pPr>
      <w:r>
        <w:rPr>
          <w:rFonts w:ascii="Arial" w:eastAsia="Arial" w:hAnsi="Arial" w:cs="Arial"/>
          <w:b/>
          <w:color w:val="424242"/>
          <w:sz w:val="28"/>
        </w:rPr>
        <w:lastRenderedPageBreak/>
        <w:t xml:space="preserve">Statement Scenario [Axis] </w:t>
      </w:r>
      <w:r>
        <w:rPr>
          <w:rFonts w:ascii="Arial" w:eastAsia="Arial" w:hAnsi="Arial" w:cs="Arial"/>
          <w:i/>
          <w:color w:val="434343"/>
          <w:sz w:val="18"/>
        </w:rPr>
        <w:t>(</w:t>
      </w:r>
      <w:proofErr w:type="spellStart"/>
      <w:r>
        <w:rPr>
          <w:rFonts w:ascii="Arial" w:eastAsia="Arial" w:hAnsi="Arial" w:cs="Arial"/>
          <w:b/>
          <w:i/>
          <w:color w:val="434343"/>
          <w:sz w:val="18"/>
        </w:rPr>
        <w:t>StatementScenarioAxis</w:t>
      </w:r>
      <w:proofErr w:type="spellEnd"/>
      <w:r>
        <w:rPr>
          <w:rFonts w:ascii="Arial" w:eastAsia="Arial" w:hAnsi="Arial" w:cs="Arial"/>
          <w:i/>
          <w:color w:val="434343"/>
          <w:sz w:val="18"/>
        </w:rPr>
        <w:t>)</w:t>
      </w:r>
    </w:p>
    <w:p w14:paraId="0771A1DC" w14:textId="77777777" w:rsidR="00236CD9" w:rsidRDefault="0084122C">
      <w:pPr>
        <w:spacing w:after="60" w:line="288" w:lineRule="auto"/>
        <w:jc w:val="both"/>
        <w:rPr>
          <w:rFonts w:ascii="Arial" w:eastAsia="Arial" w:hAnsi="Arial" w:cs="Arial"/>
          <w:sz w:val="22"/>
        </w:rPr>
      </w:pPr>
      <w:r>
        <w:rPr>
          <w:rFonts w:ascii="Arial" w:eastAsia="Arial" w:hAnsi="Arial" w:cs="Arial"/>
          <w:sz w:val="22"/>
        </w:rPr>
        <w:t>This axis is used to indicate different scenarios that can impact a company. This axis can only have those members defined on the Statement Scenario axis in the US GAAP taxonomy and extension members. No other members from the US-GAAP taxonomy should be us</w:t>
      </w:r>
      <w:r>
        <w:rPr>
          <w:rFonts w:ascii="Arial" w:eastAsia="Arial" w:hAnsi="Arial" w:cs="Arial"/>
          <w:sz w:val="22"/>
        </w:rPr>
        <w:t>ed on this axis.  (DCQ_0001.76)</w:t>
      </w:r>
    </w:p>
    <w:p w14:paraId="2D5B1C8F" w14:textId="77777777" w:rsidR="00236CD9" w:rsidRDefault="00236CD9">
      <w:pPr>
        <w:spacing w:after="60" w:line="418" w:lineRule="auto"/>
        <w:jc w:val="both"/>
        <w:rPr>
          <w:rFonts w:ascii="Arial" w:eastAsia="Arial" w:hAnsi="Arial" w:cs="Arial"/>
          <w:sz w:val="22"/>
        </w:rPr>
      </w:pPr>
    </w:p>
    <w:p w14:paraId="1B63772A" w14:textId="77777777" w:rsidR="00236CD9" w:rsidRDefault="0084122C">
      <w:pPr>
        <w:spacing w:before="60" w:after="120" w:line="288" w:lineRule="auto"/>
        <w:rPr>
          <w:rFonts w:ascii="Arial" w:eastAsia="Arial" w:hAnsi="Arial" w:cs="Arial"/>
          <w:b/>
          <w:sz w:val="28"/>
        </w:rPr>
      </w:pPr>
      <w:r>
        <w:rPr>
          <w:rFonts w:ascii="Arial" w:eastAsia="Arial" w:hAnsi="Arial" w:cs="Arial"/>
          <w:b/>
          <w:color w:val="424242"/>
          <w:sz w:val="28"/>
        </w:rPr>
        <w:t xml:space="preserve">Range [Axis] </w:t>
      </w:r>
      <w:r>
        <w:rPr>
          <w:rFonts w:ascii="Arial" w:eastAsia="Arial" w:hAnsi="Arial" w:cs="Arial"/>
          <w:i/>
          <w:color w:val="434343"/>
          <w:sz w:val="18"/>
        </w:rPr>
        <w:t>(</w:t>
      </w:r>
      <w:proofErr w:type="spellStart"/>
      <w:r>
        <w:rPr>
          <w:rFonts w:ascii="Arial" w:eastAsia="Arial" w:hAnsi="Arial" w:cs="Arial"/>
          <w:b/>
          <w:i/>
          <w:color w:val="434343"/>
          <w:sz w:val="18"/>
        </w:rPr>
        <w:t>RangeAxis</w:t>
      </w:r>
      <w:proofErr w:type="spellEnd"/>
      <w:r>
        <w:rPr>
          <w:rFonts w:ascii="Arial" w:eastAsia="Arial" w:hAnsi="Arial" w:cs="Arial"/>
          <w:i/>
          <w:color w:val="434343"/>
          <w:sz w:val="18"/>
        </w:rPr>
        <w:t>)</w:t>
      </w:r>
    </w:p>
    <w:p w14:paraId="51DF383C" w14:textId="77777777" w:rsidR="00236CD9" w:rsidRDefault="0084122C">
      <w:pPr>
        <w:spacing w:after="60" w:line="288" w:lineRule="auto"/>
        <w:jc w:val="both"/>
        <w:rPr>
          <w:rFonts w:ascii="Arial" w:eastAsia="Arial" w:hAnsi="Arial" w:cs="Arial"/>
          <w:sz w:val="22"/>
        </w:rPr>
      </w:pPr>
      <w:r>
        <w:rPr>
          <w:rFonts w:ascii="Arial" w:eastAsia="Arial" w:hAnsi="Arial" w:cs="Arial"/>
          <w:sz w:val="22"/>
        </w:rPr>
        <w:t>The range axis was introduced by the FASB to eliminate the need to define multiple line item elements for every concept that has a maximum and a minimum value in a range. Rather than define separate</w:t>
      </w:r>
      <w:r>
        <w:rPr>
          <w:rFonts w:ascii="Arial" w:eastAsia="Arial" w:hAnsi="Arial" w:cs="Arial"/>
          <w:sz w:val="22"/>
        </w:rPr>
        <w:t xml:space="preserve"> XBRL line items to represent the minimum and maximum values of a concept, a range axis was created.</w:t>
      </w:r>
    </w:p>
    <w:p w14:paraId="7B7D358D" w14:textId="77777777" w:rsidR="00236CD9" w:rsidRDefault="0084122C">
      <w:pPr>
        <w:spacing w:after="60" w:line="288" w:lineRule="auto"/>
        <w:jc w:val="both"/>
        <w:rPr>
          <w:rFonts w:ascii="Arial" w:eastAsia="Arial" w:hAnsi="Arial" w:cs="Arial"/>
          <w:sz w:val="22"/>
        </w:rPr>
      </w:pPr>
      <w:r>
        <w:rPr>
          <w:rFonts w:ascii="Arial" w:eastAsia="Arial" w:hAnsi="Arial" w:cs="Arial"/>
          <w:sz w:val="22"/>
        </w:rPr>
        <w:t>This has the advantage of reducing the number of line items required in the taxonomy and providing the filer with greater flexibility to report ranges of v</w:t>
      </w:r>
      <w:r>
        <w:rPr>
          <w:rFonts w:ascii="Arial" w:eastAsia="Arial" w:hAnsi="Arial" w:cs="Arial"/>
          <w:sz w:val="22"/>
        </w:rPr>
        <w:t>alues. The range axis; however, is unlike other axes. Normally an axis is used to subdivide an aggregate population of transactions into smaller groups based on an attribute of the population. For example, Revenues can be subdivided into US and Internation</w:t>
      </w:r>
      <w:r>
        <w:rPr>
          <w:rFonts w:ascii="Arial" w:eastAsia="Arial" w:hAnsi="Arial" w:cs="Arial"/>
          <w:sz w:val="22"/>
        </w:rPr>
        <w:t>al Revenues based on the attribute of where the</w:t>
      </w:r>
      <w:bookmarkStart w:id="1" w:name="_GoBack"/>
      <w:bookmarkEnd w:id="1"/>
      <w:r>
        <w:rPr>
          <w:rFonts w:ascii="Arial" w:eastAsia="Arial" w:hAnsi="Arial" w:cs="Arial"/>
          <w:sz w:val="22"/>
        </w:rPr>
        <w:t xml:space="preserve"> goods were physically sold. These two components will add to the total as they still include all sale transactions. The range axis is different, it is used either to identify the maximum amount or minimum amo</w:t>
      </w:r>
      <w:r>
        <w:rPr>
          <w:rFonts w:ascii="Arial" w:eastAsia="Arial" w:hAnsi="Arial" w:cs="Arial"/>
          <w:sz w:val="22"/>
        </w:rPr>
        <w:t xml:space="preserve">unt of a given population or to define the upper or lower limit or a range </w:t>
      </w:r>
      <w:proofErr w:type="gramStart"/>
      <w:r>
        <w:rPr>
          <w:rFonts w:ascii="Arial" w:eastAsia="Arial" w:hAnsi="Arial" w:cs="Arial"/>
          <w:sz w:val="22"/>
        </w:rPr>
        <w:t>of  possible</w:t>
      </w:r>
      <w:proofErr w:type="gramEnd"/>
      <w:r>
        <w:rPr>
          <w:rFonts w:ascii="Arial" w:eastAsia="Arial" w:hAnsi="Arial" w:cs="Arial"/>
          <w:sz w:val="22"/>
        </w:rPr>
        <w:t xml:space="preserve"> values.</w:t>
      </w:r>
    </w:p>
    <w:p w14:paraId="0D7C67AC" w14:textId="77777777" w:rsidR="00236CD9" w:rsidRDefault="00236CD9">
      <w:pPr>
        <w:spacing w:after="60" w:line="288" w:lineRule="auto"/>
        <w:jc w:val="both"/>
        <w:rPr>
          <w:rFonts w:ascii="Arial" w:eastAsia="Arial" w:hAnsi="Arial" w:cs="Arial"/>
          <w:sz w:val="22"/>
        </w:rPr>
      </w:pPr>
    </w:p>
    <w:p w14:paraId="78A1F84A" w14:textId="77777777" w:rsidR="00236CD9" w:rsidRDefault="0084122C">
      <w:pPr>
        <w:spacing w:after="60" w:line="288" w:lineRule="auto"/>
        <w:rPr>
          <w:rFonts w:ascii="Arial" w:eastAsia="Arial" w:hAnsi="Arial" w:cs="Arial"/>
          <w:sz w:val="22"/>
        </w:rPr>
      </w:pPr>
      <w:r>
        <w:rPr>
          <w:rFonts w:ascii="Arial" w:eastAsia="Arial" w:hAnsi="Arial" w:cs="Arial"/>
          <w:sz w:val="22"/>
        </w:rPr>
        <w:t xml:space="preserve">The range axis also contains a third member </w:t>
      </w:r>
      <w:proofErr w:type="spellStart"/>
      <w:r>
        <w:rPr>
          <w:rFonts w:ascii="Arial" w:eastAsia="Arial" w:hAnsi="Arial" w:cs="Arial"/>
          <w:sz w:val="22"/>
        </w:rPr>
        <w:t>calledWeightedAverageMember</w:t>
      </w:r>
      <w:proofErr w:type="gramStart"/>
      <w:r>
        <w:rPr>
          <w:rFonts w:ascii="Arial" w:eastAsia="Arial" w:hAnsi="Arial" w:cs="Arial"/>
          <w:sz w:val="22"/>
        </w:rPr>
        <w:t>,this</w:t>
      </w:r>
      <w:proofErr w:type="spellEnd"/>
      <w:proofErr w:type="gramEnd"/>
      <w:r>
        <w:rPr>
          <w:rFonts w:ascii="Arial" w:eastAsia="Arial" w:hAnsi="Arial" w:cs="Arial"/>
          <w:sz w:val="22"/>
        </w:rPr>
        <w:t xml:space="preserve"> member is used to report the weighted average of a population.</w:t>
      </w:r>
    </w:p>
    <w:p w14:paraId="78BF21AB" w14:textId="77777777" w:rsidR="00236CD9" w:rsidRDefault="00236CD9">
      <w:pPr>
        <w:spacing w:after="60" w:line="288" w:lineRule="auto"/>
        <w:jc w:val="both"/>
        <w:rPr>
          <w:rFonts w:ascii="Arial" w:eastAsia="Arial" w:hAnsi="Arial" w:cs="Arial"/>
          <w:sz w:val="22"/>
        </w:rPr>
      </w:pPr>
    </w:p>
    <w:p w14:paraId="577BA7D0" w14:textId="77777777" w:rsidR="00236CD9" w:rsidRDefault="0084122C">
      <w:pPr>
        <w:spacing w:after="60" w:line="288" w:lineRule="auto"/>
        <w:rPr>
          <w:rFonts w:ascii="Arial" w:eastAsia="Arial" w:hAnsi="Arial" w:cs="Arial"/>
          <w:sz w:val="22"/>
        </w:rPr>
      </w:pPr>
      <w:r>
        <w:rPr>
          <w:rFonts w:ascii="Arial" w:eastAsia="Arial" w:hAnsi="Arial" w:cs="Arial"/>
          <w:sz w:val="22"/>
        </w:rPr>
        <w:t xml:space="preserve">The following general principles should be followed when using the Range Axis </w:t>
      </w:r>
      <w:r>
        <w:rPr>
          <w:rFonts w:ascii="Arial" w:eastAsia="Arial" w:hAnsi="Arial" w:cs="Arial"/>
          <w:sz w:val="22"/>
        </w:rPr>
        <w:br/>
        <w:t xml:space="preserve"> </w:t>
      </w:r>
      <w:r>
        <w:rPr>
          <w:rFonts w:ascii="Arial" w:eastAsia="Arial" w:hAnsi="Arial" w:cs="Arial"/>
          <w:sz w:val="22"/>
        </w:rPr>
        <w:br/>
      </w:r>
    </w:p>
    <w:p w14:paraId="3DE1B8CB" w14:textId="77777777" w:rsidR="00236CD9" w:rsidRDefault="0084122C">
      <w:pPr>
        <w:numPr>
          <w:ilvl w:val="0"/>
          <w:numId w:val="1"/>
        </w:numPr>
        <w:spacing w:after="60" w:line="288" w:lineRule="auto"/>
        <w:ind w:left="720"/>
        <w:rPr>
          <w:rFonts w:ascii="Arial" w:eastAsia="Arial" w:hAnsi="Arial" w:cs="Arial"/>
          <w:sz w:val="22"/>
        </w:rPr>
      </w:pPr>
      <w:r>
        <w:rPr>
          <w:rFonts w:ascii="Arial" w:eastAsia="Arial" w:hAnsi="Arial" w:cs="Arial"/>
          <w:sz w:val="22"/>
        </w:rPr>
        <w:t xml:space="preserve">Do not use the range axis where an element exists that is already explicitly defined as the minimum and maximum. For example the </w:t>
      </w:r>
      <w:r>
        <w:rPr>
          <w:rFonts w:ascii="Arial" w:eastAsia="Arial" w:hAnsi="Arial" w:cs="Arial"/>
          <w:i/>
          <w:sz w:val="22"/>
        </w:rPr>
        <w:t>elementShareBasedCompensationSharesAuthorized</w:t>
      </w:r>
      <w:r>
        <w:rPr>
          <w:rFonts w:ascii="Arial" w:eastAsia="Arial" w:hAnsi="Arial" w:cs="Arial"/>
          <w:i/>
          <w:sz w:val="22"/>
        </w:rPr>
        <w:t>UnderStockOptionPlansExercisePriceRangeLowerRangeLimit</w:t>
      </w:r>
      <w:r>
        <w:rPr>
          <w:rFonts w:ascii="Arial" w:eastAsia="Arial" w:hAnsi="Arial" w:cs="Arial"/>
          <w:sz w:val="22"/>
        </w:rPr>
        <w:t xml:space="preserve"> should not use the range axis with the minimum member.</w:t>
      </w:r>
    </w:p>
    <w:p w14:paraId="177B229C" w14:textId="77777777" w:rsidR="00236CD9" w:rsidRDefault="0084122C">
      <w:pPr>
        <w:numPr>
          <w:ilvl w:val="0"/>
          <w:numId w:val="1"/>
        </w:numPr>
        <w:spacing w:after="60" w:line="288" w:lineRule="auto"/>
        <w:ind w:left="720"/>
        <w:rPr>
          <w:rFonts w:ascii="Arial" w:eastAsia="Arial" w:hAnsi="Arial" w:cs="Arial"/>
          <w:sz w:val="22"/>
        </w:rPr>
      </w:pPr>
      <w:r>
        <w:rPr>
          <w:rFonts w:ascii="Arial" w:eastAsia="Arial" w:hAnsi="Arial" w:cs="Arial"/>
          <w:sz w:val="22"/>
        </w:rPr>
        <w:t xml:space="preserve">Do not add extension elements to the range axis, such as median, average mode etc. These change the meaning of the element and should not be used </w:t>
      </w:r>
      <w:r>
        <w:rPr>
          <w:rFonts w:ascii="Arial" w:eastAsia="Arial" w:hAnsi="Arial" w:cs="Arial"/>
          <w:sz w:val="22"/>
        </w:rPr>
        <w:t>with the range axis. In these cases the company should define a new element.</w:t>
      </w:r>
    </w:p>
    <w:p w14:paraId="69EB6C7F" w14:textId="77777777" w:rsidR="00236CD9" w:rsidRDefault="0084122C">
      <w:pPr>
        <w:numPr>
          <w:ilvl w:val="0"/>
          <w:numId w:val="1"/>
        </w:numPr>
        <w:spacing w:after="60" w:line="288" w:lineRule="auto"/>
        <w:ind w:left="720"/>
        <w:rPr>
          <w:rFonts w:ascii="Arial" w:eastAsia="Arial" w:hAnsi="Arial" w:cs="Arial"/>
          <w:sz w:val="22"/>
        </w:rPr>
      </w:pPr>
      <w:r>
        <w:rPr>
          <w:rFonts w:ascii="Arial" w:eastAsia="Arial" w:hAnsi="Arial" w:cs="Arial"/>
          <w:sz w:val="22"/>
        </w:rPr>
        <w:t>Do not add members that represent ranges of values such as maturing in a year, maturing in 2 years, maturing in 3 years etc.</w:t>
      </w:r>
    </w:p>
    <w:p w14:paraId="07AE3C53" w14:textId="77777777" w:rsidR="00236CD9" w:rsidRDefault="0084122C">
      <w:pPr>
        <w:numPr>
          <w:ilvl w:val="0"/>
          <w:numId w:val="1"/>
        </w:numPr>
        <w:spacing w:after="60" w:line="288" w:lineRule="auto"/>
        <w:ind w:left="720"/>
        <w:rPr>
          <w:rFonts w:ascii="Arial" w:eastAsia="Arial" w:hAnsi="Arial" w:cs="Arial"/>
          <w:sz w:val="22"/>
        </w:rPr>
      </w:pPr>
      <w:r>
        <w:rPr>
          <w:rFonts w:ascii="Arial" w:eastAsia="Arial" w:hAnsi="Arial" w:cs="Arial"/>
          <w:sz w:val="22"/>
        </w:rPr>
        <w:t>If element implicitly includes weighted average then d</w:t>
      </w:r>
      <w:r>
        <w:rPr>
          <w:rFonts w:ascii="Arial" w:eastAsia="Arial" w:hAnsi="Arial" w:cs="Arial"/>
          <w:sz w:val="22"/>
        </w:rPr>
        <w:t>o not add the weighted average member.</w:t>
      </w:r>
    </w:p>
    <w:p w14:paraId="424CFD1E" w14:textId="77777777" w:rsidR="00236CD9" w:rsidRDefault="0084122C">
      <w:pPr>
        <w:numPr>
          <w:ilvl w:val="0"/>
          <w:numId w:val="1"/>
        </w:numPr>
        <w:spacing w:after="60" w:line="288" w:lineRule="auto"/>
        <w:ind w:left="720"/>
        <w:rPr>
          <w:rFonts w:ascii="Arial" w:eastAsia="Arial" w:hAnsi="Arial" w:cs="Arial"/>
          <w:sz w:val="22"/>
        </w:rPr>
      </w:pPr>
      <w:r>
        <w:rPr>
          <w:rFonts w:ascii="Arial" w:eastAsia="Arial" w:hAnsi="Arial" w:cs="Arial"/>
          <w:sz w:val="22"/>
        </w:rPr>
        <w:t>Do not use the range axis for earliest and latest dates.</w:t>
      </w:r>
      <w:r>
        <w:rPr>
          <w:rFonts w:ascii="Arial" w:eastAsia="Arial" w:hAnsi="Arial" w:cs="Arial"/>
          <w:color w:val="000000"/>
          <w:sz w:val="22"/>
          <w:vertAlign w:val="superscript"/>
        </w:rPr>
        <w:footnoteReference w:id="1"/>
      </w:r>
    </w:p>
    <w:p w14:paraId="1E972DE2" w14:textId="77777777" w:rsidR="00236CD9" w:rsidRDefault="00236CD9">
      <w:pPr>
        <w:spacing w:after="60" w:line="288" w:lineRule="auto"/>
        <w:rPr>
          <w:rFonts w:ascii="Arial" w:eastAsia="Arial" w:hAnsi="Arial" w:cs="Arial"/>
          <w:sz w:val="22"/>
        </w:rPr>
      </w:pPr>
    </w:p>
    <w:p w14:paraId="28C8039B" w14:textId="77777777" w:rsidR="00236CD9" w:rsidRDefault="00236CD9">
      <w:pPr>
        <w:spacing w:after="60" w:line="288" w:lineRule="auto"/>
        <w:jc w:val="both"/>
        <w:rPr>
          <w:rFonts w:ascii="Arial" w:eastAsia="Arial" w:hAnsi="Arial" w:cs="Arial"/>
          <w:sz w:val="22"/>
        </w:rPr>
      </w:pPr>
    </w:p>
    <w:p w14:paraId="1C3F163F" w14:textId="77777777" w:rsidR="00236CD9" w:rsidRDefault="0084122C">
      <w:pPr>
        <w:spacing w:after="60" w:line="288" w:lineRule="auto"/>
        <w:rPr>
          <w:rFonts w:ascii="Arial" w:eastAsia="Arial" w:hAnsi="Arial" w:cs="Arial"/>
          <w:sz w:val="22"/>
        </w:rPr>
      </w:pPr>
      <w:r>
        <w:rPr>
          <w:rFonts w:ascii="Arial" w:eastAsia="Arial" w:hAnsi="Arial" w:cs="Arial"/>
          <w:sz w:val="22"/>
        </w:rPr>
        <w:t xml:space="preserve"> </w:t>
      </w:r>
      <w:r>
        <w:rPr>
          <w:rFonts w:ascii="Arial" w:eastAsia="Arial" w:hAnsi="Arial" w:cs="Arial"/>
          <w:sz w:val="22"/>
        </w:rPr>
        <w:br/>
      </w:r>
    </w:p>
    <w:p w14:paraId="3B45268F" w14:textId="77777777" w:rsidR="00236CD9" w:rsidRDefault="00236CD9">
      <w:pPr>
        <w:spacing w:before="60" w:after="120" w:line="418" w:lineRule="auto"/>
        <w:rPr>
          <w:rFonts w:ascii="Arial" w:eastAsia="Arial" w:hAnsi="Arial" w:cs="Arial"/>
          <w:b/>
          <w:sz w:val="28"/>
        </w:rPr>
      </w:pPr>
    </w:p>
    <w:sectPr w:rsidR="00236CD9">
      <w:headerReference w:type="default" r:id="rId7"/>
      <w:footerReference w:type="default" r:id="rId8"/>
      <w:pgSz w:w="12240" w:h="15840"/>
      <w:pgMar w:top="860" w:right="1000" w:bottom="860" w:left="1000" w:header="160" w:footer="4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C9B30" w14:textId="77777777" w:rsidR="00000000" w:rsidRDefault="0084122C">
      <w:r>
        <w:separator/>
      </w:r>
    </w:p>
  </w:endnote>
  <w:endnote w:type="continuationSeparator" w:id="0">
    <w:p w14:paraId="72AD68A4" w14:textId="77777777" w:rsidR="00000000" w:rsidRDefault="00841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26949" w14:textId="77777777" w:rsidR="00236CD9" w:rsidRDefault="00236CD9">
    <w:pPr>
      <w:spacing w:line="288" w:lineRule="auto"/>
      <w:rPr>
        <w:rFonts w:ascii="Arial" w:eastAsia="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F9FD6" w14:textId="77777777" w:rsidR="00000000" w:rsidRDefault="0084122C">
      <w:r>
        <w:separator/>
      </w:r>
    </w:p>
  </w:footnote>
  <w:footnote w:type="continuationSeparator" w:id="0">
    <w:p w14:paraId="1618A9A0" w14:textId="77777777" w:rsidR="00000000" w:rsidRDefault="0084122C">
      <w:r>
        <w:continuationSeparator/>
      </w:r>
    </w:p>
  </w:footnote>
  <w:footnote w:id="1">
    <w:p w14:paraId="503601FD" w14:textId="77777777" w:rsidR="00236CD9" w:rsidRPr="0084122C" w:rsidRDefault="0084122C">
      <w:pPr>
        <w:spacing w:line="288" w:lineRule="auto"/>
        <w:rPr>
          <w:rFonts w:ascii="Arial" w:eastAsia="Arial" w:hAnsi="Arial" w:cs="Arial"/>
          <w:sz w:val="18"/>
          <w:szCs w:val="18"/>
          <w:vertAlign w:val="superscript"/>
        </w:rPr>
      </w:pPr>
      <w:r>
        <w:rPr>
          <w:rFonts w:ascii="Arial" w:eastAsia="Arial" w:hAnsi="Arial" w:cs="Arial"/>
          <w:sz w:val="22"/>
          <w:vertAlign w:val="superscript"/>
        </w:rPr>
        <w:t>1</w:t>
      </w:r>
      <w:r>
        <w:rPr>
          <w:rFonts w:ascii="Arial" w:eastAsia="Arial" w:hAnsi="Arial" w:cs="Arial"/>
          <w:sz w:val="22"/>
        </w:rPr>
        <w:t xml:space="preserve"> </w:t>
      </w:r>
      <w:r w:rsidRPr="0084122C">
        <w:rPr>
          <w:rFonts w:ascii="Arial" w:eastAsia="Arial" w:hAnsi="Arial" w:cs="Arial"/>
          <w:sz w:val="18"/>
          <w:szCs w:val="18"/>
        </w:rPr>
        <w:t>The FASB has issued a FAQ on this which states the following:</w:t>
      </w:r>
    </w:p>
    <w:p w14:paraId="42F71D14" w14:textId="77777777" w:rsidR="00236CD9" w:rsidRPr="0084122C" w:rsidRDefault="0084122C">
      <w:pPr>
        <w:spacing w:line="288" w:lineRule="auto"/>
        <w:rPr>
          <w:rFonts w:ascii="Arial" w:eastAsia="Arial" w:hAnsi="Arial" w:cs="Arial"/>
          <w:b/>
          <w:sz w:val="18"/>
          <w:szCs w:val="18"/>
        </w:rPr>
      </w:pPr>
      <w:r w:rsidRPr="0084122C">
        <w:rPr>
          <w:rFonts w:ascii="Arial" w:eastAsia="Arial" w:hAnsi="Arial" w:cs="Arial"/>
          <w:b/>
          <w:sz w:val="18"/>
          <w:szCs w:val="18"/>
        </w:rPr>
        <w:t xml:space="preserve">Is it appropriate to </w:t>
      </w:r>
      <w:proofErr w:type="spellStart"/>
      <w:r w:rsidRPr="0084122C">
        <w:rPr>
          <w:rFonts w:ascii="Arial" w:eastAsia="Arial" w:hAnsi="Arial" w:cs="Arial"/>
          <w:b/>
          <w:sz w:val="18"/>
          <w:szCs w:val="18"/>
        </w:rPr>
        <w:t>useRangeAxisfor</w:t>
      </w:r>
      <w:proofErr w:type="spellEnd"/>
      <w:r w:rsidRPr="0084122C">
        <w:rPr>
          <w:rFonts w:ascii="Arial" w:eastAsia="Arial" w:hAnsi="Arial" w:cs="Arial"/>
          <w:b/>
          <w:sz w:val="18"/>
          <w:szCs w:val="18"/>
        </w:rPr>
        <w:t xml:space="preserve"> dates?</w:t>
      </w:r>
    </w:p>
    <w:p w14:paraId="1D235DC3" w14:textId="77777777" w:rsidR="00236CD9" w:rsidRDefault="0084122C">
      <w:pPr>
        <w:spacing w:line="288" w:lineRule="auto"/>
        <w:rPr>
          <w:rFonts w:ascii="Arial" w:eastAsia="Arial" w:hAnsi="Arial" w:cs="Arial"/>
          <w:sz w:val="18"/>
        </w:rPr>
      </w:pPr>
      <w:proofErr w:type="spellStart"/>
      <w:r>
        <w:rPr>
          <w:rFonts w:ascii="Arial" w:eastAsia="Arial" w:hAnsi="Arial" w:cs="Arial"/>
          <w:sz w:val="18"/>
        </w:rPr>
        <w:t>TheRangeAxis</w:t>
      </w:r>
      <w:proofErr w:type="spellEnd"/>
      <w:r>
        <w:rPr>
          <w:rFonts w:ascii="Arial" w:eastAsia="Arial" w:hAnsi="Arial" w:cs="Arial"/>
          <w:sz w:val="18"/>
        </w:rPr>
        <w:t xml:space="preserve"> can be used in instances in which the value is useful life. For example, it is common to disclose the useful life of property, plant, and equipment as a minimum and maximum life, and that would be an</w:t>
      </w:r>
      <w:r>
        <w:rPr>
          <w:rFonts w:ascii="Arial" w:eastAsia="Arial" w:hAnsi="Arial" w:cs="Arial"/>
          <w:sz w:val="18"/>
        </w:rPr>
        <w:t xml:space="preserve"> acceptable use </w:t>
      </w:r>
      <w:proofErr w:type="spellStart"/>
      <w:r>
        <w:rPr>
          <w:rFonts w:ascii="Arial" w:eastAsia="Arial" w:hAnsi="Arial" w:cs="Arial"/>
          <w:sz w:val="18"/>
        </w:rPr>
        <w:t>ofRangeAxis.It</w:t>
      </w:r>
      <w:proofErr w:type="spellEnd"/>
      <w:r>
        <w:rPr>
          <w:rFonts w:ascii="Arial" w:eastAsia="Arial" w:hAnsi="Arial" w:cs="Arial"/>
          <w:sz w:val="18"/>
        </w:rPr>
        <w:t xml:space="preserve"> would not be appropriate to use </w:t>
      </w:r>
      <w:proofErr w:type="spellStart"/>
      <w:r>
        <w:rPr>
          <w:rFonts w:ascii="Arial" w:eastAsia="Arial" w:hAnsi="Arial" w:cs="Arial"/>
          <w:sz w:val="18"/>
        </w:rPr>
        <w:t>RangeAxisfor</w:t>
      </w:r>
      <w:proofErr w:type="spellEnd"/>
      <w:r>
        <w:rPr>
          <w:rFonts w:ascii="Arial" w:eastAsia="Arial" w:hAnsi="Arial" w:cs="Arial"/>
          <w:sz w:val="18"/>
        </w:rPr>
        <w:t xml:space="preserve"> earliest and latest because those terms are not synonymous with minimum and maximum. [Revised 2014-03]</w:t>
      </w:r>
    </w:p>
    <w:p w14:paraId="70D0BEFB" w14:textId="77777777" w:rsidR="00236CD9" w:rsidRDefault="00236CD9">
      <w:pPr>
        <w:spacing w:line="288" w:lineRule="auto"/>
        <w:rPr>
          <w:rFonts w:ascii="Arial" w:eastAsia="Arial" w:hAnsi="Arial" w:cs="Arial"/>
          <w:sz w:val="18"/>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F90DE" w14:textId="77777777" w:rsidR="00236CD9" w:rsidRDefault="00236CD9">
    <w:pPr>
      <w:spacing w:line="288" w:lineRule="auto"/>
      <w:rPr>
        <w:rFonts w:ascii="Arial" w:eastAsia="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95F2E"/>
    <w:multiLevelType w:val="hybridMultilevel"/>
    <w:tmpl w:val="4B9C2EFE"/>
    <w:lvl w:ilvl="0" w:tplc="0BDC5524">
      <w:start w:val="1"/>
      <w:numFmt w:val="bullet"/>
      <w:lvlText w:val="• "/>
      <w:lvlJc w:val="left"/>
      <w:pPr>
        <w:ind w:hanging="360"/>
      </w:pPr>
    </w:lvl>
    <w:lvl w:ilvl="1" w:tplc="CBC62452">
      <w:numFmt w:val="decimal"/>
      <w:lvlText w:val=""/>
      <w:lvlJc w:val="left"/>
    </w:lvl>
    <w:lvl w:ilvl="2" w:tplc="A4B2EA7C">
      <w:numFmt w:val="decimal"/>
      <w:lvlText w:val=""/>
      <w:lvlJc w:val="left"/>
    </w:lvl>
    <w:lvl w:ilvl="3" w:tplc="24E4A0C2">
      <w:numFmt w:val="decimal"/>
      <w:lvlText w:val=""/>
      <w:lvlJc w:val="left"/>
    </w:lvl>
    <w:lvl w:ilvl="4" w:tplc="D9A2B0C2">
      <w:numFmt w:val="decimal"/>
      <w:lvlText w:val=""/>
      <w:lvlJc w:val="left"/>
    </w:lvl>
    <w:lvl w:ilvl="5" w:tplc="96B2C3EE">
      <w:numFmt w:val="decimal"/>
      <w:lvlText w:val=""/>
      <w:lvlJc w:val="left"/>
    </w:lvl>
    <w:lvl w:ilvl="6" w:tplc="2FBCAD16">
      <w:numFmt w:val="decimal"/>
      <w:lvlText w:val=""/>
      <w:lvlJc w:val="left"/>
    </w:lvl>
    <w:lvl w:ilvl="7" w:tplc="AF7CCCFA">
      <w:numFmt w:val="decimal"/>
      <w:lvlText w:val=""/>
      <w:lvlJc w:val="left"/>
    </w:lvl>
    <w:lvl w:ilvl="8" w:tplc="48E62D1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D9"/>
    <w:rsid w:val="00236CD9"/>
    <w:rsid w:val="008412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AF75"/>
  <w15:docId w15:val="{73F21F9A-B5B0-46DA-BB5F-7897A3A6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2016-09-21T16:55:00Z</dcterms:created>
  <dcterms:modified xsi:type="dcterms:W3CDTF">2016-09-21T16:55:00Z</dcterms:modified>
</cp:coreProperties>
</file>