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0763AACD" w:rsidR="00354581" w:rsidRDefault="00C61189">
      <w:pPr>
        <w:spacing w:line="288" w:lineRule="auto"/>
        <w:jc w:val="center"/>
        <w:rPr>
          <w:rFonts w:ascii="Arial" w:eastAsia="Arial" w:hAnsi="Arial" w:cs="Arial"/>
          <w:b/>
          <w:sz w:val="24"/>
        </w:rPr>
      </w:pPr>
      <w:r>
        <w:rPr>
          <w:rFonts w:ascii="Arial" w:eastAsia="Arial" w:hAnsi="Arial" w:cs="Arial"/>
          <w:b/>
          <w:sz w:val="24"/>
        </w:rPr>
        <w:t>June 29</w:t>
      </w:r>
      <w:r w:rsidR="002074D6">
        <w:rPr>
          <w:rFonts w:ascii="Arial" w:eastAsia="Arial" w:hAnsi="Arial" w:cs="Arial"/>
          <w:b/>
          <w:sz w:val="24"/>
        </w:rPr>
        <w:t>, 2021</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03857524"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w:t>
      </w:r>
      <w:proofErr w:type="spellStart"/>
      <w:r w:rsidRPr="00026C18">
        <w:rPr>
          <w:rFonts w:ascii="Arial" w:eastAsia="Arial" w:hAnsi="Arial" w:cs="Arial"/>
          <w:sz w:val="22"/>
        </w:rPr>
        <w:t>Pryde</w:t>
      </w:r>
      <w:proofErr w:type="spellEnd"/>
      <w:r w:rsidRPr="00026C18">
        <w:rPr>
          <w:rFonts w:ascii="Arial" w:eastAsia="Arial" w:hAnsi="Arial" w:cs="Arial"/>
          <w:sz w:val="22"/>
        </w:rPr>
        <w:t xml:space="preserve">, </w:t>
      </w:r>
      <w:r w:rsidR="002A411B" w:rsidRPr="002A411B">
        <w:rPr>
          <w:rFonts w:ascii="Arial" w:eastAsia="Arial" w:hAnsi="Arial" w:cs="Arial"/>
          <w:sz w:val="22"/>
        </w:rPr>
        <w:t>Joan Berg</w:t>
      </w:r>
      <w:r w:rsidRPr="00026C18">
        <w:rPr>
          <w:rFonts w:ascii="Arial" w:eastAsia="Arial" w:hAnsi="Arial" w:cs="Arial"/>
          <w:sz w:val="22"/>
        </w:rPr>
        <w:t>,</w:t>
      </w:r>
      <w:r w:rsidR="006132FE">
        <w:rPr>
          <w:rFonts w:ascii="Arial" w:eastAsia="Arial" w:hAnsi="Arial" w:cs="Arial"/>
          <w:sz w:val="22"/>
        </w:rPr>
        <w:t xml:space="preserve"> Jennifer Liu,</w:t>
      </w:r>
      <w:r w:rsidR="00E2477A" w:rsidRPr="00E2477A">
        <w:rPr>
          <w:rFonts w:ascii="Arial" w:eastAsia="Arial" w:hAnsi="Arial" w:cs="Arial"/>
          <w:sz w:val="22"/>
        </w:rPr>
        <w:t xml:space="preserve"> </w:t>
      </w:r>
      <w:r w:rsidR="00FB32A6">
        <w:rPr>
          <w:rFonts w:ascii="Arial" w:eastAsia="Arial" w:hAnsi="Arial" w:cs="Arial"/>
          <w:sz w:val="22"/>
        </w:rPr>
        <w:t>Mohini Singh,</w:t>
      </w:r>
      <w:r w:rsidR="00234097">
        <w:rPr>
          <w:rFonts w:ascii="Arial" w:eastAsia="Arial" w:hAnsi="Arial" w:cs="Arial"/>
          <w:sz w:val="22"/>
        </w:rPr>
        <w:t xml:space="preserve"> Charles Kessler,</w:t>
      </w:r>
      <w:r w:rsidR="00234097" w:rsidRPr="0030404C">
        <w:rPr>
          <w:rFonts w:ascii="Arial" w:eastAsia="Arial" w:hAnsi="Arial" w:cs="Arial"/>
          <w:sz w:val="22"/>
        </w:rPr>
        <w:t xml:space="preserve"> </w:t>
      </w:r>
      <w:r w:rsidR="00234097">
        <w:rPr>
          <w:rFonts w:ascii="Arial" w:eastAsia="Arial" w:hAnsi="Arial" w:cs="Arial"/>
          <w:sz w:val="22"/>
        </w:rPr>
        <w:t>Glad Sully</w:t>
      </w:r>
      <w:r w:rsidR="007E4393">
        <w:rPr>
          <w:rFonts w:ascii="Arial" w:eastAsia="Arial" w:hAnsi="Arial" w:cs="Arial"/>
          <w:sz w:val="22"/>
        </w:rPr>
        <w:t>,</w:t>
      </w:r>
      <w:r w:rsidR="007E4393" w:rsidRPr="00D91EDB">
        <w:rPr>
          <w:rFonts w:ascii="Arial" w:eastAsia="Arial" w:hAnsi="Arial" w:cs="Arial"/>
          <w:sz w:val="22"/>
        </w:rPr>
        <w:t xml:space="preserve"> </w:t>
      </w:r>
      <w:r w:rsidR="007E4393">
        <w:rPr>
          <w:rFonts w:ascii="Arial" w:eastAsia="Arial" w:hAnsi="Arial" w:cs="Arial"/>
          <w:sz w:val="22"/>
        </w:rPr>
        <w:t>Amit Varshney</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31577738" w:rsidR="00A5025E" w:rsidRDefault="00BF6D3C">
      <w:pPr>
        <w:spacing w:line="332" w:lineRule="auto"/>
        <w:rPr>
          <w:rFonts w:ascii="Arial" w:eastAsia="Arial" w:hAnsi="Arial" w:cs="Arial"/>
          <w:sz w:val="22"/>
        </w:rPr>
      </w:pPr>
      <w:r>
        <w:rPr>
          <w:rFonts w:ascii="Arial" w:eastAsia="Arial" w:hAnsi="Arial" w:cs="Arial"/>
          <w:sz w:val="22"/>
        </w:rPr>
        <w:t>Adrian Cloutier</w:t>
      </w:r>
      <w:r w:rsidR="00357675">
        <w:rPr>
          <w:rFonts w:ascii="Arial" w:eastAsia="Arial" w:hAnsi="Arial" w:cs="Arial"/>
          <w:sz w:val="22"/>
        </w:rPr>
        <w:t>,</w:t>
      </w:r>
      <w:r w:rsidR="00357675" w:rsidRPr="00357675">
        <w:rPr>
          <w:rFonts w:ascii="Arial" w:eastAsia="Arial" w:hAnsi="Arial" w:cs="Arial"/>
          <w:sz w:val="22"/>
        </w:rPr>
        <w:t xml:space="preserve"> </w:t>
      </w:r>
      <w:r w:rsidR="00357675">
        <w:rPr>
          <w:rFonts w:ascii="Arial" w:eastAsia="Arial" w:hAnsi="Arial" w:cs="Arial"/>
          <w:sz w:val="22"/>
        </w:rPr>
        <w:t>Heather Krupa</w:t>
      </w:r>
      <w:r w:rsidR="00C61189">
        <w:rPr>
          <w:rFonts w:ascii="Arial" w:eastAsia="Arial" w:hAnsi="Arial" w:cs="Arial"/>
          <w:sz w:val="22"/>
        </w:rPr>
        <w:t>,</w:t>
      </w:r>
      <w:r w:rsidR="00C61189" w:rsidRPr="00C61189">
        <w:rPr>
          <w:rFonts w:ascii="Arial" w:eastAsia="Arial" w:hAnsi="Arial" w:cs="Arial"/>
          <w:sz w:val="22"/>
        </w:rPr>
        <w:t xml:space="preserve"> </w:t>
      </w:r>
      <w:r w:rsidR="00C61189">
        <w:rPr>
          <w:rFonts w:ascii="Arial" w:eastAsia="Arial" w:hAnsi="Arial" w:cs="Arial"/>
          <w:sz w:val="22"/>
        </w:rPr>
        <w:t xml:space="preserve">Pranav </w:t>
      </w:r>
      <w:proofErr w:type="spellStart"/>
      <w:r w:rsidR="00C61189">
        <w:rPr>
          <w:rFonts w:ascii="Arial" w:eastAsia="Arial" w:hAnsi="Arial" w:cs="Arial"/>
          <w:sz w:val="22"/>
        </w:rPr>
        <w:t>Ghai</w:t>
      </w:r>
      <w:proofErr w:type="spellEnd"/>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7A8CC0B4" w:rsidR="00354581" w:rsidRDefault="006C47F9">
      <w:pPr>
        <w:spacing w:line="332" w:lineRule="auto"/>
        <w:rPr>
          <w:rFonts w:ascii="Arial" w:eastAsia="Arial" w:hAnsi="Arial" w:cs="Arial"/>
          <w:sz w:val="22"/>
        </w:rPr>
      </w:pPr>
      <w:r>
        <w:rPr>
          <w:rFonts w:ascii="Arial" w:eastAsia="Arial" w:hAnsi="Arial" w:cs="Arial"/>
          <w:sz w:val="22"/>
        </w:rPr>
        <w:t>Ami Beers, David Tauriello</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76696E2D" w:rsidR="00354581" w:rsidRDefault="00770FDE">
      <w:pPr>
        <w:spacing w:line="332" w:lineRule="auto"/>
        <w:rPr>
          <w:rFonts w:ascii="Arial" w:eastAsia="Arial" w:hAnsi="Arial" w:cs="Arial"/>
          <w:sz w:val="22"/>
        </w:rPr>
      </w:pPr>
      <w:r>
        <w:rPr>
          <w:rFonts w:ascii="Arial" w:eastAsia="Arial" w:hAnsi="Arial" w:cs="Arial"/>
          <w:sz w:val="22"/>
        </w:rPr>
        <w:t xml:space="preserve">Louis </w:t>
      </w:r>
      <w:proofErr w:type="spellStart"/>
      <w:r>
        <w:rPr>
          <w:rFonts w:ascii="Arial" w:eastAsia="Arial" w:hAnsi="Arial" w:cs="Arial"/>
          <w:sz w:val="22"/>
        </w:rPr>
        <w:t>Matherne</w:t>
      </w:r>
      <w:proofErr w:type="spellEnd"/>
      <w:r w:rsidR="00FE07C6">
        <w:rPr>
          <w:rFonts w:ascii="Arial" w:eastAsia="Arial" w:hAnsi="Arial" w:cs="Arial"/>
          <w:sz w:val="22"/>
        </w:rPr>
        <w:t>,</w:t>
      </w:r>
      <w:r w:rsidR="009A1FCE">
        <w:rPr>
          <w:rFonts w:ascii="Arial" w:eastAsia="Arial" w:hAnsi="Arial" w:cs="Arial"/>
          <w:sz w:val="22"/>
        </w:rPr>
        <w:t xml:space="preserve"> </w:t>
      </w:r>
      <w:proofErr w:type="spellStart"/>
      <w:r w:rsidR="00ED7CB1">
        <w:rPr>
          <w:rFonts w:ascii="Arial" w:eastAsia="Arial" w:hAnsi="Arial" w:cs="Arial"/>
          <w:sz w:val="22"/>
        </w:rPr>
        <w:t>Iza</w:t>
      </w:r>
      <w:proofErr w:type="spellEnd"/>
      <w:r w:rsidR="00ED7CB1">
        <w:rPr>
          <w:rFonts w:ascii="Arial" w:eastAsia="Arial" w:hAnsi="Arial" w:cs="Arial"/>
          <w:sz w:val="22"/>
        </w:rPr>
        <w:t xml:space="preserve"> </w:t>
      </w:r>
      <w:proofErr w:type="spellStart"/>
      <w:r w:rsidR="00ED7CB1">
        <w:rPr>
          <w:rFonts w:ascii="Arial" w:eastAsia="Arial" w:hAnsi="Arial" w:cs="Arial"/>
          <w:sz w:val="22"/>
        </w:rPr>
        <w:t>Ruta</w:t>
      </w:r>
      <w:proofErr w:type="spellEnd"/>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6EA327A7" w:rsidR="0030404C" w:rsidRPr="0035624A" w:rsidRDefault="00872ADC" w:rsidP="009256ED">
      <w:pPr>
        <w:pStyle w:val="ListParagraph"/>
        <w:numPr>
          <w:ilvl w:val="0"/>
          <w:numId w:val="2"/>
        </w:numPr>
        <w:spacing w:line="312" w:lineRule="auto"/>
        <w:rPr>
          <w:b/>
        </w:rPr>
      </w:pPr>
      <w:r>
        <w:t>Chair welcomed Committee</w:t>
      </w:r>
      <w:r w:rsidR="0029757F">
        <w:t xml:space="preserve"> and introduced </w:t>
      </w:r>
      <w:r w:rsidR="008D4DA1">
        <w:t>attendees</w:t>
      </w:r>
      <w:r>
        <w:t>.</w:t>
      </w:r>
      <w:r w:rsidR="00D73A2F">
        <w:t xml:space="preserve"> </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2CBD25C8"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C61189">
        <w:rPr>
          <w:rFonts w:eastAsia="Times New Roman"/>
        </w:rPr>
        <w:t>March 24</w:t>
      </w:r>
      <w:r w:rsidR="004D0930">
        <w:rPr>
          <w:rFonts w:eastAsia="Times New Roman"/>
        </w:rPr>
        <w:t>, 20</w:t>
      </w:r>
      <w:r w:rsidR="00FE35FE">
        <w:rPr>
          <w:rFonts w:eastAsia="Times New Roman"/>
        </w:rPr>
        <w:t>21</w:t>
      </w:r>
      <w:r w:rsidRPr="00B61CA4">
        <w:rPr>
          <w:rFonts w:eastAsia="Times New Roman"/>
        </w:rPr>
        <w:t xml:space="preserve"> DQC meeting</w:t>
      </w:r>
      <w:r>
        <w:rPr>
          <w:rFonts w:eastAsia="Times New Roman"/>
        </w:rPr>
        <w:t xml:space="preserve">, </w:t>
      </w:r>
      <w:r w:rsidRPr="00B61CA4">
        <w:rPr>
          <w:rFonts w:eastAsia="Times New Roman"/>
        </w:rPr>
        <w:t>by</w:t>
      </w:r>
      <w:r w:rsidR="007E4393">
        <w:rPr>
          <w:rFonts w:eastAsia="Times New Roman"/>
        </w:rPr>
        <w:t xml:space="preserve"> Campbell </w:t>
      </w:r>
      <w:proofErr w:type="spellStart"/>
      <w:r w:rsidR="007E4393">
        <w:rPr>
          <w:rFonts w:eastAsia="Times New Roman"/>
        </w:rPr>
        <w:t>Pryde</w:t>
      </w:r>
      <w:proofErr w:type="spellEnd"/>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D91EDB" w:rsidRPr="00D91EDB">
        <w:rPr>
          <w:rFonts w:eastAsia="Times New Roman"/>
        </w:rPr>
        <w:t xml:space="preserve"> </w:t>
      </w:r>
      <w:r w:rsidR="00D91EDB">
        <w:rPr>
          <w:rFonts w:eastAsia="Times New Roman"/>
        </w:rPr>
        <w:t>Mohini Singh</w:t>
      </w:r>
      <w:r w:rsidR="00B67FBA">
        <w:rPr>
          <w:rFonts w:eastAsia="Times New Roman"/>
        </w:rPr>
        <w:t xml:space="preserve"> </w:t>
      </w:r>
    </w:p>
    <w:p w14:paraId="358805D7" w14:textId="7DAA2544"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Pr="009E29DC">
        <w:rPr>
          <w:rFonts w:eastAsia="Times New Roman"/>
          <w:bCs/>
          <w:color w:val="auto"/>
          <w:szCs w:val="22"/>
        </w:rPr>
        <w:t>, 0 Against)</w:t>
      </w:r>
    </w:p>
    <w:p w14:paraId="3E54DDDA" w14:textId="3F9CBF69"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C61189">
        <w:rPr>
          <w:rFonts w:eastAsia="Times New Roman"/>
        </w:rPr>
        <w:t>March 24</w:t>
      </w:r>
      <w:r w:rsidR="00FE35FE">
        <w:rPr>
          <w:rFonts w:eastAsia="Times New Roman"/>
        </w:rPr>
        <w:t>, 2021</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7BBFBD07" w14:textId="31EB98BB" w:rsidR="00B91AAC" w:rsidRDefault="00B91AAC" w:rsidP="009B296F">
      <w:pPr>
        <w:spacing w:line="332" w:lineRule="auto"/>
        <w:rPr>
          <w:rFonts w:ascii="Arial" w:eastAsia="Arial" w:hAnsi="Arial" w:cs="Arial"/>
          <w:b/>
          <w:sz w:val="22"/>
        </w:rPr>
      </w:pPr>
      <w:r>
        <w:rPr>
          <w:rFonts w:ascii="Arial" w:eastAsia="Arial" w:hAnsi="Arial" w:cs="Arial"/>
          <w:b/>
          <w:sz w:val="22"/>
        </w:rPr>
        <w:t>Chair Rotation</w:t>
      </w:r>
    </w:p>
    <w:p w14:paraId="364F0FAE" w14:textId="36DDE1C9" w:rsidR="007E4393" w:rsidRDefault="007E4393" w:rsidP="007E4393">
      <w:pPr>
        <w:pStyle w:val="ListParagraph"/>
        <w:numPr>
          <w:ilvl w:val="0"/>
          <w:numId w:val="19"/>
        </w:numPr>
        <w:spacing w:line="332" w:lineRule="auto"/>
        <w:rPr>
          <w:bCs/>
        </w:rPr>
      </w:pPr>
      <w:r w:rsidRPr="007E4393">
        <w:rPr>
          <w:bCs/>
        </w:rPr>
        <w:t xml:space="preserve">Joan announced that </w:t>
      </w:r>
      <w:r>
        <w:rPr>
          <w:bCs/>
        </w:rPr>
        <w:t>she is retiring and resigning as Chair of DQC</w:t>
      </w:r>
    </w:p>
    <w:p w14:paraId="792BB52E" w14:textId="4C0970F6" w:rsidR="007E4393" w:rsidRDefault="007E4393" w:rsidP="007E4393">
      <w:pPr>
        <w:pStyle w:val="ListParagraph"/>
        <w:numPr>
          <w:ilvl w:val="0"/>
          <w:numId w:val="19"/>
        </w:numPr>
        <w:spacing w:line="332" w:lineRule="auto"/>
        <w:rPr>
          <w:bCs/>
        </w:rPr>
      </w:pPr>
      <w:r>
        <w:rPr>
          <w:bCs/>
        </w:rPr>
        <w:t xml:space="preserve">Campbell thanked Joan for her service as Chair and for her work in XBRL area.  </w:t>
      </w:r>
    </w:p>
    <w:p w14:paraId="213F5F44" w14:textId="38175522" w:rsidR="007E4393" w:rsidRPr="007E4393" w:rsidRDefault="007E4393" w:rsidP="007E4393">
      <w:pPr>
        <w:pStyle w:val="ListParagraph"/>
        <w:numPr>
          <w:ilvl w:val="0"/>
          <w:numId w:val="19"/>
        </w:numPr>
        <w:spacing w:line="332" w:lineRule="auto"/>
        <w:rPr>
          <w:bCs/>
        </w:rPr>
      </w:pPr>
      <w:r>
        <w:rPr>
          <w:bCs/>
        </w:rPr>
        <w:t>Campbell mentioned that he has asked for nominations for the position of Chair and</w:t>
      </w:r>
      <w:r w:rsidR="00ED7CB1">
        <w:rPr>
          <w:bCs/>
        </w:rPr>
        <w:t xml:space="preserve"> will bring recommendations to the Committee for approval.</w:t>
      </w:r>
    </w:p>
    <w:p w14:paraId="3F5F9AB9" w14:textId="77777777" w:rsidR="00B91AAC" w:rsidRDefault="00B91AAC" w:rsidP="009B296F">
      <w:pPr>
        <w:spacing w:line="332" w:lineRule="auto"/>
        <w:rPr>
          <w:rFonts w:ascii="Arial" w:eastAsia="Arial" w:hAnsi="Arial" w:cs="Arial"/>
          <w:b/>
          <w:sz w:val="22"/>
        </w:rPr>
      </w:pPr>
    </w:p>
    <w:p w14:paraId="2528ECD6" w14:textId="05C3B0BB" w:rsidR="009B296F" w:rsidRPr="009B296F" w:rsidRDefault="009B296F" w:rsidP="009B296F">
      <w:pPr>
        <w:spacing w:line="332" w:lineRule="auto"/>
        <w:rPr>
          <w:rFonts w:ascii="Arial" w:eastAsia="Arial" w:hAnsi="Arial" w:cs="Arial"/>
          <w:b/>
          <w:sz w:val="22"/>
        </w:rPr>
      </w:pPr>
      <w:r w:rsidRPr="009B296F">
        <w:rPr>
          <w:rFonts w:ascii="Arial" w:eastAsia="Arial" w:hAnsi="Arial" w:cs="Arial"/>
          <w:b/>
          <w:sz w:val="22"/>
        </w:rPr>
        <w:t>Review and Approval of Version 1</w:t>
      </w:r>
      <w:r w:rsidR="00AF06E1">
        <w:rPr>
          <w:rFonts w:ascii="Arial" w:eastAsia="Arial" w:hAnsi="Arial" w:cs="Arial"/>
          <w:b/>
          <w:sz w:val="22"/>
        </w:rPr>
        <w:t>5</w:t>
      </w:r>
      <w:r w:rsidRPr="009B296F">
        <w:rPr>
          <w:rFonts w:ascii="Arial" w:eastAsia="Arial" w:hAnsi="Arial" w:cs="Arial"/>
          <w:b/>
          <w:sz w:val="22"/>
        </w:rPr>
        <w:t xml:space="preserve"> DQC Rules</w:t>
      </w:r>
      <w:r w:rsidR="00AF06E1">
        <w:rPr>
          <w:rFonts w:ascii="Arial" w:eastAsia="Arial" w:hAnsi="Arial" w:cs="Arial"/>
          <w:b/>
          <w:sz w:val="22"/>
        </w:rPr>
        <w:t xml:space="preserve"> </w:t>
      </w:r>
    </w:p>
    <w:p w14:paraId="187B016E" w14:textId="77777777" w:rsidR="009B296F" w:rsidRPr="009B296F" w:rsidRDefault="009B296F" w:rsidP="009B296F">
      <w:pPr>
        <w:pStyle w:val="ListParagraph"/>
        <w:rPr>
          <w:b/>
          <w:bCs/>
        </w:rPr>
      </w:pPr>
    </w:p>
    <w:p w14:paraId="359E564C" w14:textId="77777777" w:rsidR="00332634" w:rsidRPr="00332634" w:rsidRDefault="00C64465" w:rsidP="000F10FC">
      <w:pPr>
        <w:pStyle w:val="ListParagraph"/>
        <w:numPr>
          <w:ilvl w:val="0"/>
          <w:numId w:val="3"/>
        </w:numPr>
        <w:spacing w:line="332" w:lineRule="auto"/>
        <w:rPr>
          <w:b/>
        </w:rPr>
      </w:pPr>
      <w:r>
        <w:rPr>
          <w:bCs/>
        </w:rPr>
        <w:t>Joan noted that the version 15 rules were out for public review</w:t>
      </w:r>
      <w:r w:rsidR="00332634">
        <w:rPr>
          <w:bCs/>
        </w:rPr>
        <w:t xml:space="preserve"> through May 31, 2021.</w:t>
      </w:r>
    </w:p>
    <w:p w14:paraId="1C82A9CE" w14:textId="08F51F23" w:rsidR="00982A9C" w:rsidRPr="00DE0CF3" w:rsidRDefault="00E2477A" w:rsidP="000F10FC">
      <w:pPr>
        <w:pStyle w:val="ListParagraph"/>
        <w:numPr>
          <w:ilvl w:val="0"/>
          <w:numId w:val="3"/>
        </w:numPr>
        <w:spacing w:line="332" w:lineRule="auto"/>
        <w:rPr>
          <w:b/>
        </w:rPr>
      </w:pPr>
      <w:r>
        <w:rPr>
          <w:bCs/>
        </w:rPr>
        <w:lastRenderedPageBreak/>
        <w:t xml:space="preserve">Campbell explained </w:t>
      </w:r>
      <w:r w:rsidR="00332634">
        <w:rPr>
          <w:bCs/>
        </w:rPr>
        <w:t>there were some mistakes in the rule forms that was corrected</w:t>
      </w:r>
      <w:r>
        <w:rPr>
          <w:bCs/>
        </w:rPr>
        <w:t>.</w:t>
      </w:r>
      <w:r w:rsidR="00883D13">
        <w:rPr>
          <w:bCs/>
        </w:rPr>
        <w:t xml:space="preserve"> </w:t>
      </w:r>
      <w:r w:rsidR="00B22906">
        <w:rPr>
          <w:bCs/>
        </w:rPr>
        <w:t xml:space="preserve"> </w:t>
      </w:r>
    </w:p>
    <w:p w14:paraId="33D82883" w14:textId="77777777" w:rsidR="009550BB" w:rsidRPr="003767EB" w:rsidRDefault="009550BB" w:rsidP="003767EB">
      <w:pPr>
        <w:pStyle w:val="ListParagraph"/>
        <w:numPr>
          <w:ilvl w:val="1"/>
          <w:numId w:val="3"/>
        </w:numPr>
        <w:spacing w:line="332" w:lineRule="auto"/>
        <w:rPr>
          <w:bCs/>
        </w:rPr>
      </w:pPr>
      <w:r w:rsidRPr="003767EB">
        <w:rPr>
          <w:bCs/>
        </w:rPr>
        <w:t xml:space="preserve">DQC_0107 – General Text Block – (No changes from public review) The rule identifies where the text block “Schedule Of Acquired Finite Lived Intangible Assets By Major Class Text Block” is used with a value on the Business Acquisition Axis. </w:t>
      </w:r>
    </w:p>
    <w:p w14:paraId="0696E95C" w14:textId="73243617" w:rsidR="009550BB" w:rsidRPr="003767EB" w:rsidRDefault="009550BB" w:rsidP="003767EB">
      <w:pPr>
        <w:pStyle w:val="ListParagraph"/>
        <w:numPr>
          <w:ilvl w:val="1"/>
          <w:numId w:val="3"/>
        </w:numPr>
        <w:spacing w:line="332" w:lineRule="auto"/>
        <w:rPr>
          <w:bCs/>
        </w:rPr>
      </w:pPr>
      <w:r w:rsidRPr="003767EB">
        <w:rPr>
          <w:bCs/>
        </w:rPr>
        <w:t xml:space="preserve">DQC_0108 – Fact Value Consistency Over Time - (No changes from public review) This rule is intended to identify those cases where the value of a monetary fact has a larger value reported than the value reported for another fact that represents the same concept, but over a longer duration of time. </w:t>
      </w:r>
    </w:p>
    <w:p w14:paraId="668311A3" w14:textId="5436697D" w:rsidR="009550BB" w:rsidRPr="003767EB" w:rsidRDefault="009550BB" w:rsidP="003767EB">
      <w:pPr>
        <w:pStyle w:val="ListParagraph"/>
        <w:numPr>
          <w:ilvl w:val="1"/>
          <w:numId w:val="3"/>
        </w:numPr>
        <w:spacing w:line="332" w:lineRule="auto"/>
        <w:rPr>
          <w:bCs/>
        </w:rPr>
      </w:pPr>
      <w:r w:rsidRPr="003767EB">
        <w:rPr>
          <w:bCs/>
        </w:rPr>
        <w:t>DQC_0109 - Concentration Risk – This rule consists of a number of parts that check concentration risks are reported correctly. All of the parts use the line item ConcentrationRiskPercentage1.  The correct reporting of concentration risk requires use of multiple dimensions.  The Concentration Risk by Benchmark Axis and Concentration Risk by Type Axis are required for all disclosures.  A third axis (e.g., Major Customers Axis or Statement Geographical Axis) may be used to further disaggregate the data.</w:t>
      </w:r>
      <w:r w:rsidR="00953A3F">
        <w:rPr>
          <w:bCs/>
        </w:rPr>
        <w:t xml:space="preserve"> Due to public review the following updates were made:</w:t>
      </w:r>
    </w:p>
    <w:p w14:paraId="3A67BB49" w14:textId="77777777" w:rsidR="00332634" w:rsidRDefault="009550BB" w:rsidP="003767EB">
      <w:pPr>
        <w:pStyle w:val="ListParagraph"/>
        <w:numPr>
          <w:ilvl w:val="2"/>
          <w:numId w:val="3"/>
        </w:numPr>
        <w:spacing w:line="332" w:lineRule="auto"/>
        <w:rPr>
          <w:bCs/>
        </w:rPr>
      </w:pPr>
      <w:r w:rsidRPr="003767EB">
        <w:rPr>
          <w:bCs/>
        </w:rPr>
        <w:t xml:space="preserve">The rule was updated due to comments received during public review to make exceptions for labor concentration risk.  The rule was updated so a 3rd dimension is not required for this risk.  </w:t>
      </w:r>
    </w:p>
    <w:p w14:paraId="4D48824A" w14:textId="6E94470A" w:rsidR="009550BB" w:rsidRPr="003767EB" w:rsidRDefault="009550BB" w:rsidP="003767EB">
      <w:pPr>
        <w:pStyle w:val="ListParagraph"/>
        <w:numPr>
          <w:ilvl w:val="2"/>
          <w:numId w:val="3"/>
        </w:numPr>
        <w:spacing w:line="332" w:lineRule="auto"/>
        <w:rPr>
          <w:bCs/>
        </w:rPr>
      </w:pPr>
      <w:r w:rsidRPr="003767EB">
        <w:rPr>
          <w:bCs/>
        </w:rPr>
        <w:t>Supplier risk was added to Revenue benchmark.</w:t>
      </w:r>
      <w:r w:rsidR="00AD5A71">
        <w:rPr>
          <w:bCs/>
        </w:rPr>
        <w:t xml:space="preserve">  </w:t>
      </w:r>
    </w:p>
    <w:p w14:paraId="71BB362F" w14:textId="3188B375" w:rsidR="009550BB" w:rsidRPr="003767EB" w:rsidRDefault="009550BB" w:rsidP="003767EB">
      <w:pPr>
        <w:pStyle w:val="ListParagraph"/>
        <w:numPr>
          <w:ilvl w:val="1"/>
          <w:numId w:val="3"/>
        </w:numPr>
        <w:spacing w:line="332" w:lineRule="auto"/>
        <w:rPr>
          <w:bCs/>
        </w:rPr>
      </w:pPr>
      <w:r w:rsidRPr="003767EB">
        <w:rPr>
          <w:bCs/>
        </w:rPr>
        <w:t xml:space="preserve">DQC_0110 – Missing Business Acquisition Axis (Short Period) - (No changes from public review) This rule identifies where the company has reported the details of a specific acquisition but has not identified the actual acquisition. </w:t>
      </w:r>
    </w:p>
    <w:p w14:paraId="361A9918" w14:textId="51B5CE79" w:rsidR="009550BB" w:rsidRPr="003767EB" w:rsidRDefault="009550BB" w:rsidP="003767EB">
      <w:pPr>
        <w:pStyle w:val="ListParagraph"/>
        <w:numPr>
          <w:ilvl w:val="1"/>
          <w:numId w:val="3"/>
        </w:numPr>
        <w:spacing w:line="332" w:lineRule="auto"/>
        <w:rPr>
          <w:bCs/>
        </w:rPr>
      </w:pPr>
      <w:r w:rsidRPr="003767EB">
        <w:rPr>
          <w:bCs/>
        </w:rPr>
        <w:t xml:space="preserve">DQC_0112 – Line Items Requiring the Business Acquisition Axis - (No changes from public review) This rule is intended to identify those cases where the company reports facts that are expected to include the business acquisition axis.  </w:t>
      </w:r>
    </w:p>
    <w:p w14:paraId="356FF67A" w14:textId="2EC6F231" w:rsidR="009550BB" w:rsidRPr="003767EB" w:rsidRDefault="009550BB" w:rsidP="003767EB">
      <w:pPr>
        <w:pStyle w:val="ListParagraph"/>
        <w:numPr>
          <w:ilvl w:val="1"/>
          <w:numId w:val="3"/>
        </w:numPr>
        <w:spacing w:line="332" w:lineRule="auto"/>
        <w:rPr>
          <w:bCs/>
        </w:rPr>
      </w:pPr>
      <w:r w:rsidRPr="003767EB">
        <w:rPr>
          <w:bCs/>
        </w:rPr>
        <w:t xml:space="preserve">DQC_0113 – Gross Acquisition Less Than Net Acquisition - (No changes from public review) This rule ensures that filers use the correct elements to identify the Gross Payments and the Net Payments for business acquisitions. </w:t>
      </w:r>
    </w:p>
    <w:p w14:paraId="234F681C" w14:textId="3ED75CF6" w:rsidR="009550BB" w:rsidRPr="003767EB" w:rsidRDefault="009550BB" w:rsidP="003767EB">
      <w:pPr>
        <w:pStyle w:val="ListParagraph"/>
        <w:numPr>
          <w:ilvl w:val="1"/>
          <w:numId w:val="3"/>
        </w:numPr>
        <w:spacing w:line="332" w:lineRule="auto"/>
        <w:rPr>
          <w:bCs/>
        </w:rPr>
      </w:pPr>
      <w:r w:rsidRPr="003767EB">
        <w:rPr>
          <w:bCs/>
        </w:rPr>
        <w:t xml:space="preserve">DQC_0114 – Assets Acquired Net of Goodwill - (No changes from public review) This rule is intended to identify those cases where the company reports the values of Assets acquired and liabilities assumed excluding goodwill, the value of assets acquired and liabilities assumed including goodwill and the value of goodwill. </w:t>
      </w:r>
    </w:p>
    <w:p w14:paraId="3859C015" w14:textId="7A9EDE60" w:rsidR="009550BB" w:rsidRPr="003767EB" w:rsidRDefault="009550BB" w:rsidP="003767EB">
      <w:pPr>
        <w:pStyle w:val="ListParagraph"/>
        <w:numPr>
          <w:ilvl w:val="1"/>
          <w:numId w:val="3"/>
        </w:numPr>
        <w:spacing w:line="332" w:lineRule="auto"/>
        <w:rPr>
          <w:bCs/>
        </w:rPr>
      </w:pPr>
      <w:r w:rsidRPr="003767EB">
        <w:rPr>
          <w:bCs/>
        </w:rPr>
        <w:lastRenderedPageBreak/>
        <w:t xml:space="preserve">DQC_0115 – Fact Value Consistency Over Time (IFRS) - (No changes from public review) This rule ensures that filers consistently use the same element across durations of time.  This rule flags an error for those cases where the value of a monetary fact has a larger value reported than the value reported for another fact that represents the same concept, but over a longer duration of time. </w:t>
      </w:r>
    </w:p>
    <w:p w14:paraId="662AAB29" w14:textId="33455193" w:rsidR="009550BB" w:rsidRPr="003767EB" w:rsidRDefault="009550BB" w:rsidP="003767EB">
      <w:pPr>
        <w:pStyle w:val="ListParagraph"/>
        <w:numPr>
          <w:ilvl w:val="1"/>
          <w:numId w:val="3"/>
        </w:numPr>
        <w:spacing w:line="332" w:lineRule="auto"/>
        <w:rPr>
          <w:bCs/>
        </w:rPr>
      </w:pPr>
      <w:r w:rsidRPr="003767EB">
        <w:rPr>
          <w:bCs/>
        </w:rPr>
        <w:t xml:space="preserve">DQC_0116 – Line Items Requiring the Asset Acquisition Axis - (No changes from public review) This rule is intended to identify those cases where the company reports facts that are expected to include the Asset Acquisition Axis.  </w:t>
      </w:r>
    </w:p>
    <w:p w14:paraId="61AB1F1C" w14:textId="5280D780" w:rsidR="002907ED" w:rsidRDefault="002907ED" w:rsidP="001C175D">
      <w:pPr>
        <w:pStyle w:val="ListParagraph"/>
        <w:ind w:left="1440"/>
        <w:jc w:val="both"/>
      </w:pPr>
    </w:p>
    <w:p w14:paraId="59065340" w14:textId="35EF7729" w:rsidR="001359A2" w:rsidRPr="009B296F" w:rsidRDefault="00DC7174" w:rsidP="001359A2">
      <w:pPr>
        <w:pStyle w:val="ListParagraph"/>
        <w:numPr>
          <w:ilvl w:val="0"/>
          <w:numId w:val="3"/>
        </w:numPr>
        <w:spacing w:line="332" w:lineRule="auto"/>
      </w:pPr>
      <w:r>
        <w:t xml:space="preserve">Joan </w:t>
      </w:r>
      <w:r w:rsidR="00D00A9C">
        <w:t>stated</w:t>
      </w:r>
      <w:r>
        <w:t xml:space="preserve"> </w:t>
      </w:r>
      <w:r w:rsidR="003767EB">
        <w:t xml:space="preserve">effective date for version 15 </w:t>
      </w:r>
      <w:r w:rsidR="00E739B0">
        <w:t>is proposed for</w:t>
      </w:r>
      <w:r w:rsidR="003767EB">
        <w:t xml:space="preserve"> </w:t>
      </w:r>
      <w:r w:rsidR="008859AF">
        <w:t>September 1</w:t>
      </w:r>
      <w:r w:rsidR="001359A2">
        <w:t>, 2021.</w:t>
      </w:r>
    </w:p>
    <w:p w14:paraId="4AA1E56B" w14:textId="77777777" w:rsidR="00DE0CF3" w:rsidRDefault="00DE0CF3" w:rsidP="00DE0CF3">
      <w:pPr>
        <w:pStyle w:val="ListParagraph"/>
        <w:spacing w:line="332" w:lineRule="auto"/>
        <w:rPr>
          <w:b/>
        </w:rPr>
      </w:pPr>
    </w:p>
    <w:p w14:paraId="0552D154" w14:textId="17BBE738" w:rsidR="009B296F" w:rsidRPr="0013768C" w:rsidRDefault="009B296F" w:rsidP="00F862C7">
      <w:pPr>
        <w:pStyle w:val="ListParagraph"/>
        <w:numPr>
          <w:ilvl w:val="0"/>
          <w:numId w:val="3"/>
        </w:numPr>
        <w:spacing w:line="332" w:lineRule="auto"/>
      </w:pPr>
      <w:r w:rsidRPr="0013768C">
        <w:t>Motion to approve rules</w:t>
      </w:r>
      <w:r w:rsidR="007E6554">
        <w:t xml:space="preserve"> </w:t>
      </w:r>
      <w:r w:rsidR="005426B3">
        <w:t>DQC_</w:t>
      </w:r>
      <w:r w:rsidR="00461F61">
        <w:t>0</w:t>
      </w:r>
      <w:r w:rsidR="005426B3">
        <w:t>10</w:t>
      </w:r>
      <w:r w:rsidR="00DE0CF3">
        <w:t>7</w:t>
      </w:r>
      <w:r w:rsidR="005426B3">
        <w:t>, DQC_</w:t>
      </w:r>
      <w:r w:rsidR="00461F61">
        <w:t>0</w:t>
      </w:r>
      <w:r w:rsidR="005426B3">
        <w:t>10</w:t>
      </w:r>
      <w:r w:rsidR="00461F61">
        <w:t>8</w:t>
      </w:r>
      <w:r w:rsidR="005426B3">
        <w:t>, DQC_</w:t>
      </w:r>
      <w:r w:rsidR="00461F61">
        <w:t>0</w:t>
      </w:r>
      <w:r w:rsidR="005426B3">
        <w:t>10</w:t>
      </w:r>
      <w:r w:rsidR="00461F61">
        <w:t>9</w:t>
      </w:r>
      <w:r w:rsidR="005426B3">
        <w:t>, DQC_</w:t>
      </w:r>
      <w:r w:rsidR="00461F61">
        <w:t>0</w:t>
      </w:r>
      <w:r w:rsidR="005426B3">
        <w:t>1</w:t>
      </w:r>
      <w:r w:rsidR="00DE0CF3">
        <w:t>1</w:t>
      </w:r>
      <w:r w:rsidR="005426B3">
        <w:t>0</w:t>
      </w:r>
      <w:r w:rsidR="00461F61">
        <w:t>,</w:t>
      </w:r>
      <w:r w:rsidR="00843F7B">
        <w:t xml:space="preserve"> DQC_</w:t>
      </w:r>
      <w:r w:rsidR="00461F61">
        <w:t>0</w:t>
      </w:r>
      <w:r w:rsidR="00843F7B">
        <w:t>1</w:t>
      </w:r>
      <w:r w:rsidR="00461F61">
        <w:t>1</w:t>
      </w:r>
      <w:r w:rsidR="007E6554">
        <w:t>2</w:t>
      </w:r>
      <w:r w:rsidR="00461F61">
        <w:t>, DQC_011</w:t>
      </w:r>
      <w:r w:rsidR="007E6554">
        <w:t>3</w:t>
      </w:r>
      <w:r w:rsidR="00461F61">
        <w:t>,</w:t>
      </w:r>
      <w:r w:rsidR="007E6554">
        <w:t xml:space="preserve"> DQC_0114, DQC_0115, DQC_0116</w:t>
      </w:r>
      <w:r w:rsidR="00E739B0">
        <w:t xml:space="preserve"> </w:t>
      </w:r>
      <w:r w:rsidR="00C97D1E">
        <w:t xml:space="preserve">effective </w:t>
      </w:r>
      <w:r w:rsidR="00E739B0">
        <w:t xml:space="preserve">September </w:t>
      </w:r>
      <w:r w:rsidR="00634F4C">
        <w:t>1</w:t>
      </w:r>
      <w:r w:rsidR="007672E8">
        <w:t>, 2021</w:t>
      </w:r>
      <w:r w:rsidR="00843F7B">
        <w:t xml:space="preserve">, </w:t>
      </w:r>
      <w:r w:rsidR="00D73839">
        <w:t>by</w:t>
      </w:r>
      <w:r w:rsidR="00BA24CA">
        <w:t xml:space="preserve"> </w:t>
      </w:r>
      <w:r w:rsidR="00C842C4">
        <w:t>Glad</w:t>
      </w:r>
      <w:r w:rsidR="00E739B0">
        <w:t xml:space="preserve"> Sully</w:t>
      </w:r>
      <w:r w:rsidR="00D73839">
        <w:t xml:space="preserve">, </w:t>
      </w:r>
      <w:r w:rsidRPr="0013768C">
        <w:t xml:space="preserve">seconded by </w:t>
      </w:r>
      <w:r w:rsidR="00C842C4">
        <w:t xml:space="preserve">Charles </w:t>
      </w:r>
      <w:r w:rsidR="00E739B0">
        <w:t>Kessler</w:t>
      </w:r>
    </w:p>
    <w:p w14:paraId="55354860" w14:textId="01F60622" w:rsidR="009B296F" w:rsidRPr="0013768C" w:rsidRDefault="009B296F" w:rsidP="00FD2846">
      <w:pPr>
        <w:pStyle w:val="ListParagraph"/>
        <w:numPr>
          <w:ilvl w:val="0"/>
          <w:numId w:val="3"/>
        </w:numPr>
        <w:spacing w:line="332" w:lineRule="auto"/>
      </w:pPr>
      <w:r w:rsidRPr="0013768C">
        <w:t xml:space="preserve">Vote (For </w:t>
      </w:r>
      <w:r w:rsidR="007672E8">
        <w:t>7</w:t>
      </w:r>
      <w:r w:rsidRPr="0013768C">
        <w:t>, 0 Against)</w:t>
      </w:r>
    </w:p>
    <w:p w14:paraId="33C95C44" w14:textId="4BF65A0F" w:rsidR="009B296F" w:rsidRPr="00D45304" w:rsidRDefault="009B296F" w:rsidP="00FD2846">
      <w:pPr>
        <w:pStyle w:val="ListParagraph"/>
        <w:numPr>
          <w:ilvl w:val="0"/>
          <w:numId w:val="3"/>
        </w:numPr>
        <w:spacing w:line="332" w:lineRule="auto"/>
      </w:pPr>
      <w:r w:rsidRPr="0013768C">
        <w:t>Motion passed.</w:t>
      </w:r>
      <w:r w:rsidR="001359A2" w:rsidRPr="001359A2">
        <w:t xml:space="preserve"> </w:t>
      </w:r>
      <w:r w:rsidR="00373919">
        <w:t>R</w:t>
      </w:r>
      <w:r w:rsidR="001359A2" w:rsidRPr="0013768C">
        <w:t>ules</w:t>
      </w:r>
      <w:r w:rsidR="001359A2">
        <w:t xml:space="preserve"> </w:t>
      </w:r>
      <w:r w:rsidR="00C97D1E">
        <w:t>DQC_0107, DQC_0108, DQC_0109, DQC_0110, DQC_0112, DQC_0113, DQC_0114, DQC_0115, DQC_0116</w:t>
      </w:r>
      <w:r w:rsidR="00E739B0">
        <w:t xml:space="preserve"> </w:t>
      </w:r>
      <w:r w:rsidR="00C97D1E">
        <w:t xml:space="preserve">effective </w:t>
      </w:r>
      <w:r w:rsidR="00E739B0">
        <w:t xml:space="preserve">September 1, 2021 </w:t>
      </w:r>
      <w:r>
        <w:t>approved</w:t>
      </w:r>
      <w:r w:rsidR="00D45304">
        <w:t>.</w:t>
      </w:r>
      <w:r>
        <w:t xml:space="preserve"> </w:t>
      </w:r>
    </w:p>
    <w:p w14:paraId="4EDD58B0" w14:textId="77777777" w:rsidR="00335D46" w:rsidRDefault="00335D46">
      <w:pPr>
        <w:spacing w:line="332" w:lineRule="auto"/>
        <w:rPr>
          <w:rFonts w:ascii="Arial" w:eastAsia="Arial" w:hAnsi="Arial" w:cs="Arial"/>
          <w:sz w:val="22"/>
        </w:rPr>
      </w:pPr>
    </w:p>
    <w:p w14:paraId="3FA39025" w14:textId="77777777" w:rsidR="001C175D" w:rsidRDefault="001C175D" w:rsidP="0084755C">
      <w:pPr>
        <w:jc w:val="both"/>
        <w:rPr>
          <w:rFonts w:ascii="Arial" w:hAnsi="Arial" w:cs="Arial"/>
          <w:b/>
          <w:bCs/>
          <w:sz w:val="22"/>
          <w:szCs w:val="22"/>
        </w:rPr>
      </w:pPr>
      <w:r>
        <w:rPr>
          <w:rFonts w:ascii="Arial" w:hAnsi="Arial" w:cs="Arial"/>
          <w:b/>
          <w:bCs/>
          <w:sz w:val="22"/>
          <w:szCs w:val="22"/>
        </w:rPr>
        <w:t>Review and Approval of Version 16 Rules for Public Review</w:t>
      </w:r>
    </w:p>
    <w:p w14:paraId="5366A980" w14:textId="77777777" w:rsidR="001C175D" w:rsidRDefault="001C175D" w:rsidP="0084755C">
      <w:pPr>
        <w:jc w:val="both"/>
        <w:rPr>
          <w:rFonts w:ascii="Arial" w:hAnsi="Arial" w:cs="Arial"/>
          <w:b/>
          <w:bCs/>
          <w:sz w:val="22"/>
          <w:szCs w:val="22"/>
        </w:rPr>
      </w:pPr>
    </w:p>
    <w:p w14:paraId="719F61BE" w14:textId="5ECA3DAF" w:rsidR="006A6E5A" w:rsidRDefault="009631D2" w:rsidP="001C175D">
      <w:pPr>
        <w:pStyle w:val="ListParagraph"/>
        <w:numPr>
          <w:ilvl w:val="0"/>
          <w:numId w:val="18"/>
        </w:numPr>
        <w:jc w:val="both"/>
        <w:rPr>
          <w:szCs w:val="22"/>
        </w:rPr>
      </w:pPr>
      <w:r>
        <w:rPr>
          <w:szCs w:val="22"/>
        </w:rPr>
        <w:t>Joan stated that the version 16 rules will be put out for public review July</w:t>
      </w:r>
      <w:r w:rsidR="004024FB">
        <w:rPr>
          <w:szCs w:val="22"/>
        </w:rPr>
        <w:t xml:space="preserve"> 15</w:t>
      </w:r>
      <w:r w:rsidR="006A6E5A">
        <w:rPr>
          <w:szCs w:val="22"/>
        </w:rPr>
        <w:t>, 2021.</w:t>
      </w:r>
    </w:p>
    <w:p w14:paraId="33B7EEA5" w14:textId="545F0C5C" w:rsidR="001C175D" w:rsidRDefault="001C175D" w:rsidP="001C175D">
      <w:pPr>
        <w:pStyle w:val="ListParagraph"/>
        <w:numPr>
          <w:ilvl w:val="0"/>
          <w:numId w:val="18"/>
        </w:numPr>
        <w:jc w:val="both"/>
        <w:rPr>
          <w:szCs w:val="22"/>
        </w:rPr>
      </w:pPr>
      <w:r>
        <w:rPr>
          <w:szCs w:val="22"/>
        </w:rPr>
        <w:t>Campbell</w:t>
      </w:r>
      <w:r w:rsidR="006A6E5A">
        <w:rPr>
          <w:szCs w:val="22"/>
        </w:rPr>
        <w:t xml:space="preserve"> explained the version 16 rules</w:t>
      </w:r>
      <w:r w:rsidR="00E739B0">
        <w:rPr>
          <w:szCs w:val="22"/>
        </w:rPr>
        <w:t xml:space="preserve"> will address dimensions on the face financial statements, lease accounting and tagging income before taxes.</w:t>
      </w:r>
    </w:p>
    <w:p w14:paraId="538CA3DC" w14:textId="20355EC3" w:rsidR="0084755C" w:rsidRPr="001C175D" w:rsidRDefault="0084755C" w:rsidP="001C175D">
      <w:pPr>
        <w:pStyle w:val="ListParagraph"/>
        <w:numPr>
          <w:ilvl w:val="0"/>
          <w:numId w:val="18"/>
        </w:numPr>
        <w:ind w:left="1080"/>
        <w:jc w:val="both"/>
        <w:rPr>
          <w:szCs w:val="22"/>
        </w:rPr>
      </w:pPr>
      <w:r w:rsidRPr="001C175D">
        <w:rPr>
          <w:szCs w:val="22"/>
        </w:rPr>
        <w:t xml:space="preserve">DQC_0117 - Financial Statement Tables Dimensional Cross Check </w:t>
      </w:r>
      <w:r w:rsidRPr="001C175D">
        <w:rPr>
          <w:i/>
          <w:iCs/>
          <w:szCs w:val="22"/>
        </w:rPr>
        <w:t>(714 error</w:t>
      </w:r>
      <w:r w:rsidRPr="001C175D">
        <w:rPr>
          <w:szCs w:val="22"/>
        </w:rPr>
        <w:t>s) This rule identifies inconsistent calculations defined for the Financial Statements.  The rule covers the Cash Flow Statement, Statement of Financial Position and the Income Statement and excludes the Statement of Changes in Shareholders Equity</w:t>
      </w:r>
      <w:r w:rsidR="00775A03">
        <w:rPr>
          <w:szCs w:val="22"/>
        </w:rPr>
        <w:t xml:space="preserve"> where dimensions are reported and there is a total reported</w:t>
      </w:r>
      <w:r w:rsidRPr="001C175D">
        <w:rPr>
          <w:szCs w:val="22"/>
        </w:rPr>
        <w:t>.  The rule evaluates if the dimensional values reported in the financial statements are equal to the reported sum of these dimensional values. Both the dimensional values and the aggregate value need to be reported in the financial statement.  The rule checks a limited amount of axes. The axis aggregations checked by the rule are as follows:</w:t>
      </w:r>
    </w:p>
    <w:p w14:paraId="55771EF0" w14:textId="77777777" w:rsidR="0084755C" w:rsidRPr="001C175D" w:rsidRDefault="0084755C" w:rsidP="001C175D">
      <w:pPr>
        <w:numPr>
          <w:ilvl w:val="0"/>
          <w:numId w:val="7"/>
        </w:numPr>
        <w:ind w:left="1440"/>
        <w:jc w:val="both"/>
        <w:rPr>
          <w:rFonts w:ascii="Arial" w:hAnsi="Arial" w:cs="Arial"/>
          <w:sz w:val="22"/>
          <w:szCs w:val="22"/>
        </w:rPr>
      </w:pPr>
      <w:proofErr w:type="spellStart"/>
      <w:r w:rsidRPr="001C175D">
        <w:rPr>
          <w:rFonts w:ascii="Arial" w:hAnsi="Arial" w:cs="Arial"/>
          <w:sz w:val="22"/>
          <w:szCs w:val="22"/>
        </w:rPr>
        <w:t>StatementClassOfStockAxis</w:t>
      </w:r>
      <w:proofErr w:type="spellEnd"/>
    </w:p>
    <w:p w14:paraId="55EACC3B" w14:textId="77777777" w:rsidR="0084755C" w:rsidRPr="001C175D" w:rsidRDefault="0084755C" w:rsidP="001C175D">
      <w:pPr>
        <w:numPr>
          <w:ilvl w:val="0"/>
          <w:numId w:val="7"/>
        </w:numPr>
        <w:ind w:left="1440"/>
        <w:jc w:val="both"/>
        <w:rPr>
          <w:rFonts w:ascii="Arial" w:hAnsi="Arial" w:cs="Arial"/>
          <w:sz w:val="22"/>
          <w:szCs w:val="22"/>
        </w:rPr>
      </w:pPr>
      <w:proofErr w:type="spellStart"/>
      <w:r w:rsidRPr="001C175D">
        <w:rPr>
          <w:rFonts w:ascii="Arial" w:hAnsi="Arial" w:cs="Arial"/>
          <w:sz w:val="22"/>
          <w:szCs w:val="22"/>
        </w:rPr>
        <w:t>ProductOrServiceAxis</w:t>
      </w:r>
      <w:proofErr w:type="spellEnd"/>
      <w:r w:rsidRPr="001C175D">
        <w:rPr>
          <w:rFonts w:ascii="Arial" w:hAnsi="Arial" w:cs="Arial"/>
          <w:sz w:val="22"/>
          <w:szCs w:val="22"/>
        </w:rPr>
        <w:t>'</w:t>
      </w:r>
    </w:p>
    <w:p w14:paraId="2BA9D49E" w14:textId="77777777" w:rsidR="0084755C" w:rsidRPr="001C175D" w:rsidRDefault="0084755C" w:rsidP="001C175D">
      <w:pPr>
        <w:numPr>
          <w:ilvl w:val="0"/>
          <w:numId w:val="7"/>
        </w:numPr>
        <w:ind w:left="1440"/>
        <w:jc w:val="both"/>
        <w:rPr>
          <w:rFonts w:ascii="Arial" w:hAnsi="Arial" w:cs="Arial"/>
          <w:sz w:val="22"/>
          <w:szCs w:val="22"/>
        </w:rPr>
      </w:pPr>
      <w:proofErr w:type="spellStart"/>
      <w:r w:rsidRPr="001C175D">
        <w:rPr>
          <w:rFonts w:ascii="Arial" w:hAnsi="Arial" w:cs="Arial"/>
          <w:sz w:val="22"/>
          <w:szCs w:val="22"/>
        </w:rPr>
        <w:t>PropertyPlantAndEquipmentByTypeAxis</w:t>
      </w:r>
      <w:proofErr w:type="spellEnd"/>
    </w:p>
    <w:p w14:paraId="2D4E7B6E" w14:textId="77777777" w:rsidR="0084755C" w:rsidRPr="001C175D" w:rsidRDefault="0084755C" w:rsidP="001C175D">
      <w:pPr>
        <w:numPr>
          <w:ilvl w:val="0"/>
          <w:numId w:val="7"/>
        </w:numPr>
        <w:ind w:left="1440"/>
        <w:jc w:val="both"/>
        <w:rPr>
          <w:rFonts w:ascii="Arial" w:hAnsi="Arial" w:cs="Arial"/>
          <w:sz w:val="22"/>
          <w:szCs w:val="22"/>
        </w:rPr>
      </w:pPr>
      <w:proofErr w:type="spellStart"/>
      <w:r w:rsidRPr="001C175D">
        <w:rPr>
          <w:rFonts w:ascii="Arial" w:hAnsi="Arial" w:cs="Arial"/>
          <w:sz w:val="22"/>
          <w:szCs w:val="22"/>
        </w:rPr>
        <w:t>LongtermDebtTypeAxis</w:t>
      </w:r>
      <w:proofErr w:type="spellEnd"/>
    </w:p>
    <w:p w14:paraId="36E1F01F" w14:textId="77777777" w:rsidR="0084755C" w:rsidRPr="001C175D" w:rsidRDefault="0084755C" w:rsidP="001C175D">
      <w:pPr>
        <w:numPr>
          <w:ilvl w:val="0"/>
          <w:numId w:val="7"/>
        </w:numPr>
        <w:ind w:left="1440"/>
        <w:jc w:val="both"/>
        <w:rPr>
          <w:rFonts w:ascii="Arial" w:hAnsi="Arial" w:cs="Arial"/>
          <w:sz w:val="22"/>
          <w:szCs w:val="22"/>
        </w:rPr>
      </w:pPr>
      <w:proofErr w:type="spellStart"/>
      <w:r w:rsidRPr="001C175D">
        <w:rPr>
          <w:rFonts w:ascii="Arial" w:hAnsi="Arial" w:cs="Arial"/>
          <w:sz w:val="22"/>
          <w:szCs w:val="22"/>
        </w:rPr>
        <w:t>RelatedPartyTransactionsByRelatedPartyAxis</w:t>
      </w:r>
      <w:proofErr w:type="spellEnd"/>
    </w:p>
    <w:p w14:paraId="14C5A1D7" w14:textId="77777777" w:rsidR="0084755C" w:rsidRPr="001C175D" w:rsidRDefault="0084755C" w:rsidP="001C175D">
      <w:pPr>
        <w:numPr>
          <w:ilvl w:val="0"/>
          <w:numId w:val="7"/>
        </w:numPr>
        <w:ind w:left="1440"/>
        <w:jc w:val="both"/>
        <w:rPr>
          <w:rFonts w:ascii="Arial" w:hAnsi="Arial" w:cs="Arial"/>
          <w:sz w:val="22"/>
          <w:szCs w:val="22"/>
        </w:rPr>
      </w:pPr>
      <w:proofErr w:type="spellStart"/>
      <w:r w:rsidRPr="001C175D">
        <w:rPr>
          <w:rFonts w:ascii="Arial" w:hAnsi="Arial" w:cs="Arial"/>
          <w:sz w:val="22"/>
          <w:szCs w:val="22"/>
        </w:rPr>
        <w:t>StatementBusinessSegmentsAxis</w:t>
      </w:r>
      <w:proofErr w:type="spellEnd"/>
    </w:p>
    <w:p w14:paraId="7CDE8101" w14:textId="77777777" w:rsidR="0084755C" w:rsidRPr="001C175D" w:rsidRDefault="0084755C" w:rsidP="001C175D">
      <w:pPr>
        <w:numPr>
          <w:ilvl w:val="0"/>
          <w:numId w:val="7"/>
        </w:numPr>
        <w:ind w:left="1440"/>
        <w:jc w:val="both"/>
        <w:rPr>
          <w:rFonts w:ascii="Arial" w:hAnsi="Arial" w:cs="Arial"/>
          <w:sz w:val="22"/>
          <w:szCs w:val="22"/>
        </w:rPr>
      </w:pPr>
      <w:proofErr w:type="spellStart"/>
      <w:r w:rsidRPr="001C175D">
        <w:rPr>
          <w:rFonts w:ascii="Arial" w:hAnsi="Arial" w:cs="Arial"/>
          <w:sz w:val="22"/>
          <w:szCs w:val="22"/>
        </w:rPr>
        <w:t>FinancialInstrumentAxis</w:t>
      </w:r>
      <w:proofErr w:type="spellEnd"/>
    </w:p>
    <w:p w14:paraId="7F0803A3" w14:textId="77777777" w:rsidR="0084755C" w:rsidRPr="001C175D" w:rsidRDefault="0084755C" w:rsidP="001C175D">
      <w:pPr>
        <w:numPr>
          <w:ilvl w:val="0"/>
          <w:numId w:val="7"/>
        </w:numPr>
        <w:ind w:left="1440"/>
        <w:jc w:val="both"/>
        <w:rPr>
          <w:rFonts w:ascii="Arial" w:hAnsi="Arial" w:cs="Arial"/>
          <w:sz w:val="22"/>
          <w:szCs w:val="22"/>
        </w:rPr>
      </w:pPr>
      <w:proofErr w:type="spellStart"/>
      <w:r w:rsidRPr="001C175D">
        <w:rPr>
          <w:rFonts w:ascii="Arial" w:hAnsi="Arial" w:cs="Arial"/>
          <w:sz w:val="22"/>
          <w:szCs w:val="22"/>
        </w:rPr>
        <w:t>LimitedPartnersCapitalAccountByClassAxis</w:t>
      </w:r>
      <w:proofErr w:type="spellEnd"/>
    </w:p>
    <w:p w14:paraId="71808337" w14:textId="77777777" w:rsidR="0084755C" w:rsidRPr="001C175D" w:rsidRDefault="0084755C" w:rsidP="001C175D">
      <w:pPr>
        <w:numPr>
          <w:ilvl w:val="0"/>
          <w:numId w:val="7"/>
        </w:numPr>
        <w:ind w:left="1440"/>
        <w:jc w:val="both"/>
        <w:rPr>
          <w:rFonts w:ascii="Arial" w:hAnsi="Arial" w:cs="Arial"/>
          <w:sz w:val="22"/>
          <w:szCs w:val="22"/>
        </w:rPr>
      </w:pPr>
      <w:proofErr w:type="spellStart"/>
      <w:r w:rsidRPr="001C175D">
        <w:rPr>
          <w:rFonts w:ascii="Arial" w:hAnsi="Arial" w:cs="Arial"/>
          <w:sz w:val="22"/>
          <w:szCs w:val="22"/>
        </w:rPr>
        <w:t>PartnerTypeOfPartnersCapitalAccountAxis</w:t>
      </w:r>
      <w:proofErr w:type="spellEnd"/>
    </w:p>
    <w:p w14:paraId="6A36D0AF" w14:textId="77777777" w:rsidR="0084755C" w:rsidRPr="001C175D" w:rsidRDefault="0084755C" w:rsidP="001C175D">
      <w:pPr>
        <w:numPr>
          <w:ilvl w:val="0"/>
          <w:numId w:val="7"/>
        </w:numPr>
        <w:ind w:left="1440"/>
        <w:jc w:val="both"/>
        <w:rPr>
          <w:rFonts w:ascii="Arial" w:hAnsi="Arial" w:cs="Arial"/>
          <w:sz w:val="22"/>
          <w:szCs w:val="22"/>
        </w:rPr>
      </w:pPr>
      <w:proofErr w:type="spellStart"/>
      <w:r w:rsidRPr="001C175D">
        <w:rPr>
          <w:rFonts w:ascii="Arial" w:hAnsi="Arial" w:cs="Arial"/>
          <w:sz w:val="22"/>
          <w:szCs w:val="22"/>
        </w:rPr>
        <w:lastRenderedPageBreak/>
        <w:t>FiniteLivedIntangibleAssetsByMajorClassAxis</w:t>
      </w:r>
      <w:proofErr w:type="spellEnd"/>
    </w:p>
    <w:p w14:paraId="53F0C594" w14:textId="77777777" w:rsidR="0084755C" w:rsidRPr="001C175D" w:rsidRDefault="0084755C" w:rsidP="001C175D">
      <w:pPr>
        <w:numPr>
          <w:ilvl w:val="0"/>
          <w:numId w:val="7"/>
        </w:numPr>
        <w:ind w:left="1440"/>
        <w:jc w:val="both"/>
        <w:rPr>
          <w:rFonts w:ascii="Arial" w:hAnsi="Arial" w:cs="Arial"/>
          <w:sz w:val="22"/>
          <w:szCs w:val="22"/>
        </w:rPr>
      </w:pPr>
      <w:proofErr w:type="spellStart"/>
      <w:r w:rsidRPr="001C175D">
        <w:rPr>
          <w:rFonts w:ascii="Arial" w:hAnsi="Arial" w:cs="Arial"/>
          <w:sz w:val="22"/>
          <w:szCs w:val="22"/>
        </w:rPr>
        <w:t>InformationByCategoryOfDebtSecurityAxis</w:t>
      </w:r>
      <w:proofErr w:type="spellEnd"/>
    </w:p>
    <w:p w14:paraId="56D8B035" w14:textId="77777777" w:rsidR="0084755C" w:rsidRPr="001C175D" w:rsidRDefault="0084755C" w:rsidP="001C175D">
      <w:pPr>
        <w:ind w:left="720"/>
        <w:jc w:val="both"/>
        <w:rPr>
          <w:rFonts w:ascii="Arial" w:hAnsi="Arial" w:cs="Arial"/>
          <w:sz w:val="22"/>
          <w:szCs w:val="22"/>
        </w:rPr>
      </w:pPr>
    </w:p>
    <w:p w14:paraId="51ECBB3E" w14:textId="48CCD449" w:rsidR="0084755C" w:rsidRDefault="0084755C" w:rsidP="003324E1">
      <w:pPr>
        <w:pStyle w:val="ListParagraph"/>
        <w:numPr>
          <w:ilvl w:val="1"/>
          <w:numId w:val="18"/>
        </w:numPr>
        <w:ind w:left="1080"/>
        <w:jc w:val="both"/>
        <w:rPr>
          <w:szCs w:val="22"/>
        </w:rPr>
      </w:pPr>
      <w:r w:rsidRPr="001C175D">
        <w:rPr>
          <w:szCs w:val="22"/>
        </w:rPr>
        <w:t xml:space="preserve">DQC_0118 - Financial Statement Tables Calculation Check of Required Context </w:t>
      </w:r>
      <w:r w:rsidRPr="001C175D">
        <w:rPr>
          <w:i/>
          <w:iCs/>
          <w:szCs w:val="22"/>
        </w:rPr>
        <w:t xml:space="preserve">(371 errors) </w:t>
      </w:r>
      <w:r w:rsidRPr="001C175D">
        <w:rPr>
          <w:szCs w:val="22"/>
        </w:rPr>
        <w:t xml:space="preserve">This rule identifies inconsistent calculations defined for the Financial Statements.  The rule covers the Cash Flow Statement, Statement of Financial Position, the Income Statement and excludes the Statement of Changes in Shareholders Equity.  The rule evaluates each line in the financial statements representing an aggregation based on the elements defined in the calculation </w:t>
      </w:r>
      <w:proofErr w:type="spellStart"/>
      <w:r w:rsidRPr="001C175D">
        <w:rPr>
          <w:szCs w:val="22"/>
        </w:rPr>
        <w:t>linkbase</w:t>
      </w:r>
      <w:proofErr w:type="spellEnd"/>
      <w:r w:rsidRPr="001C175D">
        <w:rPr>
          <w:szCs w:val="22"/>
        </w:rPr>
        <w:t>.  If the sum of the child elements does not equal the value reported for the aggregation then an error is reported.  The rule will only run for the period representing the required context.</w:t>
      </w:r>
    </w:p>
    <w:p w14:paraId="74F8CA03" w14:textId="77777777" w:rsidR="00321548" w:rsidRPr="001C175D" w:rsidRDefault="00321548" w:rsidP="00321548">
      <w:pPr>
        <w:pStyle w:val="ListParagraph"/>
        <w:jc w:val="both"/>
        <w:rPr>
          <w:szCs w:val="22"/>
        </w:rPr>
      </w:pPr>
    </w:p>
    <w:p w14:paraId="01D81923" w14:textId="77777777" w:rsidR="0084755C" w:rsidRPr="00321548" w:rsidRDefault="0084755C" w:rsidP="003324E1">
      <w:pPr>
        <w:pStyle w:val="ListParagraph"/>
        <w:numPr>
          <w:ilvl w:val="0"/>
          <w:numId w:val="18"/>
        </w:numPr>
        <w:ind w:left="1080"/>
        <w:rPr>
          <w:szCs w:val="22"/>
        </w:rPr>
      </w:pPr>
      <w:r w:rsidRPr="00321548">
        <w:rPr>
          <w:szCs w:val="22"/>
        </w:rPr>
        <w:t xml:space="preserve">DQC_0119 - </w:t>
      </w:r>
      <w:bookmarkStart w:id="1" w:name="_9cqjz1me3vop" w:colFirst="0" w:colLast="0"/>
      <w:bookmarkEnd w:id="1"/>
      <w:r w:rsidRPr="00321548">
        <w:rPr>
          <w:szCs w:val="22"/>
        </w:rPr>
        <w:t xml:space="preserve">Income Before Tax Equity Method </w:t>
      </w:r>
      <w:r w:rsidRPr="00321548">
        <w:rPr>
          <w:i/>
          <w:iCs/>
          <w:szCs w:val="22"/>
        </w:rPr>
        <w:t xml:space="preserve">(707 errors) </w:t>
      </w:r>
      <w:r w:rsidRPr="00321548">
        <w:rPr>
          <w:szCs w:val="22"/>
        </w:rPr>
        <w:t>This rule is intended to identify those cases where the company uses the element IncomeLossFromContinuingOperationsBeforeIncomeTaxesMinorityInterestAndIncomeLossFromEquityMethodInvestments in an inappropriate manner.  The rule has 2 parts:</w:t>
      </w:r>
    </w:p>
    <w:p w14:paraId="5A48FE7F" w14:textId="77777777" w:rsidR="0084755C" w:rsidRPr="001C175D" w:rsidRDefault="0084755C" w:rsidP="003324E1">
      <w:pPr>
        <w:pStyle w:val="ListParagraph"/>
        <w:numPr>
          <w:ilvl w:val="0"/>
          <w:numId w:val="8"/>
        </w:numPr>
        <w:spacing w:line="240" w:lineRule="auto"/>
        <w:ind w:left="1800"/>
        <w:contextualSpacing w:val="0"/>
        <w:jc w:val="both"/>
        <w:rPr>
          <w:szCs w:val="22"/>
        </w:rPr>
      </w:pPr>
      <w:r w:rsidRPr="001C175D">
        <w:rPr>
          <w:szCs w:val="22"/>
        </w:rPr>
        <w:t xml:space="preserve"> If the filer has used the element representing “Income before income tax, </w:t>
      </w:r>
      <w:proofErr w:type="spellStart"/>
      <w:r w:rsidRPr="001C175D">
        <w:rPr>
          <w:szCs w:val="22"/>
        </w:rPr>
        <w:t>Non Controlling</w:t>
      </w:r>
      <w:proofErr w:type="spellEnd"/>
      <w:r w:rsidRPr="001C175D">
        <w:rPr>
          <w:szCs w:val="22"/>
        </w:rPr>
        <w:t xml:space="preserve"> Interest and Equity Method Investments”, then the filer must also have disclosed Equity Method Investments.  To check if the company has reported equity method investments the rule checks if the filer has reported values for any of the following elements: (With dimensions and without dimensions)</w:t>
      </w:r>
    </w:p>
    <w:p w14:paraId="3D58437A" w14:textId="77777777" w:rsidR="0084755C" w:rsidRPr="001C175D" w:rsidRDefault="0084755C" w:rsidP="003324E1">
      <w:pPr>
        <w:numPr>
          <w:ilvl w:val="1"/>
          <w:numId w:val="8"/>
        </w:numPr>
        <w:ind w:left="2520"/>
        <w:jc w:val="both"/>
        <w:rPr>
          <w:rFonts w:ascii="Arial" w:hAnsi="Arial" w:cs="Arial"/>
          <w:sz w:val="22"/>
          <w:szCs w:val="22"/>
        </w:rPr>
      </w:pPr>
      <w:proofErr w:type="spellStart"/>
      <w:r w:rsidRPr="001C175D">
        <w:rPr>
          <w:rFonts w:ascii="Arial" w:hAnsi="Arial" w:cs="Arial"/>
          <w:sz w:val="22"/>
          <w:szCs w:val="22"/>
        </w:rPr>
        <w:t>IncomeLossFromEquityMethodInvestments</w:t>
      </w:r>
      <w:proofErr w:type="spellEnd"/>
      <w:r w:rsidRPr="001C175D">
        <w:rPr>
          <w:rFonts w:ascii="Arial" w:hAnsi="Arial" w:cs="Arial"/>
          <w:sz w:val="22"/>
          <w:szCs w:val="22"/>
        </w:rPr>
        <w:t xml:space="preserve">, </w:t>
      </w:r>
    </w:p>
    <w:p w14:paraId="7E217B07" w14:textId="77777777" w:rsidR="0084755C" w:rsidRPr="001C175D" w:rsidRDefault="0084755C" w:rsidP="003324E1">
      <w:pPr>
        <w:numPr>
          <w:ilvl w:val="1"/>
          <w:numId w:val="8"/>
        </w:numPr>
        <w:ind w:left="2520"/>
        <w:jc w:val="both"/>
        <w:rPr>
          <w:rFonts w:ascii="Arial" w:hAnsi="Arial" w:cs="Arial"/>
          <w:sz w:val="22"/>
          <w:szCs w:val="22"/>
        </w:rPr>
      </w:pPr>
      <w:r w:rsidRPr="001C175D">
        <w:rPr>
          <w:rFonts w:ascii="Arial" w:hAnsi="Arial" w:cs="Arial"/>
          <w:sz w:val="22"/>
          <w:szCs w:val="22"/>
        </w:rPr>
        <w:t xml:space="preserve">IncomeLossFromEquityMethodInvestmentsNetOfDividendsOrDistributions, </w:t>
      </w:r>
    </w:p>
    <w:p w14:paraId="6579C855" w14:textId="77777777" w:rsidR="0084755C" w:rsidRPr="001C175D" w:rsidRDefault="0084755C" w:rsidP="003324E1">
      <w:pPr>
        <w:numPr>
          <w:ilvl w:val="1"/>
          <w:numId w:val="8"/>
        </w:numPr>
        <w:ind w:left="2520"/>
        <w:jc w:val="both"/>
        <w:rPr>
          <w:rFonts w:ascii="Arial" w:hAnsi="Arial" w:cs="Arial"/>
          <w:sz w:val="22"/>
          <w:szCs w:val="22"/>
        </w:rPr>
      </w:pPr>
      <w:proofErr w:type="spellStart"/>
      <w:r w:rsidRPr="001C175D">
        <w:rPr>
          <w:rFonts w:ascii="Arial" w:hAnsi="Arial" w:cs="Arial"/>
          <w:sz w:val="22"/>
          <w:szCs w:val="22"/>
        </w:rPr>
        <w:t>IncomeLossFromAffordableHousingProjectsEquityMethodInvestments</w:t>
      </w:r>
      <w:proofErr w:type="spellEnd"/>
    </w:p>
    <w:p w14:paraId="0C074A69" w14:textId="77777777" w:rsidR="0084755C" w:rsidRPr="001C175D" w:rsidRDefault="0084755C" w:rsidP="003324E1">
      <w:pPr>
        <w:pStyle w:val="ListParagraph"/>
        <w:numPr>
          <w:ilvl w:val="0"/>
          <w:numId w:val="8"/>
        </w:numPr>
        <w:spacing w:line="240" w:lineRule="auto"/>
        <w:ind w:left="1800"/>
        <w:contextualSpacing w:val="0"/>
        <w:rPr>
          <w:szCs w:val="22"/>
        </w:rPr>
      </w:pPr>
      <w:r w:rsidRPr="001C175D">
        <w:rPr>
          <w:szCs w:val="22"/>
        </w:rPr>
        <w:t xml:space="preserve">The rule identifies descendant calculation elements of the “Income before income tax, </w:t>
      </w:r>
      <w:proofErr w:type="spellStart"/>
      <w:r w:rsidRPr="001C175D">
        <w:rPr>
          <w:szCs w:val="22"/>
        </w:rPr>
        <w:t>Non Controlling</w:t>
      </w:r>
      <w:proofErr w:type="spellEnd"/>
      <w:r w:rsidRPr="001C175D">
        <w:rPr>
          <w:szCs w:val="22"/>
        </w:rPr>
        <w:t xml:space="preserve"> Interest and Equity Method Investments”. The rule determines if any of the components of the element include Equity Method investments using the element </w:t>
      </w:r>
      <w:proofErr w:type="spellStart"/>
      <w:r w:rsidRPr="001C175D">
        <w:rPr>
          <w:szCs w:val="22"/>
        </w:rPr>
        <w:t>IncomeLossFromEquityMethodInvestments</w:t>
      </w:r>
      <w:proofErr w:type="spellEnd"/>
      <w:r w:rsidRPr="001C175D">
        <w:rPr>
          <w:szCs w:val="22"/>
        </w:rPr>
        <w:t xml:space="preserve"> or IncomeLossFromEquityMethodInvestmentsNetOfDividendsOrDistributions.</w:t>
      </w:r>
    </w:p>
    <w:p w14:paraId="0EBE5658" w14:textId="77777777" w:rsidR="0084755C" w:rsidRPr="001C175D" w:rsidRDefault="0084755C" w:rsidP="003324E1">
      <w:pPr>
        <w:ind w:left="1080"/>
        <w:jc w:val="both"/>
        <w:rPr>
          <w:rFonts w:ascii="Arial" w:hAnsi="Arial" w:cs="Arial"/>
          <w:sz w:val="22"/>
          <w:szCs w:val="22"/>
        </w:rPr>
      </w:pPr>
    </w:p>
    <w:p w14:paraId="37032A49" w14:textId="77777777" w:rsidR="0084755C" w:rsidRPr="001C175D" w:rsidRDefault="0084755C" w:rsidP="003324E1">
      <w:pPr>
        <w:pStyle w:val="ListParagraph"/>
        <w:numPr>
          <w:ilvl w:val="0"/>
          <w:numId w:val="18"/>
        </w:numPr>
        <w:ind w:left="1440"/>
        <w:jc w:val="both"/>
        <w:rPr>
          <w:szCs w:val="22"/>
        </w:rPr>
      </w:pPr>
      <w:r w:rsidRPr="001C175D">
        <w:rPr>
          <w:szCs w:val="22"/>
        </w:rPr>
        <w:t xml:space="preserve">DQC_0120 - Incorrect Line Item Reference </w:t>
      </w:r>
      <w:r w:rsidRPr="001C175D">
        <w:rPr>
          <w:i/>
          <w:iCs/>
          <w:szCs w:val="22"/>
        </w:rPr>
        <w:t xml:space="preserve">(66 errors) </w:t>
      </w:r>
      <w:r w:rsidRPr="001C175D">
        <w:rPr>
          <w:szCs w:val="22"/>
        </w:rPr>
        <w:t xml:space="preserve">This rule is intended to identify those cases where the company uses an extensible list item that refers to a balance sheet line item that does not exist on the balance sheet.  The rule checks that the values provided for the following extensible list items are legitimate balance sheet line items that appear in the calculation </w:t>
      </w:r>
      <w:proofErr w:type="spellStart"/>
      <w:r w:rsidRPr="001C175D">
        <w:rPr>
          <w:szCs w:val="22"/>
        </w:rPr>
        <w:t>linkbase</w:t>
      </w:r>
      <w:proofErr w:type="spellEnd"/>
      <w:r w:rsidRPr="001C175D">
        <w:rPr>
          <w:szCs w:val="22"/>
        </w:rPr>
        <w:t xml:space="preserve"> of the balance sheet:</w:t>
      </w:r>
    </w:p>
    <w:p w14:paraId="0F7A14D4" w14:textId="77777777" w:rsidR="0084755C" w:rsidRPr="001C175D" w:rsidRDefault="0084755C" w:rsidP="003324E1">
      <w:pPr>
        <w:numPr>
          <w:ilvl w:val="0"/>
          <w:numId w:val="9"/>
        </w:numPr>
        <w:ind w:left="1800"/>
        <w:jc w:val="both"/>
        <w:rPr>
          <w:rFonts w:ascii="Arial" w:hAnsi="Arial" w:cs="Arial"/>
          <w:sz w:val="22"/>
          <w:szCs w:val="22"/>
        </w:rPr>
      </w:pPr>
      <w:r w:rsidRPr="001C175D">
        <w:rPr>
          <w:rFonts w:ascii="Arial" w:hAnsi="Arial" w:cs="Arial"/>
          <w:sz w:val="22"/>
          <w:szCs w:val="22"/>
        </w:rPr>
        <w:t>FinanceLeaseLiabilityCurrentStatementOfFinancialPositionExtensibleList</w:t>
      </w:r>
    </w:p>
    <w:p w14:paraId="597DC87B" w14:textId="77777777" w:rsidR="0084755C" w:rsidRPr="001C175D" w:rsidRDefault="0084755C" w:rsidP="003324E1">
      <w:pPr>
        <w:numPr>
          <w:ilvl w:val="0"/>
          <w:numId w:val="9"/>
        </w:numPr>
        <w:ind w:left="1800"/>
        <w:jc w:val="both"/>
        <w:rPr>
          <w:rFonts w:ascii="Arial" w:hAnsi="Arial" w:cs="Arial"/>
          <w:sz w:val="22"/>
          <w:szCs w:val="22"/>
        </w:rPr>
      </w:pPr>
      <w:r w:rsidRPr="001C175D">
        <w:rPr>
          <w:rFonts w:ascii="Arial" w:hAnsi="Arial" w:cs="Arial"/>
          <w:sz w:val="22"/>
          <w:szCs w:val="22"/>
        </w:rPr>
        <w:t>FinanceLeaseLiabilityNoncurrentStatementOfFinancialPositionExtensibleList</w:t>
      </w:r>
    </w:p>
    <w:p w14:paraId="4980EAC1" w14:textId="77777777" w:rsidR="0084755C" w:rsidRPr="001C175D" w:rsidRDefault="0084755C" w:rsidP="003324E1">
      <w:pPr>
        <w:numPr>
          <w:ilvl w:val="0"/>
          <w:numId w:val="9"/>
        </w:numPr>
        <w:ind w:left="1800"/>
        <w:jc w:val="both"/>
        <w:rPr>
          <w:rFonts w:ascii="Arial" w:hAnsi="Arial" w:cs="Arial"/>
          <w:sz w:val="22"/>
          <w:szCs w:val="22"/>
        </w:rPr>
      </w:pPr>
      <w:r w:rsidRPr="001C175D">
        <w:rPr>
          <w:rFonts w:ascii="Arial" w:hAnsi="Arial" w:cs="Arial"/>
          <w:sz w:val="22"/>
          <w:szCs w:val="22"/>
        </w:rPr>
        <w:t xml:space="preserve">FinanceLeaseRightOfUseAssetStatementOfFinancialPositionExtensibleList </w:t>
      </w:r>
    </w:p>
    <w:p w14:paraId="71BAC04F" w14:textId="77777777" w:rsidR="0084755C" w:rsidRPr="001C175D" w:rsidRDefault="0084755C" w:rsidP="003324E1">
      <w:pPr>
        <w:numPr>
          <w:ilvl w:val="0"/>
          <w:numId w:val="9"/>
        </w:numPr>
        <w:ind w:left="1800"/>
        <w:jc w:val="both"/>
        <w:rPr>
          <w:rFonts w:ascii="Arial" w:hAnsi="Arial" w:cs="Arial"/>
          <w:sz w:val="22"/>
          <w:szCs w:val="22"/>
        </w:rPr>
      </w:pPr>
      <w:r w:rsidRPr="001C175D">
        <w:rPr>
          <w:rFonts w:ascii="Arial" w:hAnsi="Arial" w:cs="Arial"/>
          <w:sz w:val="22"/>
          <w:szCs w:val="22"/>
        </w:rPr>
        <w:t>OperatingLeaseLiabilityNoncurrentStatementOfFinancialPositionExtensibleList</w:t>
      </w:r>
    </w:p>
    <w:p w14:paraId="24707A81" w14:textId="77777777" w:rsidR="0084755C" w:rsidRPr="001C175D" w:rsidRDefault="0084755C" w:rsidP="003324E1">
      <w:pPr>
        <w:numPr>
          <w:ilvl w:val="0"/>
          <w:numId w:val="9"/>
        </w:numPr>
        <w:ind w:left="1800"/>
        <w:jc w:val="both"/>
        <w:rPr>
          <w:rFonts w:ascii="Arial" w:hAnsi="Arial" w:cs="Arial"/>
          <w:sz w:val="22"/>
          <w:szCs w:val="22"/>
        </w:rPr>
      </w:pPr>
      <w:r w:rsidRPr="001C175D">
        <w:rPr>
          <w:rFonts w:ascii="Arial" w:hAnsi="Arial" w:cs="Arial"/>
          <w:sz w:val="22"/>
          <w:szCs w:val="22"/>
        </w:rPr>
        <w:lastRenderedPageBreak/>
        <w:t xml:space="preserve">OperatingLeaseLiabilityCurrentStatementOfFinancialPositionExtensibleList </w:t>
      </w:r>
    </w:p>
    <w:p w14:paraId="0A187E9C" w14:textId="3964F397" w:rsidR="0084755C" w:rsidRDefault="0084755C" w:rsidP="003324E1">
      <w:pPr>
        <w:numPr>
          <w:ilvl w:val="0"/>
          <w:numId w:val="9"/>
        </w:numPr>
        <w:ind w:left="1800"/>
        <w:jc w:val="both"/>
        <w:rPr>
          <w:rFonts w:ascii="Arial" w:hAnsi="Arial" w:cs="Arial"/>
          <w:sz w:val="22"/>
          <w:szCs w:val="22"/>
        </w:rPr>
      </w:pPr>
      <w:r w:rsidRPr="001C175D">
        <w:rPr>
          <w:rFonts w:ascii="Arial" w:hAnsi="Arial" w:cs="Arial"/>
          <w:sz w:val="22"/>
          <w:szCs w:val="22"/>
        </w:rPr>
        <w:t>OperatingLeaseRightOfUseAssetStatementOfFinancialPositionExtensibleList</w:t>
      </w:r>
    </w:p>
    <w:p w14:paraId="06E2AEEE" w14:textId="77777777" w:rsidR="00A26D74" w:rsidRDefault="00A26D74" w:rsidP="003324E1">
      <w:pPr>
        <w:ind w:left="360"/>
        <w:jc w:val="both"/>
        <w:rPr>
          <w:rFonts w:ascii="Arial" w:hAnsi="Arial" w:cs="Arial"/>
          <w:sz w:val="22"/>
          <w:szCs w:val="22"/>
        </w:rPr>
      </w:pPr>
    </w:p>
    <w:p w14:paraId="70E1C6F0" w14:textId="7CAB4713" w:rsidR="00A26D74" w:rsidRPr="00A26D74" w:rsidRDefault="00A26D74" w:rsidP="003324E1">
      <w:pPr>
        <w:pStyle w:val="ListParagraph"/>
        <w:numPr>
          <w:ilvl w:val="1"/>
          <w:numId w:val="18"/>
        </w:numPr>
        <w:ind w:left="1800"/>
        <w:jc w:val="both"/>
        <w:rPr>
          <w:szCs w:val="22"/>
        </w:rPr>
      </w:pPr>
      <w:r w:rsidRPr="00A26D74">
        <w:rPr>
          <w:szCs w:val="22"/>
        </w:rPr>
        <w:t>There was a comment that this rule could be expanded beyond the area of leases</w:t>
      </w:r>
      <w:r w:rsidR="002E5EFC">
        <w:rPr>
          <w:szCs w:val="22"/>
        </w:rPr>
        <w:t xml:space="preserve"> to test use of extensible list items</w:t>
      </w:r>
      <w:r w:rsidRPr="00A26D74">
        <w:rPr>
          <w:szCs w:val="22"/>
        </w:rPr>
        <w:t xml:space="preserve">.  </w:t>
      </w:r>
    </w:p>
    <w:p w14:paraId="68BDCEAE" w14:textId="77777777" w:rsidR="0084755C" w:rsidRPr="001C175D" w:rsidRDefault="0084755C" w:rsidP="003324E1">
      <w:pPr>
        <w:ind w:left="1080"/>
        <w:jc w:val="both"/>
        <w:rPr>
          <w:rFonts w:ascii="Arial" w:hAnsi="Arial" w:cs="Arial"/>
          <w:sz w:val="22"/>
          <w:szCs w:val="22"/>
        </w:rPr>
      </w:pPr>
    </w:p>
    <w:p w14:paraId="54AEE943" w14:textId="496C1BCD" w:rsidR="0084755C" w:rsidRDefault="0084755C" w:rsidP="003324E1">
      <w:pPr>
        <w:pStyle w:val="ListParagraph"/>
        <w:numPr>
          <w:ilvl w:val="0"/>
          <w:numId w:val="18"/>
        </w:numPr>
        <w:ind w:left="1440"/>
        <w:jc w:val="both"/>
        <w:rPr>
          <w:szCs w:val="22"/>
        </w:rPr>
      </w:pPr>
      <w:r w:rsidRPr="001C175D">
        <w:rPr>
          <w:szCs w:val="22"/>
        </w:rPr>
        <w:t>DQC_0121 - Incorrect Transition Elements Used This rule is intended to identify those cases where the company reports line items that have been transitioned because of changes in accounting standards. The rule identifies those elements that should no longer be used by the filer.  The taxonomy includes updated elements that reflect the new accounting standards and they should be used. In many cases the filer is unaware that an element has been transitioned and continues to use it until such time as it is deprecated and can no longer be used.  This rule helps identify these elements so that filers can replace the transition elements with elements that reflect current US-GAAP. The rule has 2 parts:</w:t>
      </w:r>
    </w:p>
    <w:p w14:paraId="51CD6EBA" w14:textId="77777777" w:rsidR="00465FA4" w:rsidRDefault="00465FA4" w:rsidP="003324E1">
      <w:pPr>
        <w:ind w:left="1440"/>
        <w:jc w:val="both"/>
        <w:rPr>
          <w:rFonts w:ascii="Arial" w:hAnsi="Arial" w:cs="Arial"/>
          <w:sz w:val="22"/>
          <w:szCs w:val="22"/>
        </w:rPr>
      </w:pPr>
    </w:p>
    <w:p w14:paraId="55379970" w14:textId="56AA8D97" w:rsidR="0084755C" w:rsidRPr="001C175D" w:rsidRDefault="0084755C" w:rsidP="00465FA4">
      <w:pPr>
        <w:ind w:left="1800" w:hanging="360"/>
        <w:jc w:val="both"/>
        <w:rPr>
          <w:rFonts w:ascii="Arial" w:hAnsi="Arial" w:cs="Arial"/>
          <w:sz w:val="22"/>
          <w:szCs w:val="22"/>
        </w:rPr>
      </w:pPr>
      <w:r w:rsidRPr="001C175D">
        <w:rPr>
          <w:rFonts w:ascii="Arial" w:hAnsi="Arial" w:cs="Arial"/>
          <w:sz w:val="22"/>
          <w:szCs w:val="22"/>
        </w:rPr>
        <w:t xml:space="preserve">1.  </w:t>
      </w:r>
      <w:r w:rsidRPr="001C175D">
        <w:rPr>
          <w:rFonts w:ascii="Arial" w:hAnsi="Arial" w:cs="Arial"/>
          <w:i/>
          <w:iCs/>
          <w:sz w:val="22"/>
          <w:szCs w:val="22"/>
        </w:rPr>
        <w:t>(4</w:t>
      </w:r>
      <w:r w:rsidR="00465FA4">
        <w:rPr>
          <w:rFonts w:ascii="Arial" w:hAnsi="Arial" w:cs="Arial"/>
          <w:i/>
          <w:iCs/>
          <w:sz w:val="22"/>
          <w:szCs w:val="22"/>
        </w:rPr>
        <w:t>,</w:t>
      </w:r>
      <w:r w:rsidRPr="001C175D">
        <w:rPr>
          <w:rFonts w:ascii="Arial" w:hAnsi="Arial" w:cs="Arial"/>
          <w:i/>
          <w:iCs/>
          <w:sz w:val="22"/>
          <w:szCs w:val="22"/>
        </w:rPr>
        <w:t>589 errors)</w:t>
      </w:r>
      <w:r w:rsidRPr="001C175D">
        <w:rPr>
          <w:rFonts w:ascii="Arial" w:hAnsi="Arial" w:cs="Arial"/>
          <w:sz w:val="22"/>
          <w:szCs w:val="22"/>
        </w:rPr>
        <w:t xml:space="preserve"> Use of the following transition elements will trigger an error.  These are identified as descendants of the following abstract concepts in the US-GAAP 2020 and 2021 taxonomies:</w:t>
      </w:r>
    </w:p>
    <w:p w14:paraId="51063F51" w14:textId="77777777" w:rsidR="0084755C" w:rsidRPr="001C175D" w:rsidRDefault="0084755C" w:rsidP="003324E1">
      <w:pPr>
        <w:numPr>
          <w:ilvl w:val="0"/>
          <w:numId w:val="10"/>
        </w:numPr>
        <w:ind w:left="2160"/>
        <w:jc w:val="both"/>
        <w:rPr>
          <w:rFonts w:ascii="Arial" w:hAnsi="Arial" w:cs="Arial"/>
          <w:sz w:val="22"/>
          <w:szCs w:val="22"/>
        </w:rPr>
      </w:pPr>
      <w:r w:rsidRPr="001C175D">
        <w:rPr>
          <w:rFonts w:ascii="Arial" w:hAnsi="Arial" w:cs="Arial"/>
          <w:sz w:val="22"/>
          <w:szCs w:val="22"/>
        </w:rPr>
        <w:t>Asu201601TransitionAbstract</w:t>
      </w:r>
    </w:p>
    <w:p w14:paraId="77B7FA43" w14:textId="511DBFAB" w:rsidR="0084755C" w:rsidRDefault="0084755C" w:rsidP="003324E1">
      <w:pPr>
        <w:numPr>
          <w:ilvl w:val="0"/>
          <w:numId w:val="10"/>
        </w:numPr>
        <w:ind w:left="2160"/>
        <w:jc w:val="both"/>
        <w:rPr>
          <w:rFonts w:ascii="Arial" w:hAnsi="Arial" w:cs="Arial"/>
          <w:sz w:val="22"/>
          <w:szCs w:val="22"/>
        </w:rPr>
      </w:pPr>
      <w:r w:rsidRPr="001C175D">
        <w:rPr>
          <w:rFonts w:ascii="Arial" w:hAnsi="Arial" w:cs="Arial"/>
          <w:sz w:val="22"/>
          <w:szCs w:val="22"/>
        </w:rPr>
        <w:t>Asu201618TransitionAbstract</w:t>
      </w:r>
    </w:p>
    <w:p w14:paraId="7D4EE4C0" w14:textId="77777777" w:rsidR="00465FA4" w:rsidRPr="001C175D" w:rsidRDefault="00465FA4" w:rsidP="00465FA4">
      <w:pPr>
        <w:ind w:left="2160"/>
        <w:jc w:val="both"/>
        <w:rPr>
          <w:rFonts w:ascii="Arial" w:hAnsi="Arial" w:cs="Arial"/>
          <w:sz w:val="22"/>
          <w:szCs w:val="22"/>
        </w:rPr>
      </w:pPr>
    </w:p>
    <w:p w14:paraId="6808D57F" w14:textId="77777777" w:rsidR="0084755C" w:rsidRPr="001C175D" w:rsidRDefault="0084755C" w:rsidP="003324E1">
      <w:pPr>
        <w:pStyle w:val="ListParagraph"/>
        <w:numPr>
          <w:ilvl w:val="0"/>
          <w:numId w:val="12"/>
        </w:numPr>
        <w:spacing w:line="240" w:lineRule="auto"/>
        <w:ind w:left="1800"/>
        <w:contextualSpacing w:val="0"/>
        <w:jc w:val="both"/>
        <w:rPr>
          <w:szCs w:val="22"/>
        </w:rPr>
      </w:pPr>
      <w:r w:rsidRPr="001C175D">
        <w:rPr>
          <w:i/>
          <w:iCs/>
          <w:szCs w:val="22"/>
        </w:rPr>
        <w:t>(2,636 errors)</w:t>
      </w:r>
      <w:r w:rsidRPr="001C175D">
        <w:rPr>
          <w:szCs w:val="22"/>
        </w:rPr>
        <w:t xml:space="preserve"> Use of the following transition elements (used by companies other than emerging growth companies) will trigger an error.  These are identified as descendants of the following abstract concepts in the US-GAAP 2020 and 2021 taxonomies:</w:t>
      </w:r>
    </w:p>
    <w:p w14:paraId="35F35E67" w14:textId="77777777" w:rsidR="0084755C" w:rsidRPr="001C175D" w:rsidRDefault="0084755C" w:rsidP="003324E1">
      <w:pPr>
        <w:pStyle w:val="ListParagraph"/>
        <w:ind w:left="1800"/>
        <w:jc w:val="both"/>
        <w:rPr>
          <w:szCs w:val="22"/>
        </w:rPr>
      </w:pPr>
    </w:p>
    <w:p w14:paraId="54795328" w14:textId="77777777" w:rsidR="0084755C" w:rsidRPr="001C175D" w:rsidRDefault="0084755C" w:rsidP="003324E1">
      <w:pPr>
        <w:numPr>
          <w:ilvl w:val="0"/>
          <w:numId w:val="11"/>
        </w:numPr>
        <w:ind w:left="2160"/>
        <w:jc w:val="both"/>
        <w:rPr>
          <w:rFonts w:ascii="Arial" w:hAnsi="Arial" w:cs="Arial"/>
          <w:sz w:val="22"/>
          <w:szCs w:val="22"/>
        </w:rPr>
      </w:pPr>
      <w:r w:rsidRPr="001C175D">
        <w:rPr>
          <w:rFonts w:ascii="Arial" w:hAnsi="Arial" w:cs="Arial"/>
          <w:sz w:val="22"/>
          <w:szCs w:val="22"/>
        </w:rPr>
        <w:t>ASU201602TransitionAbstract</w:t>
      </w:r>
    </w:p>
    <w:p w14:paraId="4D781925" w14:textId="77777777" w:rsidR="0084755C" w:rsidRPr="001C175D" w:rsidRDefault="0084755C" w:rsidP="003324E1">
      <w:pPr>
        <w:numPr>
          <w:ilvl w:val="0"/>
          <w:numId w:val="11"/>
        </w:numPr>
        <w:ind w:left="2160"/>
        <w:jc w:val="both"/>
        <w:rPr>
          <w:rFonts w:ascii="Arial" w:hAnsi="Arial" w:cs="Arial"/>
          <w:sz w:val="22"/>
          <w:szCs w:val="22"/>
        </w:rPr>
      </w:pPr>
      <w:r w:rsidRPr="001C175D">
        <w:rPr>
          <w:rFonts w:ascii="Arial" w:hAnsi="Arial" w:cs="Arial"/>
          <w:sz w:val="22"/>
          <w:szCs w:val="22"/>
        </w:rPr>
        <w:t>Asu201712TransitionAbstract</w:t>
      </w:r>
    </w:p>
    <w:p w14:paraId="136984B3" w14:textId="77777777" w:rsidR="0084755C" w:rsidRPr="001C175D" w:rsidRDefault="0084755C" w:rsidP="003324E1">
      <w:pPr>
        <w:numPr>
          <w:ilvl w:val="0"/>
          <w:numId w:val="11"/>
        </w:numPr>
        <w:ind w:left="2160"/>
        <w:jc w:val="both"/>
        <w:rPr>
          <w:rFonts w:ascii="Arial" w:hAnsi="Arial" w:cs="Arial"/>
          <w:sz w:val="22"/>
          <w:szCs w:val="22"/>
        </w:rPr>
      </w:pPr>
      <w:r w:rsidRPr="001C175D">
        <w:rPr>
          <w:rFonts w:ascii="Arial" w:hAnsi="Arial" w:cs="Arial"/>
          <w:sz w:val="22"/>
          <w:szCs w:val="22"/>
        </w:rPr>
        <w:t>ASU201807TransitionAbstract</w:t>
      </w:r>
    </w:p>
    <w:p w14:paraId="52147BDA" w14:textId="77777777" w:rsidR="0084755C" w:rsidRPr="001C175D" w:rsidRDefault="0084755C" w:rsidP="003324E1">
      <w:pPr>
        <w:ind w:left="1800"/>
        <w:jc w:val="both"/>
        <w:rPr>
          <w:rFonts w:ascii="Arial" w:hAnsi="Arial" w:cs="Arial"/>
          <w:sz w:val="22"/>
          <w:szCs w:val="22"/>
        </w:rPr>
      </w:pPr>
    </w:p>
    <w:p w14:paraId="76E03634" w14:textId="36D06329" w:rsidR="0084755C" w:rsidRDefault="0084755C" w:rsidP="003324E1">
      <w:pPr>
        <w:ind w:left="1800"/>
        <w:jc w:val="both"/>
        <w:rPr>
          <w:rFonts w:ascii="Arial" w:hAnsi="Arial" w:cs="Arial"/>
          <w:sz w:val="22"/>
          <w:szCs w:val="22"/>
        </w:rPr>
      </w:pPr>
      <w:r w:rsidRPr="001C175D">
        <w:rPr>
          <w:rFonts w:ascii="Arial" w:hAnsi="Arial" w:cs="Arial"/>
          <w:sz w:val="22"/>
          <w:szCs w:val="22"/>
        </w:rPr>
        <w:t>The following elements are excluded from the rule:</w:t>
      </w:r>
    </w:p>
    <w:p w14:paraId="7378FFD9" w14:textId="77777777" w:rsidR="00465FA4" w:rsidRPr="001C175D" w:rsidRDefault="00465FA4" w:rsidP="003324E1">
      <w:pPr>
        <w:ind w:left="1800"/>
        <w:jc w:val="both"/>
        <w:rPr>
          <w:rFonts w:ascii="Arial" w:hAnsi="Arial" w:cs="Arial"/>
          <w:sz w:val="22"/>
          <w:szCs w:val="22"/>
        </w:rPr>
      </w:pPr>
    </w:p>
    <w:p w14:paraId="128C6B32" w14:textId="77777777" w:rsidR="0084755C" w:rsidRPr="001C175D" w:rsidRDefault="0084755C" w:rsidP="003324E1">
      <w:pPr>
        <w:numPr>
          <w:ilvl w:val="0"/>
          <w:numId w:val="13"/>
        </w:numPr>
        <w:shd w:val="clear" w:color="auto" w:fill="FFFFFF"/>
        <w:ind w:left="2160"/>
        <w:jc w:val="both"/>
        <w:rPr>
          <w:rFonts w:ascii="Arial" w:hAnsi="Arial" w:cs="Arial"/>
          <w:sz w:val="22"/>
          <w:szCs w:val="22"/>
        </w:rPr>
      </w:pPr>
      <w:r w:rsidRPr="001C175D">
        <w:rPr>
          <w:rFonts w:ascii="Arial" w:hAnsi="Arial" w:cs="Arial"/>
          <w:sz w:val="22"/>
          <w:szCs w:val="22"/>
        </w:rPr>
        <w:t>LongTermDebtAndCapitalLeaseObligationsMaturitiesRepaymentsOfPrincipalRemainderOfFiscalYear</w:t>
      </w:r>
    </w:p>
    <w:p w14:paraId="2FF90BD8" w14:textId="77777777" w:rsidR="0084755C" w:rsidRPr="001C175D" w:rsidRDefault="0084755C" w:rsidP="003324E1">
      <w:pPr>
        <w:numPr>
          <w:ilvl w:val="0"/>
          <w:numId w:val="13"/>
        </w:numPr>
        <w:shd w:val="clear" w:color="auto" w:fill="FFFFFF"/>
        <w:ind w:left="2160"/>
        <w:jc w:val="both"/>
        <w:rPr>
          <w:rFonts w:ascii="Arial" w:hAnsi="Arial" w:cs="Arial"/>
          <w:sz w:val="22"/>
          <w:szCs w:val="22"/>
        </w:rPr>
      </w:pPr>
      <w:r w:rsidRPr="001C175D">
        <w:rPr>
          <w:rFonts w:ascii="Arial" w:hAnsi="Arial" w:cs="Arial"/>
          <w:sz w:val="22"/>
          <w:szCs w:val="22"/>
        </w:rPr>
        <w:t>LongTermDebtAndCapitalLeaseObligationsRepaymentsOfPrincipalInNextTwelveMonths</w:t>
      </w:r>
    </w:p>
    <w:p w14:paraId="00483D88" w14:textId="77777777" w:rsidR="0084755C" w:rsidRPr="001C175D" w:rsidRDefault="0084755C" w:rsidP="003324E1">
      <w:pPr>
        <w:numPr>
          <w:ilvl w:val="0"/>
          <w:numId w:val="13"/>
        </w:numPr>
        <w:shd w:val="clear" w:color="auto" w:fill="FFFFFF"/>
        <w:ind w:left="2160"/>
        <w:jc w:val="both"/>
        <w:rPr>
          <w:rFonts w:ascii="Arial" w:hAnsi="Arial" w:cs="Arial"/>
          <w:sz w:val="22"/>
          <w:szCs w:val="22"/>
        </w:rPr>
      </w:pPr>
      <w:r w:rsidRPr="001C175D">
        <w:rPr>
          <w:rFonts w:ascii="Arial" w:hAnsi="Arial" w:cs="Arial"/>
          <w:sz w:val="22"/>
          <w:szCs w:val="22"/>
        </w:rPr>
        <w:t>LongTermDebtAndCapitalLeaseObligationsMaturitiesRepaymentsOfPrincipalInYearTwo</w:t>
      </w:r>
    </w:p>
    <w:p w14:paraId="6E6D38A2" w14:textId="77777777" w:rsidR="0084755C" w:rsidRPr="001C175D" w:rsidRDefault="0084755C" w:rsidP="003324E1">
      <w:pPr>
        <w:numPr>
          <w:ilvl w:val="0"/>
          <w:numId w:val="13"/>
        </w:numPr>
        <w:shd w:val="clear" w:color="auto" w:fill="FFFFFF"/>
        <w:ind w:left="2160"/>
        <w:jc w:val="both"/>
        <w:rPr>
          <w:rFonts w:ascii="Arial" w:hAnsi="Arial" w:cs="Arial"/>
          <w:sz w:val="22"/>
          <w:szCs w:val="22"/>
        </w:rPr>
      </w:pPr>
      <w:r w:rsidRPr="001C175D">
        <w:rPr>
          <w:rFonts w:ascii="Arial" w:hAnsi="Arial" w:cs="Arial"/>
          <w:sz w:val="22"/>
          <w:szCs w:val="22"/>
        </w:rPr>
        <w:t>LongTermDebtAndCapitalLeaseObligationsMaturitiesRepaymentsOfPrincipalInYearThree</w:t>
      </w:r>
    </w:p>
    <w:p w14:paraId="6F22A1D3" w14:textId="77777777" w:rsidR="0084755C" w:rsidRPr="001C175D" w:rsidRDefault="0084755C" w:rsidP="003324E1">
      <w:pPr>
        <w:numPr>
          <w:ilvl w:val="0"/>
          <w:numId w:val="13"/>
        </w:numPr>
        <w:shd w:val="clear" w:color="auto" w:fill="FFFFFF"/>
        <w:ind w:left="2160"/>
        <w:jc w:val="both"/>
        <w:rPr>
          <w:rFonts w:ascii="Arial" w:hAnsi="Arial" w:cs="Arial"/>
          <w:sz w:val="22"/>
          <w:szCs w:val="22"/>
        </w:rPr>
      </w:pPr>
      <w:r w:rsidRPr="001C175D">
        <w:rPr>
          <w:rFonts w:ascii="Arial" w:hAnsi="Arial" w:cs="Arial"/>
          <w:sz w:val="22"/>
          <w:szCs w:val="22"/>
        </w:rPr>
        <w:t>LongTermDebtAndCapitalLeaseObligationsMaturitiesRepaymentsOfPrincipalInYearsTwoAndThree</w:t>
      </w:r>
    </w:p>
    <w:p w14:paraId="1EA7175C" w14:textId="77777777" w:rsidR="0084755C" w:rsidRPr="001C175D" w:rsidRDefault="0084755C" w:rsidP="003324E1">
      <w:pPr>
        <w:numPr>
          <w:ilvl w:val="0"/>
          <w:numId w:val="13"/>
        </w:numPr>
        <w:shd w:val="clear" w:color="auto" w:fill="FFFFFF"/>
        <w:ind w:left="2160"/>
        <w:jc w:val="both"/>
        <w:rPr>
          <w:rFonts w:ascii="Arial" w:hAnsi="Arial" w:cs="Arial"/>
          <w:sz w:val="22"/>
          <w:szCs w:val="22"/>
        </w:rPr>
      </w:pPr>
      <w:r w:rsidRPr="001C175D">
        <w:rPr>
          <w:rFonts w:ascii="Arial" w:hAnsi="Arial" w:cs="Arial"/>
          <w:sz w:val="22"/>
          <w:szCs w:val="22"/>
        </w:rPr>
        <w:t>LongTermDebtAndCapitalLeaseObligationsMaturitiesRepaymentsOfPrincipalInYearFour</w:t>
      </w:r>
    </w:p>
    <w:p w14:paraId="0B37FA12" w14:textId="77777777" w:rsidR="0084755C" w:rsidRPr="001C175D" w:rsidRDefault="0084755C" w:rsidP="003324E1">
      <w:pPr>
        <w:numPr>
          <w:ilvl w:val="0"/>
          <w:numId w:val="13"/>
        </w:numPr>
        <w:shd w:val="clear" w:color="auto" w:fill="FFFFFF"/>
        <w:ind w:left="2160"/>
        <w:jc w:val="both"/>
        <w:rPr>
          <w:rFonts w:ascii="Arial" w:hAnsi="Arial" w:cs="Arial"/>
          <w:sz w:val="22"/>
          <w:szCs w:val="22"/>
        </w:rPr>
      </w:pPr>
      <w:r w:rsidRPr="001C175D">
        <w:rPr>
          <w:rFonts w:ascii="Arial" w:hAnsi="Arial" w:cs="Arial"/>
          <w:sz w:val="22"/>
          <w:szCs w:val="22"/>
        </w:rPr>
        <w:t>LongTermDebtAndCapitalLeaseObligationsMaturitiesRepaymentsOfPrincipalInYearFive</w:t>
      </w:r>
    </w:p>
    <w:p w14:paraId="7D812940" w14:textId="77777777" w:rsidR="0084755C" w:rsidRPr="001C175D" w:rsidRDefault="0084755C" w:rsidP="003324E1">
      <w:pPr>
        <w:numPr>
          <w:ilvl w:val="0"/>
          <w:numId w:val="13"/>
        </w:numPr>
        <w:shd w:val="clear" w:color="auto" w:fill="FFFFFF"/>
        <w:ind w:left="2160"/>
        <w:jc w:val="both"/>
        <w:rPr>
          <w:rFonts w:ascii="Arial" w:hAnsi="Arial" w:cs="Arial"/>
          <w:sz w:val="22"/>
          <w:szCs w:val="22"/>
        </w:rPr>
      </w:pPr>
      <w:r w:rsidRPr="001C175D">
        <w:rPr>
          <w:rFonts w:ascii="Arial" w:hAnsi="Arial" w:cs="Arial"/>
          <w:sz w:val="22"/>
          <w:szCs w:val="22"/>
        </w:rPr>
        <w:lastRenderedPageBreak/>
        <w:t>LongtermDebtAndCapitalLeaseObligationsMaturitiesRepaymentsOfPrincipalInYearsFourAndFive</w:t>
      </w:r>
    </w:p>
    <w:p w14:paraId="5F187C9A" w14:textId="79168937" w:rsidR="0084755C" w:rsidRDefault="0084755C" w:rsidP="003324E1">
      <w:pPr>
        <w:numPr>
          <w:ilvl w:val="0"/>
          <w:numId w:val="13"/>
        </w:numPr>
        <w:shd w:val="clear" w:color="auto" w:fill="FFFFFF"/>
        <w:ind w:left="2160"/>
        <w:jc w:val="both"/>
        <w:rPr>
          <w:rFonts w:ascii="Arial" w:hAnsi="Arial" w:cs="Arial"/>
          <w:sz w:val="22"/>
          <w:szCs w:val="22"/>
        </w:rPr>
      </w:pPr>
      <w:r w:rsidRPr="001C175D">
        <w:rPr>
          <w:rFonts w:ascii="Arial" w:hAnsi="Arial" w:cs="Arial"/>
          <w:sz w:val="22"/>
          <w:szCs w:val="22"/>
        </w:rPr>
        <w:t>LongTermDebtAndCapitalLeaseObligationsMaturitiesRepaymentsOfPrincipalAfterYearFive</w:t>
      </w:r>
    </w:p>
    <w:p w14:paraId="709B0787" w14:textId="61497C0D" w:rsidR="0050070D" w:rsidRDefault="0050070D" w:rsidP="003324E1">
      <w:pPr>
        <w:shd w:val="clear" w:color="auto" w:fill="FFFFFF"/>
        <w:ind w:left="1800"/>
        <w:jc w:val="both"/>
        <w:rPr>
          <w:rFonts w:ascii="Arial" w:hAnsi="Arial" w:cs="Arial"/>
          <w:sz w:val="22"/>
          <w:szCs w:val="22"/>
        </w:rPr>
      </w:pPr>
    </w:p>
    <w:p w14:paraId="5B28DB42" w14:textId="77777777" w:rsidR="0095418A" w:rsidRDefault="0095418A" w:rsidP="003324E1">
      <w:pPr>
        <w:shd w:val="clear" w:color="auto" w:fill="FFFFFF"/>
        <w:ind w:left="1800"/>
        <w:jc w:val="both"/>
        <w:rPr>
          <w:rFonts w:ascii="Arial" w:hAnsi="Arial" w:cs="Arial"/>
          <w:sz w:val="22"/>
          <w:szCs w:val="22"/>
        </w:rPr>
      </w:pPr>
    </w:p>
    <w:p w14:paraId="1C64A932" w14:textId="456BB96E" w:rsidR="0050070D" w:rsidRPr="0050070D" w:rsidRDefault="0050070D" w:rsidP="00483A54">
      <w:pPr>
        <w:pStyle w:val="ListParagraph"/>
        <w:numPr>
          <w:ilvl w:val="1"/>
          <w:numId w:val="13"/>
        </w:numPr>
        <w:shd w:val="clear" w:color="auto" w:fill="FFFFFF"/>
        <w:jc w:val="both"/>
        <w:rPr>
          <w:szCs w:val="22"/>
        </w:rPr>
      </w:pPr>
      <w:proofErr w:type="spellStart"/>
      <w:r>
        <w:rPr>
          <w:szCs w:val="22"/>
        </w:rPr>
        <w:t>Iza</w:t>
      </w:r>
      <w:proofErr w:type="spellEnd"/>
      <w:r>
        <w:rPr>
          <w:szCs w:val="22"/>
        </w:rPr>
        <w:t xml:space="preserve"> stated that the IFRS usually deprecates transitions elements when they issue a new standard. However, there is discussion to allow use of the transition elements for three years for comparative information.  The formula </w:t>
      </w:r>
      <w:proofErr w:type="spellStart"/>
      <w:r>
        <w:rPr>
          <w:szCs w:val="22"/>
        </w:rPr>
        <w:t>linkbase</w:t>
      </w:r>
      <w:proofErr w:type="spellEnd"/>
      <w:r>
        <w:rPr>
          <w:szCs w:val="22"/>
        </w:rPr>
        <w:t xml:space="preserve"> will allow use</w:t>
      </w:r>
      <w:r w:rsidR="00E739B0">
        <w:rPr>
          <w:szCs w:val="22"/>
        </w:rPr>
        <w:t>.  This is being contemplated for the next taxonomy.</w:t>
      </w:r>
    </w:p>
    <w:p w14:paraId="4970FFA1" w14:textId="77777777" w:rsidR="0084755C" w:rsidRPr="001C175D" w:rsidRDefault="0084755C" w:rsidP="003324E1">
      <w:pPr>
        <w:ind w:left="1440"/>
        <w:jc w:val="both"/>
        <w:rPr>
          <w:rFonts w:ascii="Arial" w:hAnsi="Arial" w:cs="Arial"/>
          <w:sz w:val="22"/>
          <w:szCs w:val="22"/>
        </w:rPr>
      </w:pPr>
    </w:p>
    <w:p w14:paraId="0F0B9B9B" w14:textId="77777777" w:rsidR="0084755C" w:rsidRPr="001C175D" w:rsidRDefault="0084755C" w:rsidP="003324E1">
      <w:pPr>
        <w:pStyle w:val="ListParagraph"/>
        <w:numPr>
          <w:ilvl w:val="0"/>
          <w:numId w:val="18"/>
        </w:numPr>
        <w:ind w:left="1440"/>
        <w:jc w:val="both"/>
        <w:rPr>
          <w:szCs w:val="22"/>
        </w:rPr>
      </w:pPr>
      <w:r w:rsidRPr="001C175D">
        <w:rPr>
          <w:szCs w:val="22"/>
        </w:rPr>
        <w:t xml:space="preserve">DQC_0122 - Components of Equity on the Balance Sheet </w:t>
      </w:r>
      <w:r w:rsidRPr="001C175D">
        <w:rPr>
          <w:i/>
          <w:iCs/>
          <w:szCs w:val="22"/>
        </w:rPr>
        <w:t xml:space="preserve">(9 errors) </w:t>
      </w:r>
      <w:r w:rsidRPr="001C175D">
        <w:rPr>
          <w:szCs w:val="22"/>
        </w:rPr>
        <w:t xml:space="preserve">This rule is intended to identify those cases where the company reports the components of equity or </w:t>
      </w:r>
      <w:proofErr w:type="spellStart"/>
      <w:r w:rsidRPr="001C175D">
        <w:rPr>
          <w:szCs w:val="22"/>
        </w:rPr>
        <w:t>partners</w:t>
      </w:r>
      <w:proofErr w:type="spellEnd"/>
      <w:r w:rsidRPr="001C175D">
        <w:rPr>
          <w:szCs w:val="22"/>
        </w:rPr>
        <w:t xml:space="preserve"> capital on the balance sheet. If one of these two dimensions are included as part of the balance sheet then the rule will return an error identifying the number of facts using the axis reported in the balance sheet.</w:t>
      </w:r>
    </w:p>
    <w:p w14:paraId="4B5D5429" w14:textId="7FECFF7F" w:rsidR="0084755C" w:rsidRPr="001C175D" w:rsidRDefault="0084755C" w:rsidP="003324E1">
      <w:pPr>
        <w:ind w:left="1080"/>
        <w:jc w:val="both"/>
        <w:rPr>
          <w:rFonts w:ascii="Arial" w:hAnsi="Arial" w:cs="Arial"/>
          <w:sz w:val="22"/>
          <w:szCs w:val="22"/>
        </w:rPr>
      </w:pPr>
      <w:bookmarkStart w:id="2" w:name="_GoBack"/>
      <w:bookmarkEnd w:id="2"/>
    </w:p>
    <w:p w14:paraId="56729457" w14:textId="77777777" w:rsidR="0084755C" w:rsidRPr="001C175D" w:rsidRDefault="0084755C" w:rsidP="003324E1">
      <w:pPr>
        <w:numPr>
          <w:ilvl w:val="0"/>
          <w:numId w:val="14"/>
        </w:numPr>
        <w:ind w:left="1800"/>
        <w:jc w:val="both"/>
        <w:rPr>
          <w:rFonts w:ascii="Arial" w:hAnsi="Arial" w:cs="Arial"/>
          <w:sz w:val="22"/>
          <w:szCs w:val="22"/>
        </w:rPr>
      </w:pPr>
      <w:proofErr w:type="spellStart"/>
      <w:r w:rsidRPr="001C175D">
        <w:rPr>
          <w:rFonts w:ascii="Arial" w:hAnsi="Arial" w:cs="Arial"/>
          <w:sz w:val="22"/>
          <w:szCs w:val="22"/>
        </w:rPr>
        <w:t>StatementEquityComponentsAxis</w:t>
      </w:r>
      <w:proofErr w:type="spellEnd"/>
    </w:p>
    <w:p w14:paraId="04B1B995" w14:textId="77777777" w:rsidR="0084755C" w:rsidRPr="001C175D" w:rsidRDefault="0084755C" w:rsidP="003324E1">
      <w:pPr>
        <w:numPr>
          <w:ilvl w:val="0"/>
          <w:numId w:val="14"/>
        </w:numPr>
        <w:ind w:left="1800"/>
        <w:jc w:val="both"/>
        <w:rPr>
          <w:rFonts w:ascii="Arial" w:hAnsi="Arial" w:cs="Arial"/>
          <w:sz w:val="22"/>
          <w:szCs w:val="22"/>
        </w:rPr>
      </w:pPr>
      <w:proofErr w:type="spellStart"/>
      <w:r w:rsidRPr="001C175D">
        <w:rPr>
          <w:rFonts w:ascii="Arial" w:hAnsi="Arial" w:cs="Arial"/>
          <w:sz w:val="22"/>
          <w:szCs w:val="22"/>
        </w:rPr>
        <w:t>PartnerCapitalComponentsAxis</w:t>
      </w:r>
      <w:proofErr w:type="spellEnd"/>
    </w:p>
    <w:p w14:paraId="312932CA" w14:textId="77777777" w:rsidR="0084755C" w:rsidRPr="001C175D" w:rsidRDefault="0084755C" w:rsidP="003324E1">
      <w:pPr>
        <w:ind w:left="1080"/>
        <w:jc w:val="both"/>
        <w:rPr>
          <w:rFonts w:ascii="Arial" w:hAnsi="Arial" w:cs="Arial"/>
          <w:sz w:val="22"/>
          <w:szCs w:val="22"/>
        </w:rPr>
      </w:pPr>
    </w:p>
    <w:p w14:paraId="148E48ED" w14:textId="77777777" w:rsidR="0084755C" w:rsidRPr="001C175D" w:rsidRDefault="0084755C" w:rsidP="003324E1">
      <w:pPr>
        <w:pStyle w:val="ListParagraph"/>
        <w:numPr>
          <w:ilvl w:val="0"/>
          <w:numId w:val="18"/>
        </w:numPr>
        <w:ind w:left="1440"/>
        <w:jc w:val="both"/>
        <w:rPr>
          <w:szCs w:val="22"/>
        </w:rPr>
      </w:pPr>
      <w:r w:rsidRPr="001C175D">
        <w:rPr>
          <w:szCs w:val="22"/>
        </w:rPr>
        <w:t xml:space="preserve">DQC_0123 - Missing Components of Equity Axis </w:t>
      </w:r>
      <w:r w:rsidRPr="001C175D">
        <w:rPr>
          <w:i/>
          <w:iCs/>
          <w:szCs w:val="22"/>
        </w:rPr>
        <w:t xml:space="preserve">(2,157 errors) </w:t>
      </w:r>
      <w:r w:rsidRPr="001C175D">
        <w:rPr>
          <w:szCs w:val="22"/>
        </w:rPr>
        <w:t>The rule identifies where a company has reported classes of stock but has not indicated if they are common or preferred or treasury components of equity. The rule identifies facts reported using one of the following line items using the class of stock axis without any other dimensions:</w:t>
      </w:r>
    </w:p>
    <w:p w14:paraId="319061E6" w14:textId="77777777" w:rsidR="0084755C" w:rsidRPr="001C175D" w:rsidRDefault="0084755C" w:rsidP="003324E1">
      <w:pPr>
        <w:numPr>
          <w:ilvl w:val="0"/>
          <w:numId w:val="15"/>
        </w:numPr>
        <w:ind w:left="1800"/>
        <w:jc w:val="both"/>
        <w:rPr>
          <w:rFonts w:ascii="Arial" w:hAnsi="Arial" w:cs="Arial"/>
          <w:sz w:val="22"/>
          <w:szCs w:val="22"/>
        </w:rPr>
      </w:pPr>
      <w:r w:rsidRPr="001C175D">
        <w:rPr>
          <w:rFonts w:ascii="Arial" w:hAnsi="Arial" w:cs="Arial"/>
          <w:sz w:val="22"/>
          <w:szCs w:val="22"/>
        </w:rPr>
        <w:t xml:space="preserve">StockholdersEquityIncludingPortionAttributableToNoncontrollingInterest or </w:t>
      </w:r>
    </w:p>
    <w:p w14:paraId="0B087812" w14:textId="77777777" w:rsidR="0084755C" w:rsidRPr="001C175D" w:rsidRDefault="0084755C" w:rsidP="003324E1">
      <w:pPr>
        <w:numPr>
          <w:ilvl w:val="0"/>
          <w:numId w:val="15"/>
        </w:numPr>
        <w:ind w:left="1800"/>
        <w:jc w:val="both"/>
        <w:rPr>
          <w:rFonts w:ascii="Arial" w:hAnsi="Arial" w:cs="Arial"/>
          <w:sz w:val="22"/>
          <w:szCs w:val="22"/>
        </w:rPr>
      </w:pPr>
      <w:proofErr w:type="spellStart"/>
      <w:r w:rsidRPr="001C175D">
        <w:rPr>
          <w:rFonts w:ascii="Arial" w:hAnsi="Arial" w:cs="Arial"/>
          <w:sz w:val="22"/>
          <w:szCs w:val="22"/>
        </w:rPr>
        <w:t>StockholdersEquity</w:t>
      </w:r>
      <w:proofErr w:type="spellEnd"/>
    </w:p>
    <w:p w14:paraId="5EF2F0E7" w14:textId="77777777" w:rsidR="0084755C" w:rsidRPr="001C175D" w:rsidRDefault="0084755C" w:rsidP="003324E1">
      <w:pPr>
        <w:ind w:left="1080"/>
        <w:jc w:val="both"/>
        <w:rPr>
          <w:rFonts w:ascii="Arial" w:hAnsi="Arial" w:cs="Arial"/>
          <w:sz w:val="22"/>
          <w:szCs w:val="22"/>
        </w:rPr>
      </w:pPr>
    </w:p>
    <w:p w14:paraId="2910A7C2" w14:textId="77777777" w:rsidR="0084755C" w:rsidRPr="001C175D" w:rsidRDefault="0084755C" w:rsidP="003324E1">
      <w:pPr>
        <w:pStyle w:val="ListParagraph"/>
        <w:numPr>
          <w:ilvl w:val="0"/>
          <w:numId w:val="18"/>
        </w:numPr>
        <w:ind w:left="1440"/>
        <w:jc w:val="both"/>
        <w:rPr>
          <w:szCs w:val="22"/>
        </w:rPr>
      </w:pPr>
      <w:r w:rsidRPr="001C175D">
        <w:rPr>
          <w:szCs w:val="22"/>
        </w:rPr>
        <w:t xml:space="preserve">DQC_0124 - Breakdown of Lease Liabilities &amp; Assets Across Financial Statement Lines Items </w:t>
      </w:r>
      <w:r w:rsidRPr="001C175D">
        <w:rPr>
          <w:i/>
          <w:iCs/>
          <w:szCs w:val="22"/>
        </w:rPr>
        <w:t xml:space="preserve">(77 errors) </w:t>
      </w:r>
      <w:r w:rsidRPr="001C175D">
        <w:rPr>
          <w:szCs w:val="22"/>
        </w:rPr>
        <w:t xml:space="preserve">The rule flags an error when lease liabilities and assets are present but have not been included in the presentation </w:t>
      </w:r>
      <w:proofErr w:type="spellStart"/>
      <w:r w:rsidRPr="001C175D">
        <w:rPr>
          <w:szCs w:val="22"/>
        </w:rPr>
        <w:t>linkbase</w:t>
      </w:r>
      <w:proofErr w:type="spellEnd"/>
      <w:r w:rsidRPr="001C175D">
        <w:rPr>
          <w:szCs w:val="22"/>
        </w:rPr>
        <w:t xml:space="preserve"> of the financial statements. The intent of the rule is to allow filers to check that their filing is consistent with the FASB’s XBRL implementation guide and US-GAAP.  If the extensible list item or Balance Sheet Location Axis is not used then the rule will report an error.  The rule applies to the following items used to record lease liabilities and assets on the balance sheet:</w:t>
      </w:r>
    </w:p>
    <w:p w14:paraId="7F008F25" w14:textId="77777777" w:rsidR="0084755C" w:rsidRPr="001C175D" w:rsidRDefault="0084755C" w:rsidP="003324E1">
      <w:pPr>
        <w:numPr>
          <w:ilvl w:val="0"/>
          <w:numId w:val="17"/>
        </w:numPr>
        <w:ind w:left="1800"/>
        <w:jc w:val="both"/>
        <w:rPr>
          <w:rFonts w:ascii="Arial" w:hAnsi="Arial" w:cs="Arial"/>
          <w:sz w:val="22"/>
          <w:szCs w:val="22"/>
        </w:rPr>
      </w:pPr>
      <w:proofErr w:type="spellStart"/>
      <w:r w:rsidRPr="001C175D">
        <w:rPr>
          <w:rFonts w:ascii="Arial" w:hAnsi="Arial" w:cs="Arial"/>
          <w:sz w:val="22"/>
          <w:szCs w:val="22"/>
        </w:rPr>
        <w:t>FinanceLeaseLiability</w:t>
      </w:r>
      <w:proofErr w:type="spellEnd"/>
    </w:p>
    <w:p w14:paraId="53807E31" w14:textId="77777777" w:rsidR="0084755C" w:rsidRPr="001C175D" w:rsidRDefault="0084755C" w:rsidP="003324E1">
      <w:pPr>
        <w:numPr>
          <w:ilvl w:val="0"/>
          <w:numId w:val="17"/>
        </w:numPr>
        <w:ind w:left="1800"/>
        <w:jc w:val="both"/>
        <w:rPr>
          <w:rFonts w:ascii="Arial" w:hAnsi="Arial" w:cs="Arial"/>
          <w:sz w:val="22"/>
          <w:szCs w:val="22"/>
        </w:rPr>
      </w:pPr>
      <w:proofErr w:type="spellStart"/>
      <w:r w:rsidRPr="001C175D">
        <w:rPr>
          <w:rFonts w:ascii="Arial" w:hAnsi="Arial" w:cs="Arial"/>
          <w:sz w:val="22"/>
          <w:szCs w:val="22"/>
        </w:rPr>
        <w:t>FinanceLeaseLiabilityCurrent</w:t>
      </w:r>
      <w:proofErr w:type="spellEnd"/>
    </w:p>
    <w:p w14:paraId="03761278" w14:textId="77777777" w:rsidR="0084755C" w:rsidRPr="001C175D" w:rsidRDefault="0084755C" w:rsidP="003324E1">
      <w:pPr>
        <w:numPr>
          <w:ilvl w:val="0"/>
          <w:numId w:val="17"/>
        </w:numPr>
        <w:ind w:left="1800"/>
        <w:jc w:val="both"/>
        <w:rPr>
          <w:rFonts w:ascii="Arial" w:hAnsi="Arial" w:cs="Arial"/>
          <w:sz w:val="22"/>
          <w:szCs w:val="22"/>
        </w:rPr>
      </w:pPr>
      <w:proofErr w:type="spellStart"/>
      <w:r w:rsidRPr="001C175D">
        <w:rPr>
          <w:rFonts w:ascii="Arial" w:hAnsi="Arial" w:cs="Arial"/>
          <w:sz w:val="22"/>
          <w:szCs w:val="22"/>
        </w:rPr>
        <w:t>FinanceLeaseLiabilityNoncurrent</w:t>
      </w:r>
      <w:proofErr w:type="spellEnd"/>
    </w:p>
    <w:p w14:paraId="63AF31F3" w14:textId="77777777" w:rsidR="0084755C" w:rsidRPr="001C175D" w:rsidRDefault="0084755C" w:rsidP="003324E1">
      <w:pPr>
        <w:numPr>
          <w:ilvl w:val="0"/>
          <w:numId w:val="17"/>
        </w:numPr>
        <w:ind w:left="1800"/>
        <w:jc w:val="both"/>
        <w:rPr>
          <w:rFonts w:ascii="Arial" w:hAnsi="Arial" w:cs="Arial"/>
          <w:sz w:val="22"/>
          <w:szCs w:val="22"/>
        </w:rPr>
      </w:pPr>
      <w:proofErr w:type="spellStart"/>
      <w:r w:rsidRPr="001C175D">
        <w:rPr>
          <w:rFonts w:ascii="Arial" w:hAnsi="Arial" w:cs="Arial"/>
          <w:sz w:val="22"/>
          <w:szCs w:val="22"/>
        </w:rPr>
        <w:t>FinanceLeaseRightOfUseAsset</w:t>
      </w:r>
      <w:proofErr w:type="spellEnd"/>
    </w:p>
    <w:p w14:paraId="531C257F" w14:textId="77777777" w:rsidR="0084755C" w:rsidRPr="001C175D" w:rsidRDefault="0084755C" w:rsidP="003324E1">
      <w:pPr>
        <w:numPr>
          <w:ilvl w:val="0"/>
          <w:numId w:val="17"/>
        </w:numPr>
        <w:ind w:left="1800"/>
        <w:jc w:val="both"/>
        <w:rPr>
          <w:rFonts w:ascii="Arial" w:hAnsi="Arial" w:cs="Arial"/>
          <w:sz w:val="22"/>
          <w:szCs w:val="22"/>
        </w:rPr>
      </w:pPr>
      <w:proofErr w:type="spellStart"/>
      <w:r w:rsidRPr="001C175D">
        <w:rPr>
          <w:rFonts w:ascii="Arial" w:hAnsi="Arial" w:cs="Arial"/>
          <w:sz w:val="22"/>
          <w:szCs w:val="22"/>
        </w:rPr>
        <w:t>OperatingLeaseRightOfUseAsset</w:t>
      </w:r>
      <w:proofErr w:type="spellEnd"/>
    </w:p>
    <w:p w14:paraId="54E15B1A" w14:textId="77777777" w:rsidR="00483A54" w:rsidRDefault="00483A54" w:rsidP="003324E1">
      <w:pPr>
        <w:ind w:left="1080"/>
        <w:jc w:val="both"/>
        <w:rPr>
          <w:rFonts w:ascii="Arial" w:hAnsi="Arial" w:cs="Arial"/>
          <w:sz w:val="22"/>
          <w:szCs w:val="22"/>
        </w:rPr>
      </w:pPr>
    </w:p>
    <w:p w14:paraId="79D75A64" w14:textId="7673D5E3" w:rsidR="0084755C" w:rsidRPr="001C175D" w:rsidRDefault="0084755C" w:rsidP="00483A54">
      <w:pPr>
        <w:ind w:left="1080" w:firstLine="360"/>
        <w:jc w:val="both"/>
        <w:rPr>
          <w:rFonts w:ascii="Arial" w:hAnsi="Arial" w:cs="Arial"/>
          <w:sz w:val="22"/>
          <w:szCs w:val="22"/>
        </w:rPr>
      </w:pPr>
      <w:r w:rsidRPr="001C175D">
        <w:rPr>
          <w:rFonts w:ascii="Arial" w:hAnsi="Arial" w:cs="Arial"/>
          <w:sz w:val="22"/>
          <w:szCs w:val="22"/>
        </w:rPr>
        <w:t>The associated extensible list items required for each of these elements is as follows:</w:t>
      </w:r>
    </w:p>
    <w:p w14:paraId="55B3A5B0" w14:textId="77777777" w:rsidR="0084755C" w:rsidRPr="001C175D" w:rsidRDefault="0084755C" w:rsidP="003324E1">
      <w:pPr>
        <w:numPr>
          <w:ilvl w:val="0"/>
          <w:numId w:val="16"/>
        </w:numPr>
        <w:ind w:left="1800"/>
        <w:jc w:val="both"/>
        <w:rPr>
          <w:rFonts w:ascii="Arial" w:hAnsi="Arial" w:cs="Arial"/>
          <w:sz w:val="22"/>
          <w:szCs w:val="22"/>
        </w:rPr>
      </w:pPr>
      <w:proofErr w:type="spellStart"/>
      <w:r w:rsidRPr="001C175D">
        <w:rPr>
          <w:rFonts w:ascii="Arial" w:hAnsi="Arial" w:cs="Arial"/>
          <w:sz w:val="22"/>
          <w:szCs w:val="22"/>
        </w:rPr>
        <w:t>FinanceLeaseLiabilityStatementOfFinancialPositionExtensibleList</w:t>
      </w:r>
      <w:proofErr w:type="spellEnd"/>
    </w:p>
    <w:p w14:paraId="67E83869" w14:textId="77777777" w:rsidR="0084755C" w:rsidRPr="001C175D" w:rsidRDefault="0084755C" w:rsidP="003324E1">
      <w:pPr>
        <w:numPr>
          <w:ilvl w:val="0"/>
          <w:numId w:val="16"/>
        </w:numPr>
        <w:ind w:left="1800"/>
        <w:jc w:val="both"/>
        <w:rPr>
          <w:rFonts w:ascii="Arial" w:hAnsi="Arial" w:cs="Arial"/>
          <w:sz w:val="22"/>
          <w:szCs w:val="22"/>
        </w:rPr>
      </w:pPr>
      <w:r w:rsidRPr="001C175D">
        <w:rPr>
          <w:rFonts w:ascii="Arial" w:hAnsi="Arial" w:cs="Arial"/>
          <w:sz w:val="22"/>
          <w:szCs w:val="22"/>
        </w:rPr>
        <w:t>FinanceLeaseLiabilityCurrentStatementOfFinancialPositionExtensibleList</w:t>
      </w:r>
    </w:p>
    <w:p w14:paraId="52C90E6D" w14:textId="77777777" w:rsidR="0084755C" w:rsidRPr="001C175D" w:rsidRDefault="0084755C" w:rsidP="003324E1">
      <w:pPr>
        <w:numPr>
          <w:ilvl w:val="0"/>
          <w:numId w:val="16"/>
        </w:numPr>
        <w:ind w:left="1800"/>
        <w:jc w:val="both"/>
        <w:rPr>
          <w:rFonts w:ascii="Arial" w:hAnsi="Arial" w:cs="Arial"/>
          <w:sz w:val="22"/>
          <w:szCs w:val="22"/>
        </w:rPr>
      </w:pPr>
      <w:r w:rsidRPr="001C175D">
        <w:rPr>
          <w:rFonts w:ascii="Arial" w:hAnsi="Arial" w:cs="Arial"/>
          <w:sz w:val="22"/>
          <w:szCs w:val="22"/>
        </w:rPr>
        <w:lastRenderedPageBreak/>
        <w:t>FinanceLeaseLiabilityNoncurrentStatementOfFinancialPositionExtensibleList</w:t>
      </w:r>
    </w:p>
    <w:p w14:paraId="063B5639" w14:textId="77777777" w:rsidR="0084755C" w:rsidRPr="001C175D" w:rsidRDefault="0084755C" w:rsidP="003324E1">
      <w:pPr>
        <w:numPr>
          <w:ilvl w:val="0"/>
          <w:numId w:val="16"/>
        </w:numPr>
        <w:ind w:left="1800"/>
        <w:jc w:val="both"/>
        <w:rPr>
          <w:rFonts w:ascii="Arial" w:hAnsi="Arial" w:cs="Arial"/>
          <w:sz w:val="22"/>
          <w:szCs w:val="22"/>
        </w:rPr>
      </w:pPr>
      <w:r w:rsidRPr="001C175D">
        <w:rPr>
          <w:rFonts w:ascii="Arial" w:hAnsi="Arial" w:cs="Arial"/>
          <w:sz w:val="22"/>
          <w:szCs w:val="22"/>
        </w:rPr>
        <w:t>FinanceLeaseRightOfUseAssetStatementOfFinancialPositionExtensibleList</w:t>
      </w:r>
    </w:p>
    <w:p w14:paraId="18608BE6" w14:textId="6470D52D" w:rsidR="003B3B44" w:rsidRDefault="0084755C" w:rsidP="003324E1">
      <w:pPr>
        <w:pStyle w:val="ListParagraph"/>
        <w:spacing w:line="332" w:lineRule="auto"/>
        <w:ind w:left="1800"/>
        <w:rPr>
          <w:szCs w:val="22"/>
        </w:rPr>
      </w:pPr>
      <w:r w:rsidRPr="001C175D">
        <w:rPr>
          <w:szCs w:val="22"/>
        </w:rPr>
        <w:t>OperatingLeaseRightOfUseAssetStatementOfFinancialPositionExtensibleList</w:t>
      </w:r>
    </w:p>
    <w:p w14:paraId="57AF0C4B" w14:textId="77777777" w:rsidR="00483A54" w:rsidRDefault="00483A54" w:rsidP="003324E1">
      <w:pPr>
        <w:pStyle w:val="ListParagraph"/>
        <w:spacing w:line="332" w:lineRule="auto"/>
        <w:ind w:left="1800"/>
        <w:rPr>
          <w:szCs w:val="22"/>
        </w:rPr>
      </w:pPr>
    </w:p>
    <w:p w14:paraId="77CDBB30" w14:textId="294A7812" w:rsidR="001C175D" w:rsidRPr="009B296F" w:rsidRDefault="001C175D" w:rsidP="001C175D">
      <w:pPr>
        <w:pStyle w:val="ListParagraph"/>
        <w:numPr>
          <w:ilvl w:val="0"/>
          <w:numId w:val="3"/>
        </w:numPr>
        <w:spacing w:line="332" w:lineRule="auto"/>
      </w:pPr>
      <w:r>
        <w:t>Joan stated public review period for version 16 will be July 15</w:t>
      </w:r>
      <w:r w:rsidR="004024FB">
        <w:t xml:space="preserve"> </w:t>
      </w:r>
      <w:r>
        <w:t>-</w:t>
      </w:r>
      <w:r w:rsidR="004024FB">
        <w:t xml:space="preserve"> </w:t>
      </w:r>
      <w:r>
        <w:t>August 31, 2021.</w:t>
      </w:r>
    </w:p>
    <w:p w14:paraId="2A93230A" w14:textId="77777777" w:rsidR="001C175D" w:rsidRDefault="001C175D" w:rsidP="001C175D">
      <w:pPr>
        <w:pStyle w:val="ListParagraph"/>
        <w:spacing w:line="332" w:lineRule="auto"/>
        <w:rPr>
          <w:b/>
        </w:rPr>
      </w:pPr>
    </w:p>
    <w:p w14:paraId="69B4012F" w14:textId="04BF9700" w:rsidR="001C175D" w:rsidRPr="0013768C" w:rsidRDefault="001C175D" w:rsidP="001C175D">
      <w:pPr>
        <w:pStyle w:val="ListParagraph"/>
        <w:numPr>
          <w:ilvl w:val="0"/>
          <w:numId w:val="3"/>
        </w:numPr>
        <w:spacing w:line="332" w:lineRule="auto"/>
      </w:pPr>
      <w:r w:rsidRPr="0013768C">
        <w:t>Motion to approve rules</w:t>
      </w:r>
      <w:r>
        <w:t xml:space="preserve"> DQC_01</w:t>
      </w:r>
      <w:r w:rsidR="00634F4C">
        <w:t>17</w:t>
      </w:r>
      <w:r>
        <w:t>, DQC_01</w:t>
      </w:r>
      <w:r w:rsidR="00634F4C">
        <w:t>1</w:t>
      </w:r>
      <w:r>
        <w:t>8, DQC_01</w:t>
      </w:r>
      <w:r w:rsidR="00634F4C">
        <w:t>2</w:t>
      </w:r>
      <w:r>
        <w:t>0, DQC_01</w:t>
      </w:r>
      <w:r w:rsidR="00634F4C">
        <w:t>21</w:t>
      </w:r>
      <w:r>
        <w:t>, DQC_01</w:t>
      </w:r>
      <w:r w:rsidR="00634F4C">
        <w:t>22</w:t>
      </w:r>
      <w:r>
        <w:t>, DQC_01</w:t>
      </w:r>
      <w:r w:rsidR="00634F4C">
        <w:t>23</w:t>
      </w:r>
      <w:r>
        <w:t>, DQC_01</w:t>
      </w:r>
      <w:r w:rsidR="00634F4C">
        <w:t>24</w:t>
      </w:r>
      <w:r>
        <w:t xml:space="preserve"> </w:t>
      </w:r>
      <w:r w:rsidR="00634F4C">
        <w:t>for public review July 15</w:t>
      </w:r>
      <w:r w:rsidR="004024FB">
        <w:t xml:space="preserve"> </w:t>
      </w:r>
      <w:r w:rsidR="00634F4C">
        <w:t>-</w:t>
      </w:r>
      <w:r w:rsidR="004024FB">
        <w:t xml:space="preserve"> </w:t>
      </w:r>
      <w:r w:rsidR="00634F4C">
        <w:t xml:space="preserve">August 31, 2021 by </w:t>
      </w:r>
      <w:r>
        <w:t xml:space="preserve">Campbell </w:t>
      </w:r>
      <w:proofErr w:type="spellStart"/>
      <w:r>
        <w:t>Pryde</w:t>
      </w:r>
      <w:proofErr w:type="spellEnd"/>
      <w:r>
        <w:t xml:space="preserve">, </w:t>
      </w:r>
      <w:r w:rsidRPr="0013768C">
        <w:t xml:space="preserve">seconded by </w:t>
      </w:r>
      <w:r w:rsidR="00C3446A">
        <w:t>Mohini Singh</w:t>
      </w:r>
    </w:p>
    <w:p w14:paraId="399E5E03" w14:textId="77777777" w:rsidR="001C175D" w:rsidRPr="0013768C" w:rsidRDefault="001C175D" w:rsidP="001C175D">
      <w:pPr>
        <w:pStyle w:val="ListParagraph"/>
        <w:numPr>
          <w:ilvl w:val="0"/>
          <w:numId w:val="3"/>
        </w:numPr>
        <w:spacing w:line="332" w:lineRule="auto"/>
      </w:pPr>
      <w:r w:rsidRPr="0013768C">
        <w:t xml:space="preserve">Vote (For </w:t>
      </w:r>
      <w:r>
        <w:t>7</w:t>
      </w:r>
      <w:r w:rsidRPr="0013768C">
        <w:t>, 0 Against)</w:t>
      </w:r>
    </w:p>
    <w:p w14:paraId="554ED41E" w14:textId="2783497F" w:rsidR="0095418A" w:rsidRDefault="001C175D" w:rsidP="00A032C7">
      <w:pPr>
        <w:pStyle w:val="ListParagraph"/>
        <w:numPr>
          <w:ilvl w:val="0"/>
          <w:numId w:val="3"/>
        </w:numPr>
        <w:spacing w:line="332" w:lineRule="auto"/>
      </w:pPr>
      <w:r w:rsidRPr="0013768C">
        <w:t>Motion passed.</w:t>
      </w:r>
      <w:r w:rsidRPr="001359A2">
        <w:t xml:space="preserve"> </w:t>
      </w:r>
      <w:r>
        <w:t>R</w:t>
      </w:r>
      <w:r w:rsidRPr="0013768C">
        <w:t>ules</w:t>
      </w:r>
      <w:r>
        <w:t xml:space="preserve"> </w:t>
      </w:r>
      <w:r w:rsidR="00634F4C">
        <w:t>DQC_0117, DQC_0118, DQC_0120, DQC_0121, DQC_0122, DQC_0123, DQC_0124 for public review July 15</w:t>
      </w:r>
      <w:r w:rsidR="004024FB">
        <w:t xml:space="preserve"> </w:t>
      </w:r>
      <w:r w:rsidR="00634F4C">
        <w:t>-</w:t>
      </w:r>
      <w:r w:rsidR="004024FB">
        <w:t xml:space="preserve"> </w:t>
      </w:r>
      <w:r w:rsidR="00634F4C">
        <w:t xml:space="preserve">August 31, 2021 </w:t>
      </w:r>
      <w:r>
        <w:t xml:space="preserve">approved. </w:t>
      </w:r>
    </w:p>
    <w:p w14:paraId="0A80E6AF" w14:textId="77777777" w:rsidR="0095418A" w:rsidRDefault="0095418A" w:rsidP="0095418A">
      <w:pPr>
        <w:spacing w:line="332" w:lineRule="auto"/>
        <w:ind w:left="360"/>
        <w:rPr>
          <w:rFonts w:eastAsia="Arial"/>
        </w:rPr>
      </w:pPr>
    </w:p>
    <w:p w14:paraId="53A30D7B" w14:textId="06D73E62" w:rsidR="00A032C7" w:rsidRPr="0095418A" w:rsidRDefault="00A032C7" w:rsidP="0095418A">
      <w:pPr>
        <w:spacing w:line="332" w:lineRule="auto"/>
        <w:ind w:left="360"/>
        <w:rPr>
          <w:rFonts w:ascii="Arial" w:eastAsia="Arial" w:hAnsi="Arial" w:cs="Arial"/>
          <w:sz w:val="22"/>
          <w:szCs w:val="22"/>
        </w:rPr>
      </w:pPr>
      <w:r w:rsidRPr="0095418A">
        <w:rPr>
          <w:rFonts w:ascii="Arial" w:eastAsia="Arial" w:hAnsi="Arial" w:cs="Arial"/>
          <w:sz w:val="22"/>
          <w:szCs w:val="22"/>
        </w:rPr>
        <w:t>Meeting adjourned 1</w:t>
      </w:r>
      <w:r w:rsidR="00C3446A" w:rsidRPr="0095418A">
        <w:rPr>
          <w:rFonts w:ascii="Arial" w:eastAsia="Arial" w:hAnsi="Arial" w:cs="Arial"/>
          <w:sz w:val="22"/>
          <w:szCs w:val="22"/>
        </w:rPr>
        <w:t>2</w:t>
      </w:r>
      <w:r w:rsidR="00634F4C" w:rsidRPr="0095418A">
        <w:rPr>
          <w:rFonts w:ascii="Arial" w:eastAsia="Arial" w:hAnsi="Arial" w:cs="Arial"/>
          <w:sz w:val="22"/>
          <w:szCs w:val="22"/>
        </w:rPr>
        <w:t>:</w:t>
      </w:r>
      <w:r w:rsidR="00C3446A" w:rsidRPr="0095418A">
        <w:rPr>
          <w:rFonts w:ascii="Arial" w:eastAsia="Arial" w:hAnsi="Arial" w:cs="Arial"/>
          <w:sz w:val="22"/>
          <w:szCs w:val="22"/>
        </w:rPr>
        <w:t>45</w:t>
      </w:r>
      <w:r w:rsidR="00634F4C" w:rsidRPr="0095418A">
        <w:rPr>
          <w:rFonts w:ascii="Arial" w:eastAsia="Arial" w:hAnsi="Arial" w:cs="Arial"/>
          <w:sz w:val="22"/>
          <w:szCs w:val="22"/>
        </w:rPr>
        <w:t>PM</w:t>
      </w:r>
      <w:r w:rsidRPr="0095418A">
        <w:rPr>
          <w:rFonts w:ascii="Arial" w:eastAsia="Arial" w:hAnsi="Arial" w:cs="Arial"/>
          <w:sz w:val="22"/>
          <w:szCs w:val="22"/>
        </w:rPr>
        <w:t xml:space="preserve"> </w:t>
      </w:r>
    </w:p>
    <w:p w14:paraId="6A796DE8" w14:textId="43D32743" w:rsidR="002C7013" w:rsidRDefault="002C7013">
      <w:pPr>
        <w:spacing w:line="332" w:lineRule="auto"/>
        <w:rPr>
          <w:rFonts w:ascii="Arial" w:eastAsia="Arial" w:hAnsi="Arial" w:cs="Arial"/>
          <w:sz w:val="22"/>
        </w:rPr>
      </w:pP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EBFA" w16cex:dateUtc="2021-04-09T20:0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B1F12" w14:textId="77777777" w:rsidR="00B83606" w:rsidRDefault="00B83606">
      <w:r>
        <w:separator/>
      </w:r>
    </w:p>
  </w:endnote>
  <w:endnote w:type="continuationSeparator" w:id="0">
    <w:p w14:paraId="4CDF6046" w14:textId="77777777" w:rsidR="00B83606" w:rsidRDefault="00B83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EB881" w14:textId="77777777" w:rsidR="00B83606" w:rsidRDefault="00B83606">
      <w:r>
        <w:separator/>
      </w:r>
    </w:p>
  </w:footnote>
  <w:footnote w:type="continuationSeparator" w:id="0">
    <w:p w14:paraId="460360A3" w14:textId="77777777" w:rsidR="00B83606" w:rsidRDefault="00B83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737F"/>
    <w:multiLevelType w:val="hybridMultilevel"/>
    <w:tmpl w:val="5896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82032"/>
    <w:multiLevelType w:val="multilevel"/>
    <w:tmpl w:val="A77CB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5A0AE7"/>
    <w:multiLevelType w:val="multilevel"/>
    <w:tmpl w:val="0476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134AEF"/>
    <w:multiLevelType w:val="hybridMultilevel"/>
    <w:tmpl w:val="FA30B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40746"/>
    <w:multiLevelType w:val="multilevel"/>
    <w:tmpl w:val="92F40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234DB3"/>
    <w:multiLevelType w:val="hybridMultilevel"/>
    <w:tmpl w:val="680853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E22D7"/>
    <w:multiLevelType w:val="multilevel"/>
    <w:tmpl w:val="B1CED74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8D22D3"/>
    <w:multiLevelType w:val="hybridMultilevel"/>
    <w:tmpl w:val="C9EC0690"/>
    <w:lvl w:ilvl="0" w:tplc="02689878">
      <w:start w:val="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D3C7C"/>
    <w:multiLevelType w:val="multilevel"/>
    <w:tmpl w:val="270C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9828A2"/>
    <w:multiLevelType w:val="multilevel"/>
    <w:tmpl w:val="16C4A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D7295"/>
    <w:multiLevelType w:val="multilevel"/>
    <w:tmpl w:val="F9165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856B4"/>
    <w:multiLevelType w:val="hybridMultilevel"/>
    <w:tmpl w:val="DD988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00071B"/>
    <w:multiLevelType w:val="hybridMultilevel"/>
    <w:tmpl w:val="918C4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B144E"/>
    <w:multiLevelType w:val="hybridMultilevel"/>
    <w:tmpl w:val="38A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4676C"/>
    <w:multiLevelType w:val="hybridMultilevel"/>
    <w:tmpl w:val="D744F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E2303"/>
    <w:multiLevelType w:val="multilevel"/>
    <w:tmpl w:val="C0F04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F4374E"/>
    <w:multiLevelType w:val="multilevel"/>
    <w:tmpl w:val="C652B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13"/>
  </w:num>
  <w:num w:numId="4">
    <w:abstractNumId w:val="16"/>
  </w:num>
  <w:num w:numId="5">
    <w:abstractNumId w:val="14"/>
  </w:num>
  <w:num w:numId="6">
    <w:abstractNumId w:val="15"/>
  </w:num>
  <w:num w:numId="7">
    <w:abstractNumId w:val="8"/>
  </w:num>
  <w:num w:numId="8">
    <w:abstractNumId w:val="3"/>
  </w:num>
  <w:num w:numId="9">
    <w:abstractNumId w:val="2"/>
  </w:num>
  <w:num w:numId="10">
    <w:abstractNumId w:val="1"/>
  </w:num>
  <w:num w:numId="11">
    <w:abstractNumId w:val="17"/>
  </w:num>
  <w:num w:numId="12">
    <w:abstractNumId w:val="7"/>
  </w:num>
  <w:num w:numId="13">
    <w:abstractNumId w:val="18"/>
  </w:num>
  <w:num w:numId="14">
    <w:abstractNumId w:val="4"/>
  </w:num>
  <w:num w:numId="15">
    <w:abstractNumId w:val="11"/>
  </w:num>
  <w:num w:numId="16">
    <w:abstractNumId w:val="9"/>
  </w:num>
  <w:num w:numId="17">
    <w:abstractNumId w:val="6"/>
  </w:num>
  <w:num w:numId="18">
    <w:abstractNumId w:val="5"/>
  </w:num>
  <w:num w:numId="1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65BF"/>
    <w:rsid w:val="000075A0"/>
    <w:rsid w:val="00007642"/>
    <w:rsid w:val="00007E68"/>
    <w:rsid w:val="000127F5"/>
    <w:rsid w:val="000136DB"/>
    <w:rsid w:val="00016AA4"/>
    <w:rsid w:val="00016F7E"/>
    <w:rsid w:val="000204AB"/>
    <w:rsid w:val="00020EA9"/>
    <w:rsid w:val="00021BB0"/>
    <w:rsid w:val="00025914"/>
    <w:rsid w:val="00026C18"/>
    <w:rsid w:val="000309CD"/>
    <w:rsid w:val="00034B1F"/>
    <w:rsid w:val="00043834"/>
    <w:rsid w:val="00044F05"/>
    <w:rsid w:val="00046D37"/>
    <w:rsid w:val="00047C0B"/>
    <w:rsid w:val="0005041A"/>
    <w:rsid w:val="00052B41"/>
    <w:rsid w:val="000548F4"/>
    <w:rsid w:val="000558DD"/>
    <w:rsid w:val="00056425"/>
    <w:rsid w:val="0005737B"/>
    <w:rsid w:val="00070F36"/>
    <w:rsid w:val="00070FA9"/>
    <w:rsid w:val="000721F3"/>
    <w:rsid w:val="000741E6"/>
    <w:rsid w:val="00075261"/>
    <w:rsid w:val="00075EB6"/>
    <w:rsid w:val="00076321"/>
    <w:rsid w:val="00076C96"/>
    <w:rsid w:val="00080874"/>
    <w:rsid w:val="000815EF"/>
    <w:rsid w:val="00083031"/>
    <w:rsid w:val="000847CE"/>
    <w:rsid w:val="00086545"/>
    <w:rsid w:val="000875EB"/>
    <w:rsid w:val="000912AE"/>
    <w:rsid w:val="000914EE"/>
    <w:rsid w:val="000A40AB"/>
    <w:rsid w:val="000A67DF"/>
    <w:rsid w:val="000B19CB"/>
    <w:rsid w:val="000B1C9E"/>
    <w:rsid w:val="000B207C"/>
    <w:rsid w:val="000B56BA"/>
    <w:rsid w:val="000B62E1"/>
    <w:rsid w:val="000B7303"/>
    <w:rsid w:val="000C052A"/>
    <w:rsid w:val="000C4DBF"/>
    <w:rsid w:val="000C5EDD"/>
    <w:rsid w:val="000D32C7"/>
    <w:rsid w:val="000D357F"/>
    <w:rsid w:val="000D521E"/>
    <w:rsid w:val="000D7CF8"/>
    <w:rsid w:val="000E1397"/>
    <w:rsid w:val="000E1FFC"/>
    <w:rsid w:val="000E2734"/>
    <w:rsid w:val="000E2D28"/>
    <w:rsid w:val="000E4451"/>
    <w:rsid w:val="000E66B1"/>
    <w:rsid w:val="000E7DCC"/>
    <w:rsid w:val="000F10FC"/>
    <w:rsid w:val="000F2604"/>
    <w:rsid w:val="000F338E"/>
    <w:rsid w:val="000F4123"/>
    <w:rsid w:val="000F4B84"/>
    <w:rsid w:val="000F4BD5"/>
    <w:rsid w:val="000F59DE"/>
    <w:rsid w:val="00101903"/>
    <w:rsid w:val="001046DD"/>
    <w:rsid w:val="00112E9F"/>
    <w:rsid w:val="001147FB"/>
    <w:rsid w:val="00116D46"/>
    <w:rsid w:val="00122964"/>
    <w:rsid w:val="00124C90"/>
    <w:rsid w:val="00125B56"/>
    <w:rsid w:val="00126640"/>
    <w:rsid w:val="001318C6"/>
    <w:rsid w:val="001359A2"/>
    <w:rsid w:val="00135A3A"/>
    <w:rsid w:val="001369D9"/>
    <w:rsid w:val="00137246"/>
    <w:rsid w:val="0013768C"/>
    <w:rsid w:val="001410BB"/>
    <w:rsid w:val="00143014"/>
    <w:rsid w:val="001431B0"/>
    <w:rsid w:val="001436D9"/>
    <w:rsid w:val="00144121"/>
    <w:rsid w:val="00144ADB"/>
    <w:rsid w:val="001469D0"/>
    <w:rsid w:val="00151198"/>
    <w:rsid w:val="00151CA6"/>
    <w:rsid w:val="00152583"/>
    <w:rsid w:val="00153C9C"/>
    <w:rsid w:val="00154EEA"/>
    <w:rsid w:val="0015637A"/>
    <w:rsid w:val="0015767B"/>
    <w:rsid w:val="00164E8B"/>
    <w:rsid w:val="00164F24"/>
    <w:rsid w:val="001666E4"/>
    <w:rsid w:val="00173232"/>
    <w:rsid w:val="00175155"/>
    <w:rsid w:val="001754CE"/>
    <w:rsid w:val="00186CB3"/>
    <w:rsid w:val="00186CCB"/>
    <w:rsid w:val="00191752"/>
    <w:rsid w:val="00193771"/>
    <w:rsid w:val="001972D6"/>
    <w:rsid w:val="00197558"/>
    <w:rsid w:val="001A0737"/>
    <w:rsid w:val="001A0D7B"/>
    <w:rsid w:val="001A0D9A"/>
    <w:rsid w:val="001A1985"/>
    <w:rsid w:val="001A36D1"/>
    <w:rsid w:val="001A3C89"/>
    <w:rsid w:val="001A67BE"/>
    <w:rsid w:val="001A7594"/>
    <w:rsid w:val="001A7AD8"/>
    <w:rsid w:val="001B42E4"/>
    <w:rsid w:val="001B4B2E"/>
    <w:rsid w:val="001B64CB"/>
    <w:rsid w:val="001B6CF9"/>
    <w:rsid w:val="001C0728"/>
    <w:rsid w:val="001C175D"/>
    <w:rsid w:val="001C389D"/>
    <w:rsid w:val="001C59CC"/>
    <w:rsid w:val="001D0A77"/>
    <w:rsid w:val="001D3459"/>
    <w:rsid w:val="001D383E"/>
    <w:rsid w:val="001D6B1E"/>
    <w:rsid w:val="001E2606"/>
    <w:rsid w:val="001F0134"/>
    <w:rsid w:val="001F186F"/>
    <w:rsid w:val="001F62ED"/>
    <w:rsid w:val="00204836"/>
    <w:rsid w:val="002074D6"/>
    <w:rsid w:val="00212269"/>
    <w:rsid w:val="00212E84"/>
    <w:rsid w:val="0021499F"/>
    <w:rsid w:val="002163A6"/>
    <w:rsid w:val="00220D59"/>
    <w:rsid w:val="0022145D"/>
    <w:rsid w:val="00221EA4"/>
    <w:rsid w:val="00230379"/>
    <w:rsid w:val="00230A9B"/>
    <w:rsid w:val="002324E3"/>
    <w:rsid w:val="00234097"/>
    <w:rsid w:val="00234902"/>
    <w:rsid w:val="00235DD8"/>
    <w:rsid w:val="002400C8"/>
    <w:rsid w:val="00240C2F"/>
    <w:rsid w:val="0024118F"/>
    <w:rsid w:val="002411F8"/>
    <w:rsid w:val="00242E5A"/>
    <w:rsid w:val="00243158"/>
    <w:rsid w:val="002446AC"/>
    <w:rsid w:val="0024633D"/>
    <w:rsid w:val="0025063A"/>
    <w:rsid w:val="0025152A"/>
    <w:rsid w:val="00254C84"/>
    <w:rsid w:val="00256194"/>
    <w:rsid w:val="00256ED8"/>
    <w:rsid w:val="00261302"/>
    <w:rsid w:val="00264D70"/>
    <w:rsid w:val="00264EC9"/>
    <w:rsid w:val="00265145"/>
    <w:rsid w:val="002671C3"/>
    <w:rsid w:val="00270360"/>
    <w:rsid w:val="00272DBB"/>
    <w:rsid w:val="00280A93"/>
    <w:rsid w:val="00280B44"/>
    <w:rsid w:val="00283532"/>
    <w:rsid w:val="00286985"/>
    <w:rsid w:val="002878C8"/>
    <w:rsid w:val="002907ED"/>
    <w:rsid w:val="00290C62"/>
    <w:rsid w:val="002936F4"/>
    <w:rsid w:val="00295C0F"/>
    <w:rsid w:val="00295E54"/>
    <w:rsid w:val="00296DA6"/>
    <w:rsid w:val="0029757F"/>
    <w:rsid w:val="002A0601"/>
    <w:rsid w:val="002A09BF"/>
    <w:rsid w:val="002A14AA"/>
    <w:rsid w:val="002A411B"/>
    <w:rsid w:val="002A6C2E"/>
    <w:rsid w:val="002A70CC"/>
    <w:rsid w:val="002B3CE6"/>
    <w:rsid w:val="002B49CC"/>
    <w:rsid w:val="002B64DB"/>
    <w:rsid w:val="002C0324"/>
    <w:rsid w:val="002C18B0"/>
    <w:rsid w:val="002C52D1"/>
    <w:rsid w:val="002C5C6A"/>
    <w:rsid w:val="002C7013"/>
    <w:rsid w:val="002C763D"/>
    <w:rsid w:val="002C77AA"/>
    <w:rsid w:val="002D0471"/>
    <w:rsid w:val="002D226D"/>
    <w:rsid w:val="002D3AC5"/>
    <w:rsid w:val="002D5CA0"/>
    <w:rsid w:val="002E2269"/>
    <w:rsid w:val="002E3DEA"/>
    <w:rsid w:val="002E4B3A"/>
    <w:rsid w:val="002E5EFC"/>
    <w:rsid w:val="002F2803"/>
    <w:rsid w:val="002F4E92"/>
    <w:rsid w:val="002F65FE"/>
    <w:rsid w:val="002F74D5"/>
    <w:rsid w:val="00300401"/>
    <w:rsid w:val="00300474"/>
    <w:rsid w:val="0030404C"/>
    <w:rsid w:val="003071CC"/>
    <w:rsid w:val="0031170D"/>
    <w:rsid w:val="0031179F"/>
    <w:rsid w:val="00312759"/>
    <w:rsid w:val="00312FC5"/>
    <w:rsid w:val="00317120"/>
    <w:rsid w:val="0032066D"/>
    <w:rsid w:val="00321548"/>
    <w:rsid w:val="00321839"/>
    <w:rsid w:val="00323A87"/>
    <w:rsid w:val="00323C14"/>
    <w:rsid w:val="003257E3"/>
    <w:rsid w:val="003271F6"/>
    <w:rsid w:val="0033130D"/>
    <w:rsid w:val="003318D8"/>
    <w:rsid w:val="003324E1"/>
    <w:rsid w:val="00332634"/>
    <w:rsid w:val="003342FE"/>
    <w:rsid w:val="00335D46"/>
    <w:rsid w:val="00337674"/>
    <w:rsid w:val="003431C2"/>
    <w:rsid w:val="00346E12"/>
    <w:rsid w:val="0035018E"/>
    <w:rsid w:val="00354148"/>
    <w:rsid w:val="00354581"/>
    <w:rsid w:val="00354E57"/>
    <w:rsid w:val="0035624A"/>
    <w:rsid w:val="003567FE"/>
    <w:rsid w:val="00357675"/>
    <w:rsid w:val="003643AF"/>
    <w:rsid w:val="0036487D"/>
    <w:rsid w:val="0036531D"/>
    <w:rsid w:val="00366C60"/>
    <w:rsid w:val="00366E6F"/>
    <w:rsid w:val="0036731F"/>
    <w:rsid w:val="003709C0"/>
    <w:rsid w:val="00373919"/>
    <w:rsid w:val="003767EB"/>
    <w:rsid w:val="00377959"/>
    <w:rsid w:val="00377FB7"/>
    <w:rsid w:val="003830A0"/>
    <w:rsid w:val="00384588"/>
    <w:rsid w:val="00390AD5"/>
    <w:rsid w:val="003939B9"/>
    <w:rsid w:val="003959DA"/>
    <w:rsid w:val="003A2B6F"/>
    <w:rsid w:val="003B3014"/>
    <w:rsid w:val="003B3597"/>
    <w:rsid w:val="003B3B44"/>
    <w:rsid w:val="003C058E"/>
    <w:rsid w:val="003C312A"/>
    <w:rsid w:val="003C5EEA"/>
    <w:rsid w:val="003E351D"/>
    <w:rsid w:val="003E7453"/>
    <w:rsid w:val="003E791C"/>
    <w:rsid w:val="003E79E3"/>
    <w:rsid w:val="003F1A04"/>
    <w:rsid w:val="003F2197"/>
    <w:rsid w:val="003F435A"/>
    <w:rsid w:val="004024FB"/>
    <w:rsid w:val="00402D47"/>
    <w:rsid w:val="00403596"/>
    <w:rsid w:val="00403FF5"/>
    <w:rsid w:val="00412052"/>
    <w:rsid w:val="0041795C"/>
    <w:rsid w:val="00420545"/>
    <w:rsid w:val="004208CB"/>
    <w:rsid w:val="004275D9"/>
    <w:rsid w:val="004304EB"/>
    <w:rsid w:val="0043127F"/>
    <w:rsid w:val="0043160A"/>
    <w:rsid w:val="00431A03"/>
    <w:rsid w:val="00431F03"/>
    <w:rsid w:val="00433500"/>
    <w:rsid w:val="00433CD8"/>
    <w:rsid w:val="00433FC2"/>
    <w:rsid w:val="00436F3F"/>
    <w:rsid w:val="00437246"/>
    <w:rsid w:val="00440AAE"/>
    <w:rsid w:val="004438F0"/>
    <w:rsid w:val="00445B21"/>
    <w:rsid w:val="004462ED"/>
    <w:rsid w:val="00450438"/>
    <w:rsid w:val="00450E6C"/>
    <w:rsid w:val="00451C7C"/>
    <w:rsid w:val="00452126"/>
    <w:rsid w:val="0045636D"/>
    <w:rsid w:val="00456B4F"/>
    <w:rsid w:val="0045745A"/>
    <w:rsid w:val="00461F61"/>
    <w:rsid w:val="00465FA4"/>
    <w:rsid w:val="00466105"/>
    <w:rsid w:val="00467BC4"/>
    <w:rsid w:val="0047139A"/>
    <w:rsid w:val="00472478"/>
    <w:rsid w:val="0047313A"/>
    <w:rsid w:val="004748A1"/>
    <w:rsid w:val="00475CE3"/>
    <w:rsid w:val="00476B5C"/>
    <w:rsid w:val="004778EF"/>
    <w:rsid w:val="00482CDA"/>
    <w:rsid w:val="00483A54"/>
    <w:rsid w:val="004928B6"/>
    <w:rsid w:val="0049458D"/>
    <w:rsid w:val="00494A56"/>
    <w:rsid w:val="00494D94"/>
    <w:rsid w:val="0049524E"/>
    <w:rsid w:val="004A1956"/>
    <w:rsid w:val="004A1E93"/>
    <w:rsid w:val="004A2BEB"/>
    <w:rsid w:val="004A32D5"/>
    <w:rsid w:val="004B09A2"/>
    <w:rsid w:val="004B21A7"/>
    <w:rsid w:val="004B325A"/>
    <w:rsid w:val="004B3352"/>
    <w:rsid w:val="004B4BD3"/>
    <w:rsid w:val="004B734D"/>
    <w:rsid w:val="004B7B08"/>
    <w:rsid w:val="004C40B0"/>
    <w:rsid w:val="004C4DF0"/>
    <w:rsid w:val="004C4EBA"/>
    <w:rsid w:val="004C6EF7"/>
    <w:rsid w:val="004D031B"/>
    <w:rsid w:val="004D0930"/>
    <w:rsid w:val="004D144E"/>
    <w:rsid w:val="004D1C8E"/>
    <w:rsid w:val="004D4C5E"/>
    <w:rsid w:val="004D5E7D"/>
    <w:rsid w:val="004D65A1"/>
    <w:rsid w:val="004E1A8B"/>
    <w:rsid w:val="004E4435"/>
    <w:rsid w:val="004F3856"/>
    <w:rsid w:val="005005A2"/>
    <w:rsid w:val="0050070D"/>
    <w:rsid w:val="00502AE5"/>
    <w:rsid w:val="005036DF"/>
    <w:rsid w:val="00511AAD"/>
    <w:rsid w:val="00512AEB"/>
    <w:rsid w:val="00514E69"/>
    <w:rsid w:val="00515552"/>
    <w:rsid w:val="00517D09"/>
    <w:rsid w:val="0052105C"/>
    <w:rsid w:val="00522DA4"/>
    <w:rsid w:val="005261D3"/>
    <w:rsid w:val="0052752D"/>
    <w:rsid w:val="0052799A"/>
    <w:rsid w:val="00530B0C"/>
    <w:rsid w:val="005318D5"/>
    <w:rsid w:val="00534416"/>
    <w:rsid w:val="00535E29"/>
    <w:rsid w:val="0054031E"/>
    <w:rsid w:val="00540488"/>
    <w:rsid w:val="00540E4A"/>
    <w:rsid w:val="005423CE"/>
    <w:rsid w:val="005426B3"/>
    <w:rsid w:val="00542A4E"/>
    <w:rsid w:val="00543639"/>
    <w:rsid w:val="005454BB"/>
    <w:rsid w:val="00550A3E"/>
    <w:rsid w:val="00554605"/>
    <w:rsid w:val="00556956"/>
    <w:rsid w:val="00557603"/>
    <w:rsid w:val="0056142E"/>
    <w:rsid w:val="005624D6"/>
    <w:rsid w:val="00562E16"/>
    <w:rsid w:val="00566B81"/>
    <w:rsid w:val="005721D8"/>
    <w:rsid w:val="005741AD"/>
    <w:rsid w:val="0057530B"/>
    <w:rsid w:val="00575753"/>
    <w:rsid w:val="005810F4"/>
    <w:rsid w:val="0058420C"/>
    <w:rsid w:val="00584B79"/>
    <w:rsid w:val="00591B7D"/>
    <w:rsid w:val="005920B1"/>
    <w:rsid w:val="0059243D"/>
    <w:rsid w:val="00593811"/>
    <w:rsid w:val="00595485"/>
    <w:rsid w:val="00595979"/>
    <w:rsid w:val="00595A84"/>
    <w:rsid w:val="005A1F09"/>
    <w:rsid w:val="005A412A"/>
    <w:rsid w:val="005A48C2"/>
    <w:rsid w:val="005A6E7E"/>
    <w:rsid w:val="005C11E3"/>
    <w:rsid w:val="005C1851"/>
    <w:rsid w:val="005C5A47"/>
    <w:rsid w:val="005C693B"/>
    <w:rsid w:val="005D223A"/>
    <w:rsid w:val="005D3FB4"/>
    <w:rsid w:val="005D5C7A"/>
    <w:rsid w:val="005D6513"/>
    <w:rsid w:val="005E49C3"/>
    <w:rsid w:val="005E5673"/>
    <w:rsid w:val="006005D5"/>
    <w:rsid w:val="00602A4E"/>
    <w:rsid w:val="0060525F"/>
    <w:rsid w:val="00605935"/>
    <w:rsid w:val="00606EBA"/>
    <w:rsid w:val="00607430"/>
    <w:rsid w:val="006106B8"/>
    <w:rsid w:val="006114BA"/>
    <w:rsid w:val="00611DA0"/>
    <w:rsid w:val="006132FE"/>
    <w:rsid w:val="006153B8"/>
    <w:rsid w:val="006161D6"/>
    <w:rsid w:val="006163A9"/>
    <w:rsid w:val="00621C66"/>
    <w:rsid w:val="00630028"/>
    <w:rsid w:val="00634F4C"/>
    <w:rsid w:val="00636361"/>
    <w:rsid w:val="00636EB5"/>
    <w:rsid w:val="00641115"/>
    <w:rsid w:val="00641B08"/>
    <w:rsid w:val="00643706"/>
    <w:rsid w:val="006467C5"/>
    <w:rsid w:val="00646A65"/>
    <w:rsid w:val="00646C7E"/>
    <w:rsid w:val="006554CE"/>
    <w:rsid w:val="00656CDF"/>
    <w:rsid w:val="00660283"/>
    <w:rsid w:val="006608D3"/>
    <w:rsid w:val="0066246C"/>
    <w:rsid w:val="00663B29"/>
    <w:rsid w:val="00672194"/>
    <w:rsid w:val="006764A8"/>
    <w:rsid w:val="00677CBA"/>
    <w:rsid w:val="0068060D"/>
    <w:rsid w:val="00685191"/>
    <w:rsid w:val="00686044"/>
    <w:rsid w:val="006860F0"/>
    <w:rsid w:val="006864A3"/>
    <w:rsid w:val="0069141C"/>
    <w:rsid w:val="00691A1D"/>
    <w:rsid w:val="00692982"/>
    <w:rsid w:val="00692DC8"/>
    <w:rsid w:val="006A1F47"/>
    <w:rsid w:val="006A6E5A"/>
    <w:rsid w:val="006B59ED"/>
    <w:rsid w:val="006B7294"/>
    <w:rsid w:val="006C1FC4"/>
    <w:rsid w:val="006C2843"/>
    <w:rsid w:val="006C47F9"/>
    <w:rsid w:val="006C4F0F"/>
    <w:rsid w:val="006D4F61"/>
    <w:rsid w:val="006D6E32"/>
    <w:rsid w:val="006E2D09"/>
    <w:rsid w:val="006E4844"/>
    <w:rsid w:val="006E4D73"/>
    <w:rsid w:val="006E5E2F"/>
    <w:rsid w:val="006E6393"/>
    <w:rsid w:val="006E7395"/>
    <w:rsid w:val="006F11E4"/>
    <w:rsid w:val="006F29C3"/>
    <w:rsid w:val="006F58F9"/>
    <w:rsid w:val="007011F3"/>
    <w:rsid w:val="00702128"/>
    <w:rsid w:val="00702AAF"/>
    <w:rsid w:val="00703F48"/>
    <w:rsid w:val="00705294"/>
    <w:rsid w:val="00705B84"/>
    <w:rsid w:val="00714C1D"/>
    <w:rsid w:val="007249A3"/>
    <w:rsid w:val="00727879"/>
    <w:rsid w:val="00732D00"/>
    <w:rsid w:val="00733567"/>
    <w:rsid w:val="00736A8C"/>
    <w:rsid w:val="0073741E"/>
    <w:rsid w:val="00741737"/>
    <w:rsid w:val="00743520"/>
    <w:rsid w:val="007450ED"/>
    <w:rsid w:val="0074756D"/>
    <w:rsid w:val="00750B0E"/>
    <w:rsid w:val="007544F4"/>
    <w:rsid w:val="0076109D"/>
    <w:rsid w:val="00762E07"/>
    <w:rsid w:val="00765D5B"/>
    <w:rsid w:val="007667EF"/>
    <w:rsid w:val="007672E8"/>
    <w:rsid w:val="00767E1A"/>
    <w:rsid w:val="00767F31"/>
    <w:rsid w:val="00770FDE"/>
    <w:rsid w:val="007724C0"/>
    <w:rsid w:val="00775A03"/>
    <w:rsid w:val="007811A3"/>
    <w:rsid w:val="00782FF2"/>
    <w:rsid w:val="007855EC"/>
    <w:rsid w:val="007863AC"/>
    <w:rsid w:val="00794C46"/>
    <w:rsid w:val="00794D7E"/>
    <w:rsid w:val="007A3873"/>
    <w:rsid w:val="007A5966"/>
    <w:rsid w:val="007B31DC"/>
    <w:rsid w:val="007B648F"/>
    <w:rsid w:val="007B68BE"/>
    <w:rsid w:val="007C13B3"/>
    <w:rsid w:val="007C1682"/>
    <w:rsid w:val="007C42AF"/>
    <w:rsid w:val="007C7A0B"/>
    <w:rsid w:val="007D070E"/>
    <w:rsid w:val="007D168D"/>
    <w:rsid w:val="007D4F9D"/>
    <w:rsid w:val="007E4393"/>
    <w:rsid w:val="007E6554"/>
    <w:rsid w:val="007F0A81"/>
    <w:rsid w:val="007F0EF4"/>
    <w:rsid w:val="007F180F"/>
    <w:rsid w:val="007F3FC6"/>
    <w:rsid w:val="007F46DE"/>
    <w:rsid w:val="0080213C"/>
    <w:rsid w:val="008023BA"/>
    <w:rsid w:val="00803468"/>
    <w:rsid w:val="00810A10"/>
    <w:rsid w:val="00811793"/>
    <w:rsid w:val="008122A8"/>
    <w:rsid w:val="00812690"/>
    <w:rsid w:val="00813A6D"/>
    <w:rsid w:val="00821F2A"/>
    <w:rsid w:val="008223B5"/>
    <w:rsid w:val="008279FD"/>
    <w:rsid w:val="0083365D"/>
    <w:rsid w:val="008348B6"/>
    <w:rsid w:val="00834B41"/>
    <w:rsid w:val="00835F86"/>
    <w:rsid w:val="0083745E"/>
    <w:rsid w:val="00840DF6"/>
    <w:rsid w:val="00842C06"/>
    <w:rsid w:val="00843F7B"/>
    <w:rsid w:val="0084755C"/>
    <w:rsid w:val="00855605"/>
    <w:rsid w:val="00856BF6"/>
    <w:rsid w:val="008646D3"/>
    <w:rsid w:val="00864FE0"/>
    <w:rsid w:val="008676DC"/>
    <w:rsid w:val="00870FA7"/>
    <w:rsid w:val="00871BF2"/>
    <w:rsid w:val="008724A6"/>
    <w:rsid w:val="00872ADC"/>
    <w:rsid w:val="0087480B"/>
    <w:rsid w:val="00874CB4"/>
    <w:rsid w:val="008764AD"/>
    <w:rsid w:val="00877891"/>
    <w:rsid w:val="00877CAB"/>
    <w:rsid w:val="008832AA"/>
    <w:rsid w:val="00883931"/>
    <w:rsid w:val="00883D13"/>
    <w:rsid w:val="00885777"/>
    <w:rsid w:val="008859AF"/>
    <w:rsid w:val="0088690D"/>
    <w:rsid w:val="00897BAC"/>
    <w:rsid w:val="008A00BB"/>
    <w:rsid w:val="008A6C30"/>
    <w:rsid w:val="008B0414"/>
    <w:rsid w:val="008B2E0E"/>
    <w:rsid w:val="008B5D15"/>
    <w:rsid w:val="008C01E5"/>
    <w:rsid w:val="008C739C"/>
    <w:rsid w:val="008C7D4A"/>
    <w:rsid w:val="008D07A7"/>
    <w:rsid w:val="008D2197"/>
    <w:rsid w:val="008D23F7"/>
    <w:rsid w:val="008D4DA1"/>
    <w:rsid w:val="008E3E5C"/>
    <w:rsid w:val="008E7CE9"/>
    <w:rsid w:val="008F48FC"/>
    <w:rsid w:val="008F5512"/>
    <w:rsid w:val="0090041A"/>
    <w:rsid w:val="00903A18"/>
    <w:rsid w:val="00905256"/>
    <w:rsid w:val="009119BA"/>
    <w:rsid w:val="009123CB"/>
    <w:rsid w:val="009142B4"/>
    <w:rsid w:val="009179C5"/>
    <w:rsid w:val="009256ED"/>
    <w:rsid w:val="00926A1A"/>
    <w:rsid w:val="009275BC"/>
    <w:rsid w:val="00927A85"/>
    <w:rsid w:val="009361C7"/>
    <w:rsid w:val="0093673C"/>
    <w:rsid w:val="00936A8B"/>
    <w:rsid w:val="00940ADB"/>
    <w:rsid w:val="00942C6A"/>
    <w:rsid w:val="009435E6"/>
    <w:rsid w:val="00947A01"/>
    <w:rsid w:val="00953A3F"/>
    <w:rsid w:val="0095418A"/>
    <w:rsid w:val="00954A9F"/>
    <w:rsid w:val="00954BE3"/>
    <w:rsid w:val="009550BB"/>
    <w:rsid w:val="00957520"/>
    <w:rsid w:val="00957B72"/>
    <w:rsid w:val="009609D9"/>
    <w:rsid w:val="00961E9C"/>
    <w:rsid w:val="009631D2"/>
    <w:rsid w:val="00971C4F"/>
    <w:rsid w:val="00972326"/>
    <w:rsid w:val="00973E9A"/>
    <w:rsid w:val="0097424B"/>
    <w:rsid w:val="009816AC"/>
    <w:rsid w:val="00982A9C"/>
    <w:rsid w:val="0098685A"/>
    <w:rsid w:val="009869A3"/>
    <w:rsid w:val="00992A29"/>
    <w:rsid w:val="0099362B"/>
    <w:rsid w:val="009A0E5C"/>
    <w:rsid w:val="009A18D3"/>
    <w:rsid w:val="009A1FCE"/>
    <w:rsid w:val="009A25DB"/>
    <w:rsid w:val="009B0668"/>
    <w:rsid w:val="009B23D6"/>
    <w:rsid w:val="009B296F"/>
    <w:rsid w:val="009B3D47"/>
    <w:rsid w:val="009B3E6C"/>
    <w:rsid w:val="009C4BCA"/>
    <w:rsid w:val="009C60B2"/>
    <w:rsid w:val="009D10F6"/>
    <w:rsid w:val="009D3535"/>
    <w:rsid w:val="009E12DB"/>
    <w:rsid w:val="009E29F0"/>
    <w:rsid w:val="009F07E4"/>
    <w:rsid w:val="009F2418"/>
    <w:rsid w:val="009F25B0"/>
    <w:rsid w:val="009F2B3D"/>
    <w:rsid w:val="00A019FB"/>
    <w:rsid w:val="00A02814"/>
    <w:rsid w:val="00A02FFE"/>
    <w:rsid w:val="00A032C7"/>
    <w:rsid w:val="00A04748"/>
    <w:rsid w:val="00A0505C"/>
    <w:rsid w:val="00A107E0"/>
    <w:rsid w:val="00A12853"/>
    <w:rsid w:val="00A13CFF"/>
    <w:rsid w:val="00A205AE"/>
    <w:rsid w:val="00A23AEE"/>
    <w:rsid w:val="00A259F1"/>
    <w:rsid w:val="00A26D74"/>
    <w:rsid w:val="00A278E0"/>
    <w:rsid w:val="00A33373"/>
    <w:rsid w:val="00A3387D"/>
    <w:rsid w:val="00A36487"/>
    <w:rsid w:val="00A36CDE"/>
    <w:rsid w:val="00A36ECD"/>
    <w:rsid w:val="00A37881"/>
    <w:rsid w:val="00A379AF"/>
    <w:rsid w:val="00A40011"/>
    <w:rsid w:val="00A44813"/>
    <w:rsid w:val="00A44E7F"/>
    <w:rsid w:val="00A4523B"/>
    <w:rsid w:val="00A461FD"/>
    <w:rsid w:val="00A46277"/>
    <w:rsid w:val="00A467F0"/>
    <w:rsid w:val="00A5025E"/>
    <w:rsid w:val="00A50C95"/>
    <w:rsid w:val="00A52136"/>
    <w:rsid w:val="00A5660C"/>
    <w:rsid w:val="00A56EBF"/>
    <w:rsid w:val="00A6084E"/>
    <w:rsid w:val="00A61324"/>
    <w:rsid w:val="00A63631"/>
    <w:rsid w:val="00A65ABD"/>
    <w:rsid w:val="00A668AC"/>
    <w:rsid w:val="00A67D7D"/>
    <w:rsid w:val="00A71E48"/>
    <w:rsid w:val="00A72464"/>
    <w:rsid w:val="00A75DF9"/>
    <w:rsid w:val="00A76301"/>
    <w:rsid w:val="00A77C0F"/>
    <w:rsid w:val="00A818F2"/>
    <w:rsid w:val="00A82D10"/>
    <w:rsid w:val="00A842C9"/>
    <w:rsid w:val="00A84C5C"/>
    <w:rsid w:val="00A86BD3"/>
    <w:rsid w:val="00A926E5"/>
    <w:rsid w:val="00A93243"/>
    <w:rsid w:val="00A943E8"/>
    <w:rsid w:val="00A94D8E"/>
    <w:rsid w:val="00A96BB0"/>
    <w:rsid w:val="00A97E3C"/>
    <w:rsid w:val="00AA2380"/>
    <w:rsid w:val="00AA2457"/>
    <w:rsid w:val="00AA3A1B"/>
    <w:rsid w:val="00AB1688"/>
    <w:rsid w:val="00AB39A6"/>
    <w:rsid w:val="00AB49F7"/>
    <w:rsid w:val="00AB4B2A"/>
    <w:rsid w:val="00AB5F8C"/>
    <w:rsid w:val="00AB7D41"/>
    <w:rsid w:val="00AC1268"/>
    <w:rsid w:val="00AC5CAF"/>
    <w:rsid w:val="00AC6171"/>
    <w:rsid w:val="00AC6198"/>
    <w:rsid w:val="00AD0202"/>
    <w:rsid w:val="00AD2163"/>
    <w:rsid w:val="00AD4B62"/>
    <w:rsid w:val="00AD5A71"/>
    <w:rsid w:val="00AE3367"/>
    <w:rsid w:val="00AE3A04"/>
    <w:rsid w:val="00AE6122"/>
    <w:rsid w:val="00AF06E1"/>
    <w:rsid w:val="00AF117B"/>
    <w:rsid w:val="00AF1555"/>
    <w:rsid w:val="00AF3976"/>
    <w:rsid w:val="00AF511A"/>
    <w:rsid w:val="00B051B8"/>
    <w:rsid w:val="00B054B5"/>
    <w:rsid w:val="00B11D9E"/>
    <w:rsid w:val="00B1364A"/>
    <w:rsid w:val="00B1378C"/>
    <w:rsid w:val="00B162D1"/>
    <w:rsid w:val="00B20B3A"/>
    <w:rsid w:val="00B22906"/>
    <w:rsid w:val="00B22AAE"/>
    <w:rsid w:val="00B22CB2"/>
    <w:rsid w:val="00B25CBE"/>
    <w:rsid w:val="00B26966"/>
    <w:rsid w:val="00B312FC"/>
    <w:rsid w:val="00B40040"/>
    <w:rsid w:val="00B4120F"/>
    <w:rsid w:val="00B41261"/>
    <w:rsid w:val="00B42B26"/>
    <w:rsid w:val="00B435C4"/>
    <w:rsid w:val="00B43F06"/>
    <w:rsid w:val="00B452FC"/>
    <w:rsid w:val="00B457FD"/>
    <w:rsid w:val="00B517EC"/>
    <w:rsid w:val="00B53BD3"/>
    <w:rsid w:val="00B540E5"/>
    <w:rsid w:val="00B54FE9"/>
    <w:rsid w:val="00B65088"/>
    <w:rsid w:val="00B65744"/>
    <w:rsid w:val="00B65C7C"/>
    <w:rsid w:val="00B675EB"/>
    <w:rsid w:val="00B67FBA"/>
    <w:rsid w:val="00B70243"/>
    <w:rsid w:val="00B71DD8"/>
    <w:rsid w:val="00B721B1"/>
    <w:rsid w:val="00B83606"/>
    <w:rsid w:val="00B87D1B"/>
    <w:rsid w:val="00B91AAC"/>
    <w:rsid w:val="00B94386"/>
    <w:rsid w:val="00B95364"/>
    <w:rsid w:val="00B958EB"/>
    <w:rsid w:val="00B96227"/>
    <w:rsid w:val="00B9665D"/>
    <w:rsid w:val="00B977F0"/>
    <w:rsid w:val="00BA18BD"/>
    <w:rsid w:val="00BA24CA"/>
    <w:rsid w:val="00BA5501"/>
    <w:rsid w:val="00BA5965"/>
    <w:rsid w:val="00BC0DA7"/>
    <w:rsid w:val="00BC3767"/>
    <w:rsid w:val="00BC38B1"/>
    <w:rsid w:val="00BC3BA3"/>
    <w:rsid w:val="00BC3FA4"/>
    <w:rsid w:val="00BC4C03"/>
    <w:rsid w:val="00BD0A08"/>
    <w:rsid w:val="00BD24C2"/>
    <w:rsid w:val="00BE1CBA"/>
    <w:rsid w:val="00BE27EC"/>
    <w:rsid w:val="00BE7BCC"/>
    <w:rsid w:val="00BF0AEE"/>
    <w:rsid w:val="00BF144F"/>
    <w:rsid w:val="00BF1817"/>
    <w:rsid w:val="00BF1FF8"/>
    <w:rsid w:val="00BF412D"/>
    <w:rsid w:val="00BF458E"/>
    <w:rsid w:val="00BF5581"/>
    <w:rsid w:val="00BF57AD"/>
    <w:rsid w:val="00BF58D5"/>
    <w:rsid w:val="00BF6D3C"/>
    <w:rsid w:val="00BF6F8C"/>
    <w:rsid w:val="00C0576C"/>
    <w:rsid w:val="00C061C1"/>
    <w:rsid w:val="00C06786"/>
    <w:rsid w:val="00C12268"/>
    <w:rsid w:val="00C15982"/>
    <w:rsid w:val="00C168CD"/>
    <w:rsid w:val="00C200A7"/>
    <w:rsid w:val="00C20C85"/>
    <w:rsid w:val="00C2279F"/>
    <w:rsid w:val="00C2341B"/>
    <w:rsid w:val="00C238C0"/>
    <w:rsid w:val="00C24C4E"/>
    <w:rsid w:val="00C24CB9"/>
    <w:rsid w:val="00C255BB"/>
    <w:rsid w:val="00C30558"/>
    <w:rsid w:val="00C31B06"/>
    <w:rsid w:val="00C33392"/>
    <w:rsid w:val="00C3446A"/>
    <w:rsid w:val="00C346F1"/>
    <w:rsid w:val="00C41023"/>
    <w:rsid w:val="00C41B94"/>
    <w:rsid w:val="00C43538"/>
    <w:rsid w:val="00C444A4"/>
    <w:rsid w:val="00C449B2"/>
    <w:rsid w:val="00C470E9"/>
    <w:rsid w:val="00C52CD9"/>
    <w:rsid w:val="00C5662D"/>
    <w:rsid w:val="00C60A1F"/>
    <w:rsid w:val="00C60FC7"/>
    <w:rsid w:val="00C61062"/>
    <w:rsid w:val="00C61189"/>
    <w:rsid w:val="00C63285"/>
    <w:rsid w:val="00C64465"/>
    <w:rsid w:val="00C65CE8"/>
    <w:rsid w:val="00C65FB1"/>
    <w:rsid w:val="00C72EDA"/>
    <w:rsid w:val="00C733CB"/>
    <w:rsid w:val="00C7439A"/>
    <w:rsid w:val="00C7646A"/>
    <w:rsid w:val="00C806B7"/>
    <w:rsid w:val="00C814E0"/>
    <w:rsid w:val="00C842C4"/>
    <w:rsid w:val="00C87ECB"/>
    <w:rsid w:val="00C90334"/>
    <w:rsid w:val="00C93845"/>
    <w:rsid w:val="00C967BC"/>
    <w:rsid w:val="00C97484"/>
    <w:rsid w:val="00C97D1E"/>
    <w:rsid w:val="00CA06B9"/>
    <w:rsid w:val="00CA0C24"/>
    <w:rsid w:val="00CA42B5"/>
    <w:rsid w:val="00CA6386"/>
    <w:rsid w:val="00CA689E"/>
    <w:rsid w:val="00CB688B"/>
    <w:rsid w:val="00CC039A"/>
    <w:rsid w:val="00CC0943"/>
    <w:rsid w:val="00CC37D4"/>
    <w:rsid w:val="00CC4283"/>
    <w:rsid w:val="00CC4A96"/>
    <w:rsid w:val="00CC4BFD"/>
    <w:rsid w:val="00CC7AAD"/>
    <w:rsid w:val="00CD32C0"/>
    <w:rsid w:val="00CD44A5"/>
    <w:rsid w:val="00CD6364"/>
    <w:rsid w:val="00CD7EFA"/>
    <w:rsid w:val="00CE00F7"/>
    <w:rsid w:val="00CE030F"/>
    <w:rsid w:val="00CE063F"/>
    <w:rsid w:val="00CE08E3"/>
    <w:rsid w:val="00CE1215"/>
    <w:rsid w:val="00CE3535"/>
    <w:rsid w:val="00CE5592"/>
    <w:rsid w:val="00CF06A5"/>
    <w:rsid w:val="00CF2499"/>
    <w:rsid w:val="00CF42CC"/>
    <w:rsid w:val="00CF688D"/>
    <w:rsid w:val="00D00A9C"/>
    <w:rsid w:val="00D01948"/>
    <w:rsid w:val="00D024F1"/>
    <w:rsid w:val="00D05AD3"/>
    <w:rsid w:val="00D11365"/>
    <w:rsid w:val="00D11C8C"/>
    <w:rsid w:val="00D16116"/>
    <w:rsid w:val="00D16C06"/>
    <w:rsid w:val="00D21925"/>
    <w:rsid w:val="00D224DC"/>
    <w:rsid w:val="00D2548B"/>
    <w:rsid w:val="00D31522"/>
    <w:rsid w:val="00D31C27"/>
    <w:rsid w:val="00D32CF2"/>
    <w:rsid w:val="00D36F4D"/>
    <w:rsid w:val="00D403F1"/>
    <w:rsid w:val="00D434A6"/>
    <w:rsid w:val="00D4383B"/>
    <w:rsid w:val="00D45304"/>
    <w:rsid w:val="00D458F8"/>
    <w:rsid w:val="00D46330"/>
    <w:rsid w:val="00D5012E"/>
    <w:rsid w:val="00D50358"/>
    <w:rsid w:val="00D50975"/>
    <w:rsid w:val="00D548D4"/>
    <w:rsid w:val="00D554F5"/>
    <w:rsid w:val="00D56432"/>
    <w:rsid w:val="00D5668F"/>
    <w:rsid w:val="00D56A10"/>
    <w:rsid w:val="00D62F80"/>
    <w:rsid w:val="00D65797"/>
    <w:rsid w:val="00D67616"/>
    <w:rsid w:val="00D73839"/>
    <w:rsid w:val="00D73A2F"/>
    <w:rsid w:val="00D74899"/>
    <w:rsid w:val="00D749F7"/>
    <w:rsid w:val="00D74FAA"/>
    <w:rsid w:val="00D820AF"/>
    <w:rsid w:val="00D82434"/>
    <w:rsid w:val="00D843AE"/>
    <w:rsid w:val="00D85383"/>
    <w:rsid w:val="00D85972"/>
    <w:rsid w:val="00D85F7A"/>
    <w:rsid w:val="00D863FD"/>
    <w:rsid w:val="00D867F7"/>
    <w:rsid w:val="00D91EDB"/>
    <w:rsid w:val="00D96A10"/>
    <w:rsid w:val="00DA293E"/>
    <w:rsid w:val="00DA37E0"/>
    <w:rsid w:val="00DA4B02"/>
    <w:rsid w:val="00DA56B5"/>
    <w:rsid w:val="00DA7CE9"/>
    <w:rsid w:val="00DB13CC"/>
    <w:rsid w:val="00DB13DA"/>
    <w:rsid w:val="00DB3210"/>
    <w:rsid w:val="00DB5C83"/>
    <w:rsid w:val="00DB666C"/>
    <w:rsid w:val="00DC4648"/>
    <w:rsid w:val="00DC5CCC"/>
    <w:rsid w:val="00DC6F3B"/>
    <w:rsid w:val="00DC7174"/>
    <w:rsid w:val="00DD1867"/>
    <w:rsid w:val="00DD375E"/>
    <w:rsid w:val="00DD4015"/>
    <w:rsid w:val="00DD42F7"/>
    <w:rsid w:val="00DD5353"/>
    <w:rsid w:val="00DE0265"/>
    <w:rsid w:val="00DE0CF3"/>
    <w:rsid w:val="00DE2A58"/>
    <w:rsid w:val="00DE5282"/>
    <w:rsid w:val="00DE58C5"/>
    <w:rsid w:val="00DE5E0D"/>
    <w:rsid w:val="00DE7074"/>
    <w:rsid w:val="00DF0ADF"/>
    <w:rsid w:val="00DF0E14"/>
    <w:rsid w:val="00DF10B7"/>
    <w:rsid w:val="00DF2830"/>
    <w:rsid w:val="00DF2CF4"/>
    <w:rsid w:val="00E021A8"/>
    <w:rsid w:val="00E06B6F"/>
    <w:rsid w:val="00E074E1"/>
    <w:rsid w:val="00E07CAD"/>
    <w:rsid w:val="00E114E3"/>
    <w:rsid w:val="00E2477A"/>
    <w:rsid w:val="00E3133C"/>
    <w:rsid w:val="00E31548"/>
    <w:rsid w:val="00E31573"/>
    <w:rsid w:val="00E31C76"/>
    <w:rsid w:val="00E322B0"/>
    <w:rsid w:val="00E3282E"/>
    <w:rsid w:val="00E33295"/>
    <w:rsid w:val="00E36483"/>
    <w:rsid w:val="00E401C1"/>
    <w:rsid w:val="00E40FC4"/>
    <w:rsid w:val="00E430E3"/>
    <w:rsid w:val="00E43EDE"/>
    <w:rsid w:val="00E448C5"/>
    <w:rsid w:val="00E45A54"/>
    <w:rsid w:val="00E45A5B"/>
    <w:rsid w:val="00E45F5E"/>
    <w:rsid w:val="00E54D40"/>
    <w:rsid w:val="00E669EE"/>
    <w:rsid w:val="00E70EDC"/>
    <w:rsid w:val="00E712F3"/>
    <w:rsid w:val="00E7140A"/>
    <w:rsid w:val="00E727F1"/>
    <w:rsid w:val="00E739B0"/>
    <w:rsid w:val="00E75780"/>
    <w:rsid w:val="00E82FB6"/>
    <w:rsid w:val="00E84D07"/>
    <w:rsid w:val="00E868AD"/>
    <w:rsid w:val="00E871B8"/>
    <w:rsid w:val="00E90D41"/>
    <w:rsid w:val="00E94D5C"/>
    <w:rsid w:val="00EA0964"/>
    <w:rsid w:val="00EA1CDC"/>
    <w:rsid w:val="00EA2B35"/>
    <w:rsid w:val="00EA4245"/>
    <w:rsid w:val="00EA6554"/>
    <w:rsid w:val="00EA7A8F"/>
    <w:rsid w:val="00EB6204"/>
    <w:rsid w:val="00EC4F78"/>
    <w:rsid w:val="00EC5326"/>
    <w:rsid w:val="00ED105A"/>
    <w:rsid w:val="00ED16AE"/>
    <w:rsid w:val="00ED1C32"/>
    <w:rsid w:val="00ED37D7"/>
    <w:rsid w:val="00ED7CB1"/>
    <w:rsid w:val="00EE0FEE"/>
    <w:rsid w:val="00EE2C03"/>
    <w:rsid w:val="00EE32D5"/>
    <w:rsid w:val="00EE39AF"/>
    <w:rsid w:val="00EE3E9B"/>
    <w:rsid w:val="00EE4E65"/>
    <w:rsid w:val="00EE74AB"/>
    <w:rsid w:val="00EE7D91"/>
    <w:rsid w:val="00EF0CE1"/>
    <w:rsid w:val="00EF18D7"/>
    <w:rsid w:val="00EF227F"/>
    <w:rsid w:val="00F04404"/>
    <w:rsid w:val="00F04AC0"/>
    <w:rsid w:val="00F05BA1"/>
    <w:rsid w:val="00F0716E"/>
    <w:rsid w:val="00F110D7"/>
    <w:rsid w:val="00F13F3F"/>
    <w:rsid w:val="00F20275"/>
    <w:rsid w:val="00F20D36"/>
    <w:rsid w:val="00F21534"/>
    <w:rsid w:val="00F2187C"/>
    <w:rsid w:val="00F224F1"/>
    <w:rsid w:val="00F25E29"/>
    <w:rsid w:val="00F266B0"/>
    <w:rsid w:val="00F27226"/>
    <w:rsid w:val="00F33E1A"/>
    <w:rsid w:val="00F40A0D"/>
    <w:rsid w:val="00F40E07"/>
    <w:rsid w:val="00F42AA1"/>
    <w:rsid w:val="00F43B77"/>
    <w:rsid w:val="00F442D3"/>
    <w:rsid w:val="00F46AB6"/>
    <w:rsid w:val="00F50B79"/>
    <w:rsid w:val="00F53187"/>
    <w:rsid w:val="00F5567D"/>
    <w:rsid w:val="00F563A2"/>
    <w:rsid w:val="00F57E20"/>
    <w:rsid w:val="00F63E84"/>
    <w:rsid w:val="00F70ADA"/>
    <w:rsid w:val="00F73B78"/>
    <w:rsid w:val="00F75710"/>
    <w:rsid w:val="00F76181"/>
    <w:rsid w:val="00F76594"/>
    <w:rsid w:val="00F77A92"/>
    <w:rsid w:val="00F862C7"/>
    <w:rsid w:val="00F866DD"/>
    <w:rsid w:val="00F90BF2"/>
    <w:rsid w:val="00F90EA8"/>
    <w:rsid w:val="00F90F12"/>
    <w:rsid w:val="00F91862"/>
    <w:rsid w:val="00F93BE5"/>
    <w:rsid w:val="00FA1698"/>
    <w:rsid w:val="00FA2B0A"/>
    <w:rsid w:val="00FA4194"/>
    <w:rsid w:val="00FA4FB3"/>
    <w:rsid w:val="00FB0208"/>
    <w:rsid w:val="00FB0CF8"/>
    <w:rsid w:val="00FB264D"/>
    <w:rsid w:val="00FB2C20"/>
    <w:rsid w:val="00FB31C3"/>
    <w:rsid w:val="00FB32A6"/>
    <w:rsid w:val="00FB420B"/>
    <w:rsid w:val="00FC0B9E"/>
    <w:rsid w:val="00FD0BAE"/>
    <w:rsid w:val="00FD2846"/>
    <w:rsid w:val="00FD6102"/>
    <w:rsid w:val="00FE07C6"/>
    <w:rsid w:val="00FE0B36"/>
    <w:rsid w:val="00FE1E1A"/>
    <w:rsid w:val="00FE35FE"/>
    <w:rsid w:val="00FE6EE5"/>
    <w:rsid w:val="00FF1FC7"/>
    <w:rsid w:val="00FF4468"/>
    <w:rsid w:val="00FF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EC15CA-225C-4BEB-9F7A-E3734072FBFE}">
  <ds:schemaRefs>
    <ds:schemaRef ds:uri="http://schemas.microsoft.com/sharepoint/v3/contenttype/forms"/>
  </ds:schemaRefs>
</ds:datastoreItem>
</file>

<file path=customXml/itemProps3.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751F5C-D70A-4FA7-A757-06A5890D8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7</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cp:lastModifiedBy>
  <cp:revision>40</cp:revision>
  <dcterms:created xsi:type="dcterms:W3CDTF">2021-06-28T19:04:00Z</dcterms:created>
  <dcterms:modified xsi:type="dcterms:W3CDTF">2021-07-13T15:10:00Z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