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0A2D" w:rsidRDefault="00E80B22">
      <w:pPr>
        <w:pStyle w:val="Title"/>
      </w:pPr>
      <w:bookmarkStart w:id="0" w:name="_uup5r8dq7gxf" w:colFirst="0" w:colLast="0"/>
      <w:bookmarkEnd w:id="0"/>
      <w:r>
        <w:t>Updates to V19 Rules based on Public Review</w:t>
      </w:r>
    </w:p>
    <w:p w14:paraId="00000002" w14:textId="77777777" w:rsidR="00FD0A2D" w:rsidRDefault="00FD0A2D"/>
    <w:p w14:paraId="00000003" w14:textId="6FB8F826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>0141 to handle a reconciliation between interest and non interest Items. The rule will not flag an error if an element</w:t>
      </w:r>
      <w:r>
        <w:rPr>
          <w:color w:val="24292E"/>
          <w:sz w:val="21"/>
          <w:szCs w:val="21"/>
          <w:highlight w:val="white"/>
        </w:rPr>
        <w:t xml:space="preserve"> including interest accrual is used if it is part of a reconciliation to elements excluding accrued interest.</w:t>
      </w:r>
    </w:p>
    <w:p w14:paraId="00000004" w14:textId="6B07D197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 xml:space="preserve">Updated </w:t>
      </w:r>
      <w:r>
        <w:rPr>
          <w:color w:val="24292E"/>
          <w:sz w:val="21"/>
          <w:szCs w:val="21"/>
          <w:highlight w:val="white"/>
        </w:rPr>
        <w:t>the message for rule DQC_</w:t>
      </w:r>
      <w:r>
        <w:rPr>
          <w:color w:val="24292E"/>
          <w:sz w:val="21"/>
          <w:szCs w:val="21"/>
          <w:highlight w:val="white"/>
        </w:rPr>
        <w:t>0139 to indicate a 2.5%</w:t>
      </w:r>
      <w:r>
        <w:rPr>
          <w:color w:val="24292E"/>
          <w:sz w:val="21"/>
          <w:szCs w:val="21"/>
          <w:highlight w:val="white"/>
        </w:rPr>
        <w:t xml:space="preserve"> buffer amount incorporated</w:t>
      </w:r>
      <w:r>
        <w:rPr>
          <w:color w:val="24292E"/>
          <w:sz w:val="21"/>
          <w:szCs w:val="21"/>
          <w:highlight w:val="white"/>
        </w:rPr>
        <w:t xml:space="preserve"> in capital adequacy ratios reported in the percentage and monetary elements.</w:t>
      </w:r>
    </w:p>
    <w:p w14:paraId="00000005" w14:textId="7EAFC342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Removed duplicate rule 6823 in DQC_</w:t>
      </w:r>
      <w:r>
        <w:rPr>
          <w:color w:val="24292E"/>
          <w:sz w:val="21"/>
          <w:szCs w:val="21"/>
          <w:highlight w:val="white"/>
        </w:rPr>
        <w:t>0011 which checked that AccumulatedOtherComprehensiveIncomeLossNet</w:t>
      </w:r>
      <w:r>
        <w:rPr>
          <w:color w:val="24292E"/>
          <w:sz w:val="21"/>
          <w:szCs w:val="21"/>
          <w:highlight w:val="white"/>
        </w:rPr>
        <w:t>OfTax matched its dimensional equivalent</w:t>
      </w:r>
    </w:p>
    <w:p w14:paraId="00000006" w14:textId="1053441D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>0118 to consistently handle cases where a fact had 2 or more dimensions in the face of the financial statements.</w:t>
      </w:r>
    </w:p>
    <w:p w14:paraId="00000007" w14:textId="7F951982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 xml:space="preserve">0118 to handle default dimensions correctly. The rule did not apply </w:t>
      </w:r>
      <w:r>
        <w:rPr>
          <w:color w:val="24292E"/>
          <w:sz w:val="21"/>
          <w:szCs w:val="21"/>
          <w:highlight w:val="white"/>
        </w:rPr>
        <w:t>the default unless it was explicitly defined on the cube. The update determines the default on the axis by looking at all the axis defined in the submission.</w:t>
      </w:r>
    </w:p>
    <w:p w14:paraId="00000008" w14:textId="3E716797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Removed the element PostemploymentBenefitExpenseDefinedBenefitPlans from non negs for IFRS filers (DQC_0080)</w:t>
      </w:r>
      <w:r>
        <w:rPr>
          <w:color w:val="24292E"/>
          <w:sz w:val="21"/>
          <w:szCs w:val="21"/>
          <w:highlight w:val="white"/>
        </w:rPr>
        <w:t>.</w:t>
      </w:r>
    </w:p>
    <w:p w14:paraId="00000009" w14:textId="547B037E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Added an exception axis for DQC_</w:t>
      </w:r>
      <w:r>
        <w:rPr>
          <w:color w:val="24292E"/>
          <w:sz w:val="21"/>
          <w:szCs w:val="21"/>
          <w:highlight w:val="white"/>
        </w:rPr>
        <w:t>0015 for the newly defined axis us-gaap-supplement:InvestmentIdentifierAxis that applies to BDC’s.</w:t>
      </w:r>
    </w:p>
    <w:p w14:paraId="0000000A" w14:textId="1075A8F9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>0047 to handle the reporting of cash flow statements for a BDC. The element InvestmentCompanyNetAssetsFromO</w:t>
      </w:r>
      <w:r>
        <w:rPr>
          <w:color w:val="24292E"/>
          <w:sz w:val="21"/>
          <w:szCs w:val="21"/>
          <w:highlight w:val="white"/>
        </w:rPr>
        <w:t>perationsIncreaseDecrease is used as the starting point for the cash flow items for income for a BDC. This was added to the list of income statement items.</w:t>
      </w:r>
    </w:p>
    <w:p w14:paraId="0000000B" w14:textId="40F5D64E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>0081 to</w:t>
      </w:r>
      <w:r>
        <w:rPr>
          <w:color w:val="24292E"/>
          <w:sz w:val="21"/>
          <w:szCs w:val="21"/>
          <w:highlight w:val="white"/>
        </w:rPr>
        <w:t xml:space="preserve"> improve performance.</w:t>
      </w:r>
    </w:p>
    <w:p w14:paraId="0000000C" w14:textId="40128851" w:rsidR="00FD0A2D" w:rsidRDefault="00E80B22">
      <w:pPr>
        <w:numPr>
          <w:ilvl w:val="0"/>
          <w:numId w:val="2"/>
        </w:numP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>0131 to have a tolerance for decimal</w:t>
      </w:r>
      <w:r>
        <w:rPr>
          <w:color w:val="24292E"/>
          <w:sz w:val="21"/>
          <w:szCs w:val="21"/>
          <w:highlight w:val="white"/>
        </w:rPr>
        <w:t>s when comparing the values for leases.</w:t>
      </w:r>
    </w:p>
    <w:p w14:paraId="0000000D" w14:textId="1AF052EF" w:rsidR="00FD0A2D" w:rsidRDefault="00E80B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>0108 that checks consistency across time, to take into account dimensions that allow values to go negative.</w:t>
      </w:r>
    </w:p>
    <w:p w14:paraId="0000000E" w14:textId="71AFE473" w:rsidR="00FD0A2D" w:rsidRDefault="00E80B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rule DQC_</w:t>
      </w:r>
      <w:r>
        <w:rPr>
          <w:color w:val="24292E"/>
          <w:sz w:val="21"/>
          <w:szCs w:val="21"/>
          <w:highlight w:val="white"/>
        </w:rPr>
        <w:t>0055 for foreign Plan member guidance updated by the FASB.</w:t>
      </w:r>
    </w:p>
    <w:p w14:paraId="0000000F" w14:textId="2C8BDFDD" w:rsidR="00FD0A2D" w:rsidRDefault="00E80B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Updated the mes</w:t>
      </w:r>
      <w:r>
        <w:rPr>
          <w:color w:val="24292E"/>
          <w:sz w:val="21"/>
          <w:szCs w:val="21"/>
          <w:highlight w:val="white"/>
        </w:rPr>
        <w:t>sage in rule DQC_</w:t>
      </w:r>
      <w:r>
        <w:rPr>
          <w:color w:val="24292E"/>
          <w:sz w:val="21"/>
          <w:szCs w:val="21"/>
          <w:highlight w:val="white"/>
        </w:rPr>
        <w:t>0139 to report 100% rather than the integer 1.</w:t>
      </w:r>
    </w:p>
    <w:p w14:paraId="00000010" w14:textId="707B80EB" w:rsidR="00FD0A2D" w:rsidRDefault="00E80B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Removed the following non neg elements from DQC_</w:t>
      </w:r>
      <w:r>
        <w:rPr>
          <w:color w:val="24292E"/>
          <w:sz w:val="21"/>
          <w:szCs w:val="21"/>
          <w:highlight w:val="white"/>
        </w:rPr>
        <w:t>0015 as the invest taxonomy has been discontinued:</w:t>
      </w:r>
    </w:p>
    <w:p w14:paraId="00000011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1427,invest:DerivativeNonmonetaryNotionalAmount</w:t>
      </w:r>
    </w:p>
    <w:p w14:paraId="00000012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1428,invest:DerivativeNotionalAmount</w:t>
      </w:r>
    </w:p>
    <w:p w14:paraId="00000013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1430,inv</w:t>
      </w: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est:InvestmentForeignCurrencyContractForeignCurrencyAmount</w:t>
      </w:r>
    </w:p>
    <w:p w14:paraId="00000014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1431,invest:InvestmentForeignCurrencyContractReportingCurrencyAmountAtDateOfOrigin</w:t>
      </w:r>
    </w:p>
    <w:p w14:paraId="00000015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1432,invest:InvestmentInterestRate</w:t>
      </w:r>
    </w:p>
    <w:p w14:paraId="00000016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1433,invest:InvestmentInterestRateRangeEnd</w:t>
      </w:r>
    </w:p>
    <w:p w14:paraId="00000017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1434,invest:InvestmentInterestRateRangeStart</w:t>
      </w:r>
    </w:p>
    <w:p w14:paraId="00000018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1435,invest:InvestmentOptionsExercisePrice</w:t>
      </w:r>
    </w:p>
    <w:p w14:paraId="00000019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1436,invest:InvestmentRepurchaseAgreementAmountToBeReceived</w:t>
      </w:r>
    </w:p>
    <w:p w14:paraId="0000001A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4502,invest:InvestmentContractVolume</w:t>
      </w:r>
    </w:p>
    <w:p w14:paraId="0000001B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4503,invest:InvestmentContractWeight</w:t>
      </w:r>
    </w:p>
    <w:p w14:paraId="0000001C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4504,invest:InvestmentForeignCurre</w:t>
      </w: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ncyContractAmountPurchased</w:t>
      </w:r>
    </w:p>
    <w:p w14:paraId="0000001D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4505,invest:InvestmentForeignCurrencyContractAmountSold</w:t>
      </w:r>
    </w:p>
    <w:p w14:paraId="0000001E" w14:textId="77777777" w:rsidR="00FD0A2D" w:rsidRDefault="00E80B22">
      <w:pPr>
        <w:numPr>
          <w:ilvl w:val="0"/>
          <w:numId w:val="1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4511,invest:InvestmentWarrantsExercisePrice</w:t>
      </w:r>
    </w:p>
    <w:p w14:paraId="0000001F" w14:textId="23D8C58D" w:rsidR="00FD0A2D" w:rsidRDefault="00E80B22">
      <w:pPr>
        <w:numPr>
          <w:ilvl w:val="0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color w:val="24292E"/>
          <w:sz w:val="21"/>
          <w:szCs w:val="21"/>
          <w:highlight w:val="white"/>
        </w:rPr>
        <w:lastRenderedPageBreak/>
        <w:t xml:space="preserve">Removed the following items from the non neg list (DQC_0015) </w:t>
      </w:r>
      <w:r>
        <w:rPr>
          <w:color w:val="24292E"/>
          <w:sz w:val="21"/>
          <w:szCs w:val="21"/>
          <w:highlight w:val="white"/>
        </w:rPr>
        <w:t>as they can go negative in certain situations related to ceded insurance contra</w:t>
      </w:r>
      <w:r>
        <w:rPr>
          <w:color w:val="24292E"/>
          <w:sz w:val="21"/>
          <w:szCs w:val="21"/>
          <w:highlight w:val="white"/>
        </w:rPr>
        <w:t>cts and negative interest rates</w:t>
      </w:r>
    </w:p>
    <w:p w14:paraId="00000020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AssumedPremiumsEarned</w:t>
      </w:r>
    </w:p>
    <w:p w14:paraId="00000021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InterestExpense</w:t>
      </w:r>
    </w:p>
    <w:p w14:paraId="00000022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InterestExpenseFederalFundsPurchased</w:t>
      </w:r>
    </w:p>
    <w:p w14:paraId="00000023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InterestExpenseShortTermBorrowings</w:t>
      </w:r>
    </w:p>
    <w:p w14:paraId="00000024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InterestIncomeFederalFundsSoldAndSecuritiesPurchasedUnderAgreementsToResell</w:t>
      </w:r>
    </w:p>
    <w:p w14:paraId="00000025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PolicyholderBenefitsAndClaimsIncurredG</w:t>
      </w: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ross</w:t>
      </w:r>
    </w:p>
    <w:p w14:paraId="00000026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PremiumsWrittenGrossFinancingReceivableAllowanceForCreditLosses</w:t>
      </w:r>
    </w:p>
    <w:p w14:paraId="00000027" w14:textId="77777777" w:rsidR="00FD0A2D" w:rsidRDefault="00E80B22">
      <w:pPr>
        <w:numPr>
          <w:ilvl w:val="1"/>
          <w:numId w:val="2"/>
        </w:num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  <w:r>
        <w:rPr>
          <w:rFonts w:ascii="Consolas" w:eastAsia="Consolas" w:hAnsi="Consolas" w:cs="Consolas"/>
          <w:color w:val="24292E"/>
          <w:sz w:val="17"/>
          <w:szCs w:val="17"/>
          <w:highlight w:val="white"/>
        </w:rPr>
        <w:t>DebtSecuritiesAvailableForSaleExcludingAccruedInterestAllowanceForCreditLossNotToSellBeforeRecoveryCreditLossPreviouslyRecordedExpenseReversal</w:t>
      </w:r>
    </w:p>
    <w:p w14:paraId="00000028" w14:textId="77777777" w:rsidR="00FD0A2D" w:rsidRDefault="00FD0A2D">
      <w:p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</w:p>
    <w:p w14:paraId="00000029" w14:textId="77777777" w:rsidR="00FD0A2D" w:rsidRDefault="00FD0A2D">
      <w:p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</w:p>
    <w:p w14:paraId="0000002A" w14:textId="77777777" w:rsidR="00FD0A2D" w:rsidRDefault="00FD0A2D">
      <w:pPr>
        <w:rPr>
          <w:rFonts w:ascii="Consolas" w:eastAsia="Consolas" w:hAnsi="Consolas" w:cs="Consolas"/>
          <w:color w:val="24292E"/>
          <w:sz w:val="17"/>
          <w:szCs w:val="17"/>
          <w:highlight w:val="white"/>
        </w:rPr>
      </w:pPr>
    </w:p>
    <w:p w14:paraId="0000002B" w14:textId="77777777" w:rsidR="00FD0A2D" w:rsidRDefault="00FD0A2D">
      <w:pPr>
        <w:rPr>
          <w:color w:val="24292E"/>
          <w:sz w:val="21"/>
          <w:szCs w:val="21"/>
          <w:highlight w:val="white"/>
        </w:rPr>
      </w:pPr>
    </w:p>
    <w:sectPr w:rsidR="00FD0A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1D9B" w14:textId="77777777" w:rsidR="00E80B22" w:rsidRDefault="00E80B22" w:rsidP="00E80B22">
      <w:pPr>
        <w:spacing w:line="240" w:lineRule="auto"/>
      </w:pPr>
      <w:r>
        <w:separator/>
      </w:r>
    </w:p>
  </w:endnote>
  <w:endnote w:type="continuationSeparator" w:id="0">
    <w:p w14:paraId="7175078D" w14:textId="77777777" w:rsidR="00E80B22" w:rsidRDefault="00E80B22" w:rsidP="00E80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1609" w14:textId="77777777" w:rsidR="00E80B22" w:rsidRDefault="00E80B22" w:rsidP="00E80B22">
      <w:pPr>
        <w:spacing w:line="240" w:lineRule="auto"/>
      </w:pPr>
      <w:r>
        <w:separator/>
      </w:r>
    </w:p>
  </w:footnote>
  <w:footnote w:type="continuationSeparator" w:id="0">
    <w:p w14:paraId="57977DB8" w14:textId="77777777" w:rsidR="00E80B22" w:rsidRDefault="00E80B22" w:rsidP="00E80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47DB"/>
    <w:multiLevelType w:val="multilevel"/>
    <w:tmpl w:val="D416CD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434F7A"/>
    <w:multiLevelType w:val="multilevel"/>
    <w:tmpl w:val="806EA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A2D"/>
    <w:rsid w:val="00E80B22"/>
    <w:rsid w:val="00F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AD17A"/>
  <w15:docId w15:val="{87309993-4818-4287-9554-52118EFD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 Beers</cp:lastModifiedBy>
  <cp:revision>2</cp:revision>
  <dcterms:created xsi:type="dcterms:W3CDTF">2022-09-15T00:17:00Z</dcterms:created>
  <dcterms:modified xsi:type="dcterms:W3CDTF">2022-09-15T00:17:00Z</dcterms:modified>
</cp:coreProperties>
</file>