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F766B" w14:textId="77777777" w:rsidR="004465E8" w:rsidRPr="006D48F9" w:rsidRDefault="006D48F9" w:rsidP="006D48F9">
      <w:pPr>
        <w:pStyle w:val="Heading1"/>
        <w:pBdr>
          <w:bottom w:val="single" w:sz="4" w:space="1" w:color="auto"/>
        </w:pBdr>
        <w:rPr>
          <w:rFonts w:ascii="Times New Roman" w:hAnsi="Times New Roman" w:cs="Times New Roman"/>
          <w:color w:val="000000" w:themeColor="text1"/>
          <w:sz w:val="52"/>
          <w:szCs w:val="52"/>
        </w:rPr>
      </w:pPr>
      <w:r w:rsidRPr="006D48F9">
        <w:rPr>
          <w:rFonts w:ascii="Times New Roman" w:hAnsi="Times New Roman" w:cs="Times New Roman"/>
          <w:color w:val="000000" w:themeColor="text1"/>
          <w:sz w:val="52"/>
          <w:szCs w:val="52"/>
        </w:rPr>
        <w:t>Best Practice Policy: Weight Management Program</w:t>
      </w:r>
    </w:p>
    <w:p w14:paraId="628EBF23"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Effective Date: 2026</w:t>
      </w:r>
    </w:p>
    <w:p w14:paraId="19477A82"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Regulatory Alignment: 42 CFR §483.25 (F692), F686, F684, F656, F658, F842, F865–F867</w:t>
      </w:r>
    </w:p>
    <w:p w14:paraId="62449AE5"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I. Purpose</w:t>
      </w:r>
    </w:p>
    <w:p w14:paraId="7CF73288"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To ensure residents maintain optimal nutrition and hydration status and are protected from avoidable weight loss or weight gain through systematic assessment, monitoring, intervention, and interdisciplinary oversight consistent with CMS Requirements of Participation.</w:t>
      </w:r>
    </w:p>
    <w:p w14:paraId="325A8876"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II. Policy Statement</w:t>
      </w:r>
    </w:p>
    <w:p w14:paraId="5631F6D9"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The facility will implement a structured Weight Management Program designed to identify, evaluate, and address significant weight changes in a timely and individualized manner. All interventions will reflect person-centered care and clinical judgment.</w:t>
      </w:r>
    </w:p>
    <w:p w14:paraId="55D7D6D2"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III. Baseline &amp; Ongoing Monitoring</w:t>
      </w:r>
    </w:p>
    <w:p w14:paraId="54591705"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Obtain weight within 24 hours of admission or re-admission.</w:t>
      </w:r>
    </w:p>
    <w:p w14:paraId="78D507C2"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Establish usual body weight when possible.</w:t>
      </w:r>
    </w:p>
    <w:p w14:paraId="1F97A1BA"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Weekly weights for first 4 weeks post-admission.</w:t>
      </w:r>
    </w:p>
    <w:p w14:paraId="172426FA"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Monthly weights thereafter at minimum.</w:t>
      </w:r>
    </w:p>
    <w:p w14:paraId="60F80675" w14:textId="7DE94050"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 xml:space="preserve">High-risk residents weighed weekly ongoing or per MD orders </w:t>
      </w:r>
    </w:p>
    <w:p w14:paraId="261C94D7"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IV. Significant Weight Change Thresholds</w:t>
      </w:r>
    </w:p>
    <w:p w14:paraId="3186C9E2"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A comprehensive evaluation must be initiated when weight change meets or exceeds:</w:t>
      </w:r>
    </w:p>
    <w:p w14:paraId="1AFBAB69"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≥5% in 30 days.</w:t>
      </w:r>
    </w:p>
    <w:p w14:paraId="43EB997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≥7.5% in 60 days.</w:t>
      </w:r>
    </w:p>
    <w:p w14:paraId="406C08AE"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≥10% in 6 months.</w:t>
      </w:r>
    </w:p>
    <w:p w14:paraId="0B95E4DD"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Applies to both weight loss and clinically significant weight gain.</w:t>
      </w:r>
    </w:p>
    <w:p w14:paraId="1079AA1C"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V. High-Risk Resident Identification</w:t>
      </w:r>
    </w:p>
    <w:p w14:paraId="267FB403"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Pressure injuries (Stage 2 or greater).</w:t>
      </w:r>
    </w:p>
    <w:p w14:paraId="0C29A7A4"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Dialysis.</w:t>
      </w:r>
    </w:p>
    <w:p w14:paraId="3510FC2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CHF, COPD, or chronic disease.</w:t>
      </w:r>
    </w:p>
    <w:p w14:paraId="67A6E34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Dysphagia or modified diet.</w:t>
      </w:r>
    </w:p>
    <w:p w14:paraId="086AC71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Tube feeding.</w:t>
      </w:r>
    </w:p>
    <w:p w14:paraId="03653140"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Cognitive impairment.</w:t>
      </w:r>
    </w:p>
    <w:p w14:paraId="5C1F20F1"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Hospice or palliative care.</w:t>
      </w:r>
    </w:p>
    <w:p w14:paraId="313F9C56"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lastRenderedPageBreak/>
        <w:t>Recent hospitalization.</w:t>
      </w:r>
    </w:p>
    <w:p w14:paraId="705D6076"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Consistent intake below 75%.</w:t>
      </w:r>
    </w:p>
    <w:p w14:paraId="494A8B2C"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VI. Interdisciplinary Evaluation Process</w:t>
      </w:r>
    </w:p>
    <w:p w14:paraId="4BC9FE03"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Licensed nurse documents change in condition.</w:t>
      </w:r>
    </w:p>
    <w:p w14:paraId="1F228991"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Physician notification completed timely.</w:t>
      </w:r>
    </w:p>
    <w:p w14:paraId="0B04364D"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Registered Dietitian assessment within 72 hours.</w:t>
      </w:r>
    </w:p>
    <w:p w14:paraId="3BA3EB69"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Review intake records, medications, lab data (if ordered), swallowing status, and fluid balance.</w:t>
      </w:r>
    </w:p>
    <w:p w14:paraId="1A8AE0E8" w14:textId="2BFAC1AC"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Update comprehensive care plan accordingly.</w:t>
      </w:r>
    </w:p>
    <w:p w14:paraId="5CE2DBE0"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Monitor intervention effectiveness and reassess weekly until stabilized.</w:t>
      </w:r>
    </w:p>
    <w:p w14:paraId="061A180A"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VII. Intervention Strategies</w:t>
      </w:r>
    </w:p>
    <w:p w14:paraId="3218EE2F"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Diet liberalization when clinically appropriate.</w:t>
      </w:r>
    </w:p>
    <w:p w14:paraId="01763D8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Oral nutritional supplements or fortified foods.</w:t>
      </w:r>
    </w:p>
    <w:p w14:paraId="3023C760"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Protein supplementation.</w:t>
      </w:r>
    </w:p>
    <w:p w14:paraId="67A48B76"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Meal substitutions based on resident preferences.</w:t>
      </w:r>
    </w:p>
    <w:p w14:paraId="2E870E30"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Adaptive feeding equipment.</w:t>
      </w:r>
    </w:p>
    <w:p w14:paraId="0E382134"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Dining assistance and supervision.</w:t>
      </w:r>
    </w:p>
    <w:p w14:paraId="1A5E9299"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Hydration monitoring and scheduled fluid rounds.</w:t>
      </w:r>
    </w:p>
    <w:p w14:paraId="392AAEBB"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Medication review for appetite suppression or fluid retention.</w:t>
      </w:r>
    </w:p>
    <w:p w14:paraId="357E09C9"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Swallow evaluation referral when indicated.</w:t>
      </w:r>
    </w:p>
    <w:p w14:paraId="3F4A334B"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VIII. Documentation Requirements</w:t>
      </w:r>
    </w:p>
    <w:p w14:paraId="1C9EA4D5"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Documentation must reflect objective data, clinical reasoning, timely provider notification, Registered Dietitian involvement, measurable interventions, and ongoing reassessment. Copy-forward documentation without evaluation is not permitted.</w:t>
      </w:r>
    </w:p>
    <w:p w14:paraId="57ED111A" w14:textId="3CB60A68" w:rsidR="006D48F9" w:rsidRPr="006D48F9" w:rsidRDefault="006D48F9" w:rsidP="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IX. QAPI &amp; Monitoring</w:t>
      </w:r>
    </w:p>
    <w:p w14:paraId="0E40244F"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Monthly review of significant weight changes.</w:t>
      </w:r>
    </w:p>
    <w:p w14:paraId="4DBDB447" w14:textId="2EBA0A34"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Tracking repeat weight loss cases.</w:t>
      </w:r>
    </w:p>
    <w:p w14:paraId="32263F3D" w14:textId="75AAFAA2" w:rsidR="006D48F9"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 xml:space="preserve">Identified triggers reviewed in weekly Risk meeting </w:t>
      </w:r>
    </w:p>
    <w:p w14:paraId="01B9EFDF"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Correlation with pressure injury trends.</w:t>
      </w:r>
    </w:p>
    <w:p w14:paraId="5533FCF3"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Analysis of staffing or weekend intake variance.</w:t>
      </w:r>
    </w:p>
    <w:p w14:paraId="467BE64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Quarterly reporting to QAPI Committee.</w:t>
      </w:r>
    </w:p>
    <w:p w14:paraId="1A3ED14C"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t>X. Staff Education &amp; Competency</w:t>
      </w:r>
    </w:p>
    <w:p w14:paraId="76F0025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Annual training on early recognition of weight change.</w:t>
      </w:r>
    </w:p>
    <w:p w14:paraId="709774A3"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Accurate weight measurement techniques.</w:t>
      </w:r>
    </w:p>
    <w:p w14:paraId="7D627CBC"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Proper intake documentation.</w:t>
      </w:r>
    </w:p>
    <w:p w14:paraId="46582B50" w14:textId="77777777" w:rsidR="004465E8" w:rsidRPr="006D48F9" w:rsidRDefault="006D48F9">
      <w:pPr>
        <w:pStyle w:val="ListBullet"/>
        <w:rPr>
          <w:rFonts w:ascii="Times New Roman" w:hAnsi="Times New Roman" w:cs="Times New Roman"/>
          <w:color w:val="000000" w:themeColor="text1"/>
        </w:rPr>
      </w:pPr>
      <w:r w:rsidRPr="006D48F9">
        <w:rPr>
          <w:rFonts w:ascii="Times New Roman" w:hAnsi="Times New Roman" w:cs="Times New Roman"/>
          <w:color w:val="000000" w:themeColor="text1"/>
        </w:rPr>
        <w:t>Regulatory expectations under F692.</w:t>
      </w:r>
    </w:p>
    <w:p w14:paraId="3F826F02" w14:textId="77777777" w:rsidR="004465E8" w:rsidRPr="006D48F9" w:rsidRDefault="006D48F9">
      <w:pPr>
        <w:pStyle w:val="Heading2"/>
        <w:rPr>
          <w:rFonts w:ascii="Times New Roman" w:hAnsi="Times New Roman" w:cs="Times New Roman"/>
          <w:color w:val="000000" w:themeColor="text1"/>
        </w:rPr>
      </w:pPr>
      <w:r w:rsidRPr="006D48F9">
        <w:rPr>
          <w:rFonts w:ascii="Times New Roman" w:hAnsi="Times New Roman" w:cs="Times New Roman"/>
          <w:color w:val="000000" w:themeColor="text1"/>
        </w:rPr>
        <w:lastRenderedPageBreak/>
        <w:t>XI. Confidentiality Statement</w:t>
      </w:r>
    </w:p>
    <w:p w14:paraId="09E97C7E" w14:textId="77777777" w:rsidR="004465E8" w:rsidRPr="006D48F9" w:rsidRDefault="006D48F9">
      <w:pPr>
        <w:rPr>
          <w:rFonts w:ascii="Times New Roman" w:hAnsi="Times New Roman" w:cs="Times New Roman"/>
          <w:color w:val="000000" w:themeColor="text1"/>
        </w:rPr>
      </w:pPr>
      <w:r w:rsidRPr="006D48F9">
        <w:rPr>
          <w:rFonts w:ascii="Times New Roman" w:hAnsi="Times New Roman" w:cs="Times New Roman"/>
          <w:color w:val="000000" w:themeColor="text1"/>
        </w:rPr>
        <w:t>All data related to weight management is part of the facility’s Quality Assurance and Performance Improvement (QAPI) program and is considered confidential and privileged.</w:t>
      </w:r>
    </w:p>
    <w:sectPr w:rsidR="004465E8" w:rsidRPr="006D48F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982E" w14:textId="77777777" w:rsidR="001957C9" w:rsidRDefault="001957C9" w:rsidP="006D48F9">
      <w:pPr>
        <w:spacing w:after="0" w:line="240" w:lineRule="auto"/>
      </w:pPr>
      <w:r>
        <w:separator/>
      </w:r>
    </w:p>
  </w:endnote>
  <w:endnote w:type="continuationSeparator" w:id="0">
    <w:p w14:paraId="05EE4450" w14:textId="77777777" w:rsidR="001957C9" w:rsidRDefault="001957C9" w:rsidP="006D4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65566"/>
      <w:docPartObj>
        <w:docPartGallery w:val="Page Numbers (Bottom of Page)"/>
        <w:docPartUnique/>
      </w:docPartObj>
    </w:sdtPr>
    <w:sdtEndPr>
      <w:rPr>
        <w:color w:val="7F7F7F" w:themeColor="background1" w:themeShade="7F"/>
        <w:spacing w:val="60"/>
      </w:rPr>
    </w:sdtEndPr>
    <w:sdtContent>
      <w:p w14:paraId="2EC2AB16" w14:textId="2D3FEA06" w:rsidR="006D48F9" w:rsidRDefault="006D48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0BCD17" w14:textId="77777777" w:rsidR="006D48F9" w:rsidRDefault="006D4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0FA9" w14:textId="77777777" w:rsidR="001957C9" w:rsidRDefault="001957C9" w:rsidP="006D48F9">
      <w:pPr>
        <w:spacing w:after="0" w:line="240" w:lineRule="auto"/>
      </w:pPr>
      <w:r>
        <w:separator/>
      </w:r>
    </w:p>
  </w:footnote>
  <w:footnote w:type="continuationSeparator" w:id="0">
    <w:p w14:paraId="51A77B8E" w14:textId="77777777" w:rsidR="001957C9" w:rsidRDefault="001957C9" w:rsidP="006D4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371739">
    <w:abstractNumId w:val="8"/>
  </w:num>
  <w:num w:numId="2" w16cid:durableId="1506551769">
    <w:abstractNumId w:val="6"/>
  </w:num>
  <w:num w:numId="3" w16cid:durableId="126163313">
    <w:abstractNumId w:val="5"/>
  </w:num>
  <w:num w:numId="4" w16cid:durableId="151340955">
    <w:abstractNumId w:val="4"/>
  </w:num>
  <w:num w:numId="5" w16cid:durableId="911349130">
    <w:abstractNumId w:val="7"/>
  </w:num>
  <w:num w:numId="6" w16cid:durableId="1287589600">
    <w:abstractNumId w:val="3"/>
  </w:num>
  <w:num w:numId="7" w16cid:durableId="522211767">
    <w:abstractNumId w:val="2"/>
  </w:num>
  <w:num w:numId="8" w16cid:durableId="842860940">
    <w:abstractNumId w:val="1"/>
  </w:num>
  <w:num w:numId="9" w16cid:durableId="1050498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7C9"/>
    <w:rsid w:val="0029639D"/>
    <w:rsid w:val="00326F90"/>
    <w:rsid w:val="004465E8"/>
    <w:rsid w:val="00610689"/>
    <w:rsid w:val="006D48F9"/>
    <w:rsid w:val="0093663D"/>
    <w:rsid w:val="00AA1D8D"/>
    <w:rsid w:val="00AF459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E2E75"/>
  <w14:defaultImageDpi w14:val="300"/>
  <w15:docId w15:val="{1A93452A-DE20-4181-8162-CECECAB1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419</Words>
  <Characters>2888</Characters>
  <Application>Microsoft Office Word</Application>
  <DocSecurity>0</DocSecurity>
  <Lines>71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Tequilla Jones</dc:creator>
  <cp:keywords/>
  <dc:description>generated by python-docx</dc:description>
  <cp:lastModifiedBy>Daniel Conway</cp:lastModifiedBy>
  <cp:revision>2</cp:revision>
  <dcterms:created xsi:type="dcterms:W3CDTF">2026-03-24T12:57:00Z</dcterms:created>
  <dcterms:modified xsi:type="dcterms:W3CDTF">2026-03-24T12:57:00Z</dcterms:modified>
  <cp:category/>
</cp:coreProperties>
</file>