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50040" w14:textId="77777777" w:rsidR="007365AB" w:rsidRPr="00490C30" w:rsidRDefault="00490C30" w:rsidP="00490C30">
      <w:pPr>
        <w:pStyle w:val="Heading1"/>
        <w:pBdr>
          <w:bottom w:val="single" w:sz="4" w:space="1" w:color="auto"/>
        </w:pBdr>
        <w:rPr>
          <w:color w:val="000000" w:themeColor="text1"/>
          <w:sz w:val="52"/>
          <w:szCs w:val="52"/>
        </w:rPr>
      </w:pPr>
      <w:r w:rsidRPr="00490C30">
        <w:rPr>
          <w:color w:val="000000" w:themeColor="text1"/>
          <w:sz w:val="52"/>
          <w:szCs w:val="52"/>
        </w:rPr>
        <w:t>Best Practice Policy: Skin &amp; Wound Management</w:t>
      </w:r>
    </w:p>
    <w:p w14:paraId="72D74793" w14:textId="77777777" w:rsidR="007365AB" w:rsidRPr="00490C30" w:rsidRDefault="00490C30">
      <w:pPr>
        <w:rPr>
          <w:color w:val="000000" w:themeColor="text1"/>
        </w:rPr>
      </w:pPr>
      <w:r w:rsidRPr="00490C30">
        <w:rPr>
          <w:color w:val="000000" w:themeColor="text1"/>
        </w:rPr>
        <w:t>Effective Date: 2026</w:t>
      </w:r>
    </w:p>
    <w:p w14:paraId="47E1D8AC" w14:textId="77777777" w:rsidR="007365AB" w:rsidRPr="00490C30" w:rsidRDefault="00490C30">
      <w:pPr>
        <w:rPr>
          <w:color w:val="000000" w:themeColor="text1"/>
        </w:rPr>
      </w:pPr>
      <w:r w:rsidRPr="00490C30">
        <w:rPr>
          <w:color w:val="000000" w:themeColor="text1"/>
        </w:rPr>
        <w:t>Regulatory Alignment: 42 CFR §483.25 (F686), F684, F692, F880, F656, F842</w:t>
      </w:r>
    </w:p>
    <w:p w14:paraId="3E422B81" w14:textId="77777777" w:rsidR="007365AB" w:rsidRPr="00490C30" w:rsidRDefault="007365AB">
      <w:pPr>
        <w:rPr>
          <w:color w:val="000000" w:themeColor="text1"/>
        </w:rPr>
      </w:pPr>
    </w:p>
    <w:p w14:paraId="0B8BD8B8" w14:textId="77777777" w:rsidR="007365AB" w:rsidRPr="00490C30" w:rsidRDefault="00490C30">
      <w:pPr>
        <w:pStyle w:val="Heading2"/>
        <w:rPr>
          <w:color w:val="000000" w:themeColor="text1"/>
        </w:rPr>
      </w:pPr>
      <w:r w:rsidRPr="00490C30">
        <w:rPr>
          <w:color w:val="000000" w:themeColor="text1"/>
        </w:rPr>
        <w:t>I. Purpose</w:t>
      </w:r>
    </w:p>
    <w:p w14:paraId="0F05D10E" w14:textId="77777777" w:rsidR="007365AB" w:rsidRPr="00490C30" w:rsidRDefault="00490C30">
      <w:pPr>
        <w:rPr>
          <w:color w:val="000000" w:themeColor="text1"/>
        </w:rPr>
      </w:pPr>
      <w:r w:rsidRPr="00490C30">
        <w:rPr>
          <w:color w:val="000000" w:themeColor="text1"/>
        </w:rPr>
        <w:t>To ensure residents receive comprehensive, evidence-based skin and wound management services that prevent avoidable pressure injuries, promote healing, and maintain the highest practicable physical well-being in accordance with CMS Requirements of Participation.</w:t>
      </w:r>
    </w:p>
    <w:p w14:paraId="6D31C121" w14:textId="77777777" w:rsidR="007365AB" w:rsidRPr="00490C30" w:rsidRDefault="00490C30">
      <w:pPr>
        <w:pStyle w:val="Heading2"/>
        <w:rPr>
          <w:color w:val="000000" w:themeColor="text1"/>
        </w:rPr>
      </w:pPr>
      <w:r w:rsidRPr="00490C30">
        <w:rPr>
          <w:color w:val="000000" w:themeColor="text1"/>
        </w:rPr>
        <w:t>II. Policy Statement</w:t>
      </w:r>
    </w:p>
    <w:p w14:paraId="28CAEDED" w14:textId="77777777" w:rsidR="007365AB" w:rsidRPr="00490C30" w:rsidRDefault="00490C30">
      <w:pPr>
        <w:rPr>
          <w:color w:val="000000" w:themeColor="text1"/>
        </w:rPr>
      </w:pPr>
      <w:r w:rsidRPr="00490C30">
        <w:rPr>
          <w:color w:val="000000" w:themeColor="text1"/>
        </w:rPr>
        <w:t>The facility will implement individualized skin risk assessments, prevention protocols, treatment plans, infection prevention practices, and interdisciplinary oversight for all residents at risk for or presenting with skin impairment.</w:t>
      </w:r>
    </w:p>
    <w:p w14:paraId="0C1655F9" w14:textId="77777777" w:rsidR="007365AB" w:rsidRPr="00490C30" w:rsidRDefault="00490C30">
      <w:pPr>
        <w:pStyle w:val="Heading2"/>
        <w:rPr>
          <w:color w:val="000000" w:themeColor="text1"/>
        </w:rPr>
      </w:pPr>
      <w:r w:rsidRPr="00490C30">
        <w:rPr>
          <w:color w:val="000000" w:themeColor="text1"/>
        </w:rPr>
        <w:t>III. Skin Risk Assessment</w:t>
      </w:r>
    </w:p>
    <w:p w14:paraId="4FECDFC3" w14:textId="77777777" w:rsidR="007365AB" w:rsidRPr="00490C30" w:rsidRDefault="00490C30">
      <w:pPr>
        <w:rPr>
          <w:color w:val="000000" w:themeColor="text1"/>
        </w:rPr>
      </w:pPr>
      <w:r w:rsidRPr="00490C30">
        <w:rPr>
          <w:color w:val="000000" w:themeColor="text1"/>
        </w:rPr>
        <w:t>Second Nurse Skin Verification: For all new admissions and re-admissions, a second licensed nurse must complete and document a comprehensive head-to-toe skin assessment within 24–48 hours (Day 2) of admission. This assessment must verify the initial findings, confirm staging and measurements of any identified wounds, and document any newly identified areas. Discrepancies must be reconciled immediately, and the care plan updated the same day in accordance with F686 and F842 documentation standards.</w:t>
      </w:r>
    </w:p>
    <w:p w14:paraId="4D511F6B" w14:textId="77777777" w:rsidR="007365AB" w:rsidRPr="00490C30" w:rsidRDefault="00490C30">
      <w:pPr>
        <w:pStyle w:val="ListBullet"/>
        <w:rPr>
          <w:color w:val="000000" w:themeColor="text1"/>
        </w:rPr>
      </w:pPr>
      <w:r w:rsidRPr="00490C30">
        <w:rPr>
          <w:color w:val="000000" w:themeColor="text1"/>
        </w:rPr>
        <w:t>Braden Scale completed on admission/re-admission.</w:t>
      </w:r>
    </w:p>
    <w:p w14:paraId="3C2F3512" w14:textId="77777777" w:rsidR="007365AB" w:rsidRPr="00490C30" w:rsidRDefault="00490C30">
      <w:pPr>
        <w:pStyle w:val="ListBullet"/>
        <w:rPr>
          <w:color w:val="000000" w:themeColor="text1"/>
        </w:rPr>
      </w:pPr>
      <w:r w:rsidRPr="00490C30">
        <w:rPr>
          <w:color w:val="000000" w:themeColor="text1"/>
        </w:rPr>
        <w:t>Weekly reassessment for first 4 weeks post-admission.</w:t>
      </w:r>
    </w:p>
    <w:p w14:paraId="7A13CE46" w14:textId="77777777" w:rsidR="007365AB" w:rsidRPr="00490C30" w:rsidRDefault="00490C30">
      <w:pPr>
        <w:pStyle w:val="ListBullet"/>
        <w:rPr>
          <w:color w:val="000000" w:themeColor="text1"/>
        </w:rPr>
      </w:pPr>
      <w:r w:rsidRPr="00490C30">
        <w:rPr>
          <w:color w:val="000000" w:themeColor="text1"/>
        </w:rPr>
        <w:t>Quarterly reassessment.</w:t>
      </w:r>
    </w:p>
    <w:p w14:paraId="64DD525B" w14:textId="77777777" w:rsidR="007365AB" w:rsidRPr="00490C30" w:rsidRDefault="00490C30">
      <w:pPr>
        <w:pStyle w:val="ListBullet"/>
        <w:rPr>
          <w:color w:val="000000" w:themeColor="text1"/>
        </w:rPr>
      </w:pPr>
      <w:r w:rsidRPr="00490C30">
        <w:rPr>
          <w:color w:val="000000" w:themeColor="text1"/>
        </w:rPr>
        <w:t>Assessment with significant change in condition.</w:t>
      </w:r>
    </w:p>
    <w:p w14:paraId="19AD61E0" w14:textId="77777777" w:rsidR="007365AB" w:rsidRPr="00490C30" w:rsidRDefault="00490C30">
      <w:pPr>
        <w:pStyle w:val="ListBullet"/>
        <w:rPr>
          <w:color w:val="000000" w:themeColor="text1"/>
        </w:rPr>
      </w:pPr>
      <w:r w:rsidRPr="00490C30">
        <w:rPr>
          <w:color w:val="000000" w:themeColor="text1"/>
        </w:rPr>
        <w:t>Post-hospital return reassessment.</w:t>
      </w:r>
    </w:p>
    <w:p w14:paraId="2B9088AC" w14:textId="77777777" w:rsidR="007365AB" w:rsidRPr="00490C30" w:rsidRDefault="00490C30">
      <w:pPr>
        <w:pStyle w:val="ListBullet"/>
        <w:rPr>
          <w:color w:val="000000" w:themeColor="text1"/>
        </w:rPr>
      </w:pPr>
      <w:r w:rsidRPr="00490C30">
        <w:rPr>
          <w:color w:val="000000" w:themeColor="text1"/>
        </w:rPr>
        <w:t>Clinical judgment documented in addition to numerical score.</w:t>
      </w:r>
    </w:p>
    <w:p w14:paraId="62D7EE19" w14:textId="77777777" w:rsidR="007365AB" w:rsidRPr="00490C30" w:rsidRDefault="00490C30">
      <w:pPr>
        <w:pStyle w:val="Heading2"/>
        <w:rPr>
          <w:color w:val="000000" w:themeColor="text1"/>
        </w:rPr>
      </w:pPr>
      <w:r w:rsidRPr="00490C30">
        <w:rPr>
          <w:color w:val="000000" w:themeColor="text1"/>
        </w:rPr>
        <w:t>IV. Prevention Protocols</w:t>
      </w:r>
    </w:p>
    <w:p w14:paraId="10D61717" w14:textId="77777777" w:rsidR="007365AB" w:rsidRPr="00490C30" w:rsidRDefault="00490C30">
      <w:pPr>
        <w:pStyle w:val="ListBullet"/>
        <w:rPr>
          <w:color w:val="000000" w:themeColor="text1"/>
        </w:rPr>
      </w:pPr>
      <w:r w:rsidRPr="00490C30">
        <w:rPr>
          <w:color w:val="000000" w:themeColor="text1"/>
        </w:rPr>
        <w:t>Individualized turning and repositioning schedule.</w:t>
      </w:r>
    </w:p>
    <w:p w14:paraId="00409750" w14:textId="77777777" w:rsidR="007365AB" w:rsidRPr="00490C30" w:rsidRDefault="00490C30">
      <w:pPr>
        <w:pStyle w:val="ListBullet"/>
        <w:rPr>
          <w:color w:val="000000" w:themeColor="text1"/>
        </w:rPr>
      </w:pPr>
      <w:r w:rsidRPr="00490C30">
        <w:rPr>
          <w:color w:val="000000" w:themeColor="text1"/>
        </w:rPr>
        <w:t>Heel offloading devices when indicated.</w:t>
      </w:r>
    </w:p>
    <w:p w14:paraId="48F99641" w14:textId="77777777" w:rsidR="007365AB" w:rsidRPr="00490C30" w:rsidRDefault="00490C30">
      <w:pPr>
        <w:pStyle w:val="ListBullet"/>
        <w:rPr>
          <w:color w:val="000000" w:themeColor="text1"/>
        </w:rPr>
      </w:pPr>
      <w:r w:rsidRPr="00490C30">
        <w:rPr>
          <w:color w:val="000000" w:themeColor="text1"/>
        </w:rPr>
        <w:t xml:space="preserve">Specialty mattress </w:t>
      </w:r>
      <w:proofErr w:type="gramStart"/>
      <w:r w:rsidRPr="00490C30">
        <w:rPr>
          <w:color w:val="000000" w:themeColor="text1"/>
        </w:rPr>
        <w:t>use</w:t>
      </w:r>
      <w:proofErr w:type="gramEnd"/>
      <w:r w:rsidRPr="00490C30">
        <w:rPr>
          <w:color w:val="000000" w:themeColor="text1"/>
        </w:rPr>
        <w:t xml:space="preserve"> with documented clinical rationale.</w:t>
      </w:r>
    </w:p>
    <w:p w14:paraId="2A060C50" w14:textId="77777777" w:rsidR="007365AB" w:rsidRPr="00490C30" w:rsidRDefault="00490C30">
      <w:pPr>
        <w:pStyle w:val="ListBullet"/>
        <w:rPr>
          <w:color w:val="000000" w:themeColor="text1"/>
        </w:rPr>
      </w:pPr>
      <w:r w:rsidRPr="00490C30">
        <w:rPr>
          <w:color w:val="000000" w:themeColor="text1"/>
        </w:rPr>
        <w:t>Moisture management and incontinence care program.</w:t>
      </w:r>
    </w:p>
    <w:p w14:paraId="451332FA" w14:textId="77777777" w:rsidR="007365AB" w:rsidRPr="00490C30" w:rsidRDefault="00490C30">
      <w:pPr>
        <w:pStyle w:val="ListBullet"/>
        <w:rPr>
          <w:color w:val="000000" w:themeColor="text1"/>
        </w:rPr>
      </w:pPr>
      <w:r w:rsidRPr="00490C30">
        <w:rPr>
          <w:color w:val="000000" w:themeColor="text1"/>
        </w:rPr>
        <w:t>Daily skin observation by CNAs during ADL care.</w:t>
      </w:r>
    </w:p>
    <w:p w14:paraId="0C977977" w14:textId="77777777" w:rsidR="007365AB" w:rsidRPr="00490C30" w:rsidRDefault="00490C30">
      <w:pPr>
        <w:pStyle w:val="ListBullet"/>
        <w:rPr>
          <w:color w:val="000000" w:themeColor="text1"/>
        </w:rPr>
      </w:pPr>
      <w:r w:rsidRPr="00490C30">
        <w:rPr>
          <w:color w:val="000000" w:themeColor="text1"/>
        </w:rPr>
        <w:lastRenderedPageBreak/>
        <w:t>Weekly licensed nurse skin assessments.</w:t>
      </w:r>
    </w:p>
    <w:p w14:paraId="2A1B7923" w14:textId="77777777" w:rsidR="007365AB" w:rsidRPr="00490C30" w:rsidRDefault="00490C30">
      <w:pPr>
        <w:pStyle w:val="ListBullet"/>
        <w:rPr>
          <w:color w:val="000000" w:themeColor="text1"/>
        </w:rPr>
      </w:pPr>
      <w:r w:rsidRPr="00490C30">
        <w:rPr>
          <w:color w:val="000000" w:themeColor="text1"/>
        </w:rPr>
        <w:t xml:space="preserve">Therapy evaluation when mobility </w:t>
      </w:r>
      <w:proofErr w:type="gramStart"/>
      <w:r w:rsidRPr="00490C30">
        <w:rPr>
          <w:color w:val="000000" w:themeColor="text1"/>
        </w:rPr>
        <w:t>decline</w:t>
      </w:r>
      <w:proofErr w:type="gramEnd"/>
      <w:r w:rsidRPr="00490C30">
        <w:rPr>
          <w:color w:val="000000" w:themeColor="text1"/>
        </w:rPr>
        <w:t xml:space="preserve"> noted.</w:t>
      </w:r>
    </w:p>
    <w:p w14:paraId="7B030250" w14:textId="77777777" w:rsidR="007365AB" w:rsidRPr="00490C30" w:rsidRDefault="00490C30">
      <w:pPr>
        <w:pStyle w:val="ListBullet"/>
        <w:rPr>
          <w:color w:val="000000" w:themeColor="text1"/>
        </w:rPr>
      </w:pPr>
      <w:r w:rsidRPr="00490C30">
        <w:rPr>
          <w:color w:val="000000" w:themeColor="text1"/>
        </w:rPr>
        <w:t>Protective sleeves for fragile skin as appropriate.</w:t>
      </w:r>
    </w:p>
    <w:p w14:paraId="3D7CA5A8" w14:textId="77777777" w:rsidR="007365AB" w:rsidRPr="00490C30" w:rsidRDefault="00490C30">
      <w:pPr>
        <w:pStyle w:val="Heading2"/>
        <w:rPr>
          <w:color w:val="000000" w:themeColor="text1"/>
        </w:rPr>
      </w:pPr>
      <w:r w:rsidRPr="00490C30">
        <w:rPr>
          <w:color w:val="000000" w:themeColor="text1"/>
        </w:rPr>
        <w:t>V. Wound Assessment &amp; Treatment</w:t>
      </w:r>
    </w:p>
    <w:p w14:paraId="71EBFBC4" w14:textId="77777777" w:rsidR="007365AB" w:rsidRPr="00490C30" w:rsidRDefault="00490C30">
      <w:pPr>
        <w:pStyle w:val="ListBullet"/>
        <w:rPr>
          <w:color w:val="000000" w:themeColor="text1"/>
        </w:rPr>
      </w:pPr>
      <w:r w:rsidRPr="00490C30">
        <w:rPr>
          <w:color w:val="000000" w:themeColor="text1"/>
        </w:rPr>
        <w:t>Weekly wound measurements (length, width, depth).</w:t>
      </w:r>
    </w:p>
    <w:p w14:paraId="052670F6" w14:textId="77777777" w:rsidR="007365AB" w:rsidRPr="00490C30" w:rsidRDefault="00490C30">
      <w:pPr>
        <w:pStyle w:val="ListBullet"/>
        <w:rPr>
          <w:color w:val="000000" w:themeColor="text1"/>
        </w:rPr>
      </w:pPr>
      <w:r w:rsidRPr="00490C30">
        <w:rPr>
          <w:color w:val="000000" w:themeColor="text1"/>
        </w:rPr>
        <w:t>Documentation of undermining, tunneling, drainage, odor, and periwound condition.</w:t>
      </w:r>
    </w:p>
    <w:p w14:paraId="1B4CF7BA" w14:textId="77777777" w:rsidR="007365AB" w:rsidRPr="00490C30" w:rsidRDefault="00490C30">
      <w:pPr>
        <w:pStyle w:val="ListBullet"/>
        <w:rPr>
          <w:color w:val="000000" w:themeColor="text1"/>
        </w:rPr>
      </w:pPr>
      <w:r w:rsidRPr="00490C30">
        <w:rPr>
          <w:color w:val="000000" w:themeColor="text1"/>
        </w:rPr>
        <w:t>Treatment effectiveness evaluated every 14 days.</w:t>
      </w:r>
    </w:p>
    <w:p w14:paraId="72C869FE" w14:textId="77777777" w:rsidR="007365AB" w:rsidRPr="00490C30" w:rsidRDefault="00490C30">
      <w:pPr>
        <w:pStyle w:val="ListBullet"/>
        <w:rPr>
          <w:color w:val="000000" w:themeColor="text1"/>
        </w:rPr>
      </w:pPr>
      <w:r w:rsidRPr="00490C30">
        <w:rPr>
          <w:color w:val="000000" w:themeColor="text1"/>
        </w:rPr>
        <w:t>Physician notification for non-healing or deterioration.</w:t>
      </w:r>
    </w:p>
    <w:p w14:paraId="0D9723CC" w14:textId="77777777" w:rsidR="007365AB" w:rsidRPr="00490C30" w:rsidRDefault="00490C30">
      <w:pPr>
        <w:pStyle w:val="ListBullet"/>
        <w:rPr>
          <w:color w:val="000000" w:themeColor="text1"/>
        </w:rPr>
      </w:pPr>
      <w:r w:rsidRPr="00490C30">
        <w:rPr>
          <w:color w:val="000000" w:themeColor="text1"/>
        </w:rPr>
        <w:t xml:space="preserve">Interdisciplinary wound rounds </w:t>
      </w:r>
      <w:proofErr w:type="gramStart"/>
      <w:r w:rsidRPr="00490C30">
        <w:rPr>
          <w:color w:val="000000" w:themeColor="text1"/>
        </w:rPr>
        <w:t>conducted</w:t>
      </w:r>
      <w:proofErr w:type="gramEnd"/>
      <w:r w:rsidRPr="00490C30">
        <w:rPr>
          <w:color w:val="000000" w:themeColor="text1"/>
        </w:rPr>
        <w:t xml:space="preserve"> weekly.</w:t>
      </w:r>
    </w:p>
    <w:p w14:paraId="7A44F996" w14:textId="77777777" w:rsidR="007365AB" w:rsidRPr="00490C30" w:rsidRDefault="00490C30">
      <w:pPr>
        <w:pStyle w:val="Heading2"/>
        <w:rPr>
          <w:color w:val="000000" w:themeColor="text1"/>
        </w:rPr>
      </w:pPr>
      <w:r w:rsidRPr="00490C30">
        <w:rPr>
          <w:color w:val="000000" w:themeColor="text1"/>
        </w:rPr>
        <w:t>VI. Infection Prevention Integration</w:t>
      </w:r>
    </w:p>
    <w:p w14:paraId="4327DD56" w14:textId="77777777" w:rsidR="007365AB" w:rsidRPr="00490C30" w:rsidRDefault="00490C30">
      <w:pPr>
        <w:pStyle w:val="ListBullet"/>
        <w:rPr>
          <w:color w:val="000000" w:themeColor="text1"/>
        </w:rPr>
      </w:pPr>
      <w:r w:rsidRPr="00490C30">
        <w:rPr>
          <w:color w:val="000000" w:themeColor="text1"/>
        </w:rPr>
        <w:t>Hand hygiene compliance monitoring.</w:t>
      </w:r>
    </w:p>
    <w:p w14:paraId="6B63112B" w14:textId="77777777" w:rsidR="007365AB" w:rsidRPr="00490C30" w:rsidRDefault="00490C30">
      <w:pPr>
        <w:pStyle w:val="ListBullet"/>
        <w:rPr>
          <w:color w:val="000000" w:themeColor="text1"/>
        </w:rPr>
      </w:pPr>
      <w:r w:rsidRPr="00490C30">
        <w:rPr>
          <w:color w:val="000000" w:themeColor="text1"/>
        </w:rPr>
        <w:t>Clean/aseptic dressing technique per wound type.</w:t>
      </w:r>
    </w:p>
    <w:p w14:paraId="52969229" w14:textId="77777777" w:rsidR="007365AB" w:rsidRPr="00490C30" w:rsidRDefault="00490C30">
      <w:pPr>
        <w:pStyle w:val="ListBullet"/>
        <w:rPr>
          <w:color w:val="000000" w:themeColor="text1"/>
        </w:rPr>
      </w:pPr>
      <w:r w:rsidRPr="00490C30">
        <w:rPr>
          <w:color w:val="000000" w:themeColor="text1"/>
        </w:rPr>
        <w:t>Isolation precautions when indicated.</w:t>
      </w:r>
    </w:p>
    <w:p w14:paraId="75720C54" w14:textId="77777777" w:rsidR="007365AB" w:rsidRPr="00490C30" w:rsidRDefault="00490C30">
      <w:pPr>
        <w:pStyle w:val="ListBullet"/>
        <w:rPr>
          <w:color w:val="000000" w:themeColor="text1"/>
        </w:rPr>
      </w:pPr>
      <w:r w:rsidRPr="00490C30">
        <w:rPr>
          <w:color w:val="000000" w:themeColor="text1"/>
        </w:rPr>
        <w:t>Monitoring for signs of infection (redness, warmth, drainage, fever).</w:t>
      </w:r>
    </w:p>
    <w:p w14:paraId="334FDFC3" w14:textId="77777777" w:rsidR="007365AB" w:rsidRPr="00490C30" w:rsidRDefault="00490C30">
      <w:pPr>
        <w:pStyle w:val="ListBullet"/>
        <w:rPr>
          <w:color w:val="000000" w:themeColor="text1"/>
        </w:rPr>
      </w:pPr>
      <w:r w:rsidRPr="00490C30">
        <w:rPr>
          <w:color w:val="000000" w:themeColor="text1"/>
        </w:rPr>
        <w:t>Timely physician notification of suspected infection.</w:t>
      </w:r>
    </w:p>
    <w:p w14:paraId="1A480F63" w14:textId="77777777" w:rsidR="007365AB" w:rsidRPr="00490C30" w:rsidRDefault="00490C30">
      <w:pPr>
        <w:pStyle w:val="Heading2"/>
        <w:rPr>
          <w:color w:val="000000" w:themeColor="text1"/>
        </w:rPr>
      </w:pPr>
      <w:r w:rsidRPr="00490C30">
        <w:rPr>
          <w:color w:val="000000" w:themeColor="text1"/>
        </w:rPr>
        <w:t>VII. Nutrition &amp; Hydration Integration</w:t>
      </w:r>
    </w:p>
    <w:p w14:paraId="598310BF" w14:textId="77777777" w:rsidR="007365AB" w:rsidRPr="00490C30" w:rsidRDefault="00490C30">
      <w:pPr>
        <w:pStyle w:val="ListBullet"/>
        <w:rPr>
          <w:color w:val="000000" w:themeColor="text1"/>
        </w:rPr>
      </w:pPr>
      <w:r w:rsidRPr="00490C30">
        <w:rPr>
          <w:color w:val="000000" w:themeColor="text1"/>
        </w:rPr>
        <w:t>Registered Dietitian consult for Stage 3, Stage 4, or non-healing wounds.</w:t>
      </w:r>
    </w:p>
    <w:p w14:paraId="1D0E17F7" w14:textId="77777777" w:rsidR="00490C30" w:rsidRPr="00490C30" w:rsidRDefault="00490C30">
      <w:pPr>
        <w:pStyle w:val="ListBullet"/>
        <w:rPr>
          <w:color w:val="000000" w:themeColor="text1"/>
        </w:rPr>
      </w:pPr>
      <w:r w:rsidRPr="00490C30">
        <w:rPr>
          <w:color w:val="000000" w:themeColor="text1"/>
        </w:rPr>
        <w:t>≥5% in 30 days, ≥7.5% in 60 days, or ≥10% in 6 months</w:t>
      </w:r>
    </w:p>
    <w:p w14:paraId="1BE546F8" w14:textId="3D486316" w:rsidR="007365AB" w:rsidRPr="00490C30" w:rsidRDefault="00490C30">
      <w:pPr>
        <w:pStyle w:val="ListBullet"/>
        <w:rPr>
          <w:color w:val="000000" w:themeColor="text1"/>
        </w:rPr>
      </w:pPr>
      <w:r w:rsidRPr="00490C30">
        <w:rPr>
          <w:color w:val="000000" w:themeColor="text1"/>
        </w:rPr>
        <w:t>Review of protein intake and supplementation compliance.</w:t>
      </w:r>
    </w:p>
    <w:p w14:paraId="45E058C2" w14:textId="77777777" w:rsidR="007365AB" w:rsidRPr="00490C30" w:rsidRDefault="00490C30">
      <w:pPr>
        <w:pStyle w:val="ListBullet"/>
        <w:rPr>
          <w:color w:val="000000" w:themeColor="text1"/>
        </w:rPr>
      </w:pPr>
      <w:r w:rsidRPr="00490C30">
        <w:rPr>
          <w:color w:val="000000" w:themeColor="text1"/>
        </w:rPr>
        <w:t>Monitoring relevant lab values when ordered.</w:t>
      </w:r>
    </w:p>
    <w:p w14:paraId="4AB9DAF3" w14:textId="77777777" w:rsidR="007365AB" w:rsidRPr="00490C30" w:rsidRDefault="00490C30">
      <w:pPr>
        <w:pStyle w:val="ListBullet"/>
        <w:rPr>
          <w:color w:val="000000" w:themeColor="text1"/>
        </w:rPr>
      </w:pPr>
      <w:r w:rsidRPr="00490C30">
        <w:rPr>
          <w:color w:val="000000" w:themeColor="text1"/>
        </w:rPr>
        <w:t>Resident preference discussions documented.</w:t>
      </w:r>
    </w:p>
    <w:p w14:paraId="57117943" w14:textId="77777777" w:rsidR="007365AB" w:rsidRPr="00490C30" w:rsidRDefault="00490C30">
      <w:pPr>
        <w:pStyle w:val="Heading2"/>
        <w:rPr>
          <w:color w:val="000000" w:themeColor="text1"/>
        </w:rPr>
      </w:pPr>
      <w:r w:rsidRPr="00490C30">
        <w:rPr>
          <w:color w:val="000000" w:themeColor="text1"/>
        </w:rPr>
        <w:t>VIII. Care Planning &amp; Documentation</w:t>
      </w:r>
    </w:p>
    <w:p w14:paraId="5465E923" w14:textId="77777777" w:rsidR="007365AB" w:rsidRPr="00490C30" w:rsidRDefault="00490C30">
      <w:pPr>
        <w:rPr>
          <w:color w:val="000000" w:themeColor="text1"/>
        </w:rPr>
      </w:pPr>
      <w:r w:rsidRPr="00490C30">
        <w:rPr>
          <w:color w:val="000000" w:themeColor="text1"/>
        </w:rPr>
        <w:t>Care plans must be individualized, measurable, and updated with any change in wound status. Documentation must reflect clinical reasoning, intervention effectiveness, and ongoing reassessment. Copy-forward documentation without evaluation is not permitted.</w:t>
      </w:r>
    </w:p>
    <w:p w14:paraId="64ADCFD6" w14:textId="77777777" w:rsidR="007365AB" w:rsidRPr="00490C30" w:rsidRDefault="00490C30">
      <w:pPr>
        <w:pStyle w:val="Heading2"/>
        <w:rPr>
          <w:color w:val="000000" w:themeColor="text1"/>
        </w:rPr>
      </w:pPr>
      <w:r w:rsidRPr="00490C30">
        <w:rPr>
          <w:color w:val="000000" w:themeColor="text1"/>
        </w:rPr>
        <w:t>IX. QAPI &amp; Monitoring</w:t>
      </w:r>
    </w:p>
    <w:p w14:paraId="7B0B22B3" w14:textId="77777777" w:rsidR="007365AB" w:rsidRPr="00490C30" w:rsidRDefault="00490C30">
      <w:pPr>
        <w:pStyle w:val="ListBullet"/>
        <w:rPr>
          <w:color w:val="000000" w:themeColor="text1"/>
        </w:rPr>
      </w:pPr>
      <w:r w:rsidRPr="00490C30">
        <w:rPr>
          <w:color w:val="000000" w:themeColor="text1"/>
        </w:rPr>
        <w:t>Weekly wound report reviewed in Risk Meeting.</w:t>
      </w:r>
    </w:p>
    <w:p w14:paraId="753F24AF" w14:textId="77777777" w:rsidR="007365AB" w:rsidRPr="00490C30" w:rsidRDefault="00490C30">
      <w:pPr>
        <w:pStyle w:val="ListBullet"/>
        <w:rPr>
          <w:color w:val="000000" w:themeColor="text1"/>
        </w:rPr>
      </w:pPr>
      <w:r w:rsidRPr="00490C30">
        <w:rPr>
          <w:color w:val="000000" w:themeColor="text1"/>
        </w:rPr>
        <w:t>Monthly skin integrity trends reviewed in QAPI Committee.</w:t>
      </w:r>
    </w:p>
    <w:p w14:paraId="126F50ED" w14:textId="77777777" w:rsidR="007365AB" w:rsidRPr="00490C30" w:rsidRDefault="00490C30">
      <w:pPr>
        <w:pStyle w:val="ListBullet"/>
        <w:rPr>
          <w:color w:val="000000" w:themeColor="text1"/>
        </w:rPr>
      </w:pPr>
      <w:r w:rsidRPr="00490C30">
        <w:rPr>
          <w:color w:val="000000" w:themeColor="text1"/>
        </w:rPr>
        <w:t>Tracking of facility-acquired pressure injuries.</w:t>
      </w:r>
    </w:p>
    <w:p w14:paraId="5380579B" w14:textId="77777777" w:rsidR="007365AB" w:rsidRPr="00490C30" w:rsidRDefault="00490C30">
      <w:pPr>
        <w:pStyle w:val="ListBullet"/>
        <w:rPr>
          <w:color w:val="000000" w:themeColor="text1"/>
        </w:rPr>
      </w:pPr>
      <w:r w:rsidRPr="00490C30">
        <w:rPr>
          <w:color w:val="000000" w:themeColor="text1"/>
        </w:rPr>
        <w:t>Root Cause Analysis for avoidable pressure injuries.</w:t>
      </w:r>
    </w:p>
    <w:p w14:paraId="7DADC865" w14:textId="77777777" w:rsidR="007365AB" w:rsidRPr="00490C30" w:rsidRDefault="00490C30">
      <w:pPr>
        <w:pStyle w:val="ListBullet"/>
        <w:rPr>
          <w:color w:val="000000" w:themeColor="text1"/>
        </w:rPr>
      </w:pPr>
      <w:r w:rsidRPr="00490C30">
        <w:rPr>
          <w:color w:val="000000" w:themeColor="text1"/>
        </w:rPr>
        <w:t>Staff education and competency validation annually.</w:t>
      </w:r>
    </w:p>
    <w:p w14:paraId="0EEDCAE6" w14:textId="77777777" w:rsidR="007365AB" w:rsidRPr="00490C30" w:rsidRDefault="00490C30">
      <w:pPr>
        <w:pStyle w:val="Heading2"/>
        <w:rPr>
          <w:color w:val="000000" w:themeColor="text1"/>
        </w:rPr>
      </w:pPr>
      <w:r w:rsidRPr="00490C30">
        <w:rPr>
          <w:color w:val="000000" w:themeColor="text1"/>
        </w:rPr>
        <w:t>X. Confidentiality Statement</w:t>
      </w:r>
    </w:p>
    <w:p w14:paraId="538D84F0" w14:textId="77777777" w:rsidR="007365AB" w:rsidRPr="00490C30" w:rsidRDefault="00490C30">
      <w:pPr>
        <w:rPr>
          <w:color w:val="000000" w:themeColor="text1"/>
        </w:rPr>
      </w:pPr>
      <w:r w:rsidRPr="00490C30">
        <w:rPr>
          <w:color w:val="000000" w:themeColor="text1"/>
        </w:rPr>
        <w:t>All skin and wound management data is part of the facility’s Quality Assurance and Performance Improvement (QAPI) program and is considered confidential and privileged.</w:t>
      </w:r>
    </w:p>
    <w:sectPr w:rsidR="007365AB" w:rsidRPr="00490C30"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B302C" w14:textId="77777777" w:rsidR="006D5CDF" w:rsidRDefault="006D5CDF" w:rsidP="00490C30">
      <w:pPr>
        <w:spacing w:after="0" w:line="240" w:lineRule="auto"/>
      </w:pPr>
      <w:r>
        <w:separator/>
      </w:r>
    </w:p>
  </w:endnote>
  <w:endnote w:type="continuationSeparator" w:id="0">
    <w:p w14:paraId="268CD239" w14:textId="77777777" w:rsidR="006D5CDF" w:rsidRDefault="006D5CDF" w:rsidP="00490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2926234"/>
      <w:docPartObj>
        <w:docPartGallery w:val="Page Numbers (Bottom of Page)"/>
        <w:docPartUnique/>
      </w:docPartObj>
    </w:sdtPr>
    <w:sdtEndPr/>
    <w:sdtContent>
      <w:p w14:paraId="4C3F5607" w14:textId="4BC6AD78" w:rsidR="00490C30" w:rsidRDefault="00490C30">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E78303D" w14:textId="77777777" w:rsidR="00490C30" w:rsidRDefault="00490C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A7915" w14:textId="77777777" w:rsidR="006D5CDF" w:rsidRDefault="006D5CDF" w:rsidP="00490C30">
      <w:pPr>
        <w:spacing w:after="0" w:line="240" w:lineRule="auto"/>
      </w:pPr>
      <w:r>
        <w:separator/>
      </w:r>
    </w:p>
  </w:footnote>
  <w:footnote w:type="continuationSeparator" w:id="0">
    <w:p w14:paraId="72197CA5" w14:textId="77777777" w:rsidR="006D5CDF" w:rsidRDefault="006D5CDF" w:rsidP="00490C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0060884"/>
    <w:lvl w:ilvl="0">
      <w:start w:val="1"/>
      <w:numFmt w:val="bullet"/>
      <w:pStyle w:val="ListBullet"/>
      <w:lvlText w:val=""/>
      <w:lvlJc w:val="left"/>
      <w:pPr>
        <w:tabs>
          <w:tab w:val="num" w:pos="360"/>
        </w:tabs>
        <w:ind w:left="360" w:hanging="360"/>
      </w:pPr>
      <w:rPr>
        <w:rFonts w:ascii="Symbol" w:hAnsi="Symbol" w:hint="default"/>
      </w:rPr>
    </w:lvl>
  </w:abstractNum>
  <w:num w:numId="1" w16cid:durableId="1615481772">
    <w:abstractNumId w:val="8"/>
  </w:num>
  <w:num w:numId="2" w16cid:durableId="731344271">
    <w:abstractNumId w:val="6"/>
  </w:num>
  <w:num w:numId="3" w16cid:durableId="333578266">
    <w:abstractNumId w:val="5"/>
  </w:num>
  <w:num w:numId="4" w16cid:durableId="640771414">
    <w:abstractNumId w:val="4"/>
  </w:num>
  <w:num w:numId="5" w16cid:durableId="1703246617">
    <w:abstractNumId w:val="7"/>
  </w:num>
  <w:num w:numId="6" w16cid:durableId="433790973">
    <w:abstractNumId w:val="3"/>
  </w:num>
  <w:num w:numId="7" w16cid:durableId="1771312637">
    <w:abstractNumId w:val="2"/>
  </w:num>
  <w:num w:numId="8" w16cid:durableId="941767103">
    <w:abstractNumId w:val="1"/>
  </w:num>
  <w:num w:numId="9" w16cid:durableId="1026247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32BB"/>
    <w:rsid w:val="0029639D"/>
    <w:rsid w:val="00326F90"/>
    <w:rsid w:val="00490C30"/>
    <w:rsid w:val="00610689"/>
    <w:rsid w:val="006D5CDF"/>
    <w:rsid w:val="007365AB"/>
    <w:rsid w:val="00AA1D8D"/>
    <w:rsid w:val="00B47730"/>
    <w:rsid w:val="00B942B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5A83F7"/>
  <w14:defaultImageDpi w14:val="300"/>
  <w15:docId w15:val="{1A93452A-DE20-4181-8162-CECECAB1C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463</Words>
  <Characters>3146</Characters>
  <Application>Microsoft Office Word</Application>
  <DocSecurity>0</DocSecurity>
  <Lines>67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Tequilla Jones</dc:creator>
  <cp:keywords/>
  <dc:description>generated by python-docx</dc:description>
  <cp:lastModifiedBy>Daniel Conway</cp:lastModifiedBy>
  <cp:revision>2</cp:revision>
  <dcterms:created xsi:type="dcterms:W3CDTF">2026-03-24T12:57:00Z</dcterms:created>
  <dcterms:modified xsi:type="dcterms:W3CDTF">2026-03-24T12:57:00Z</dcterms:modified>
  <cp:category/>
</cp:coreProperties>
</file>