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97280" cy="7121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Bank_hvitkant_rg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7121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Macroeconomic report -- November 2019</w:t>
      </w:r>
    </w:p>
    <w:p>
      <w:r>
        <w:t>This reports summarizes recent development in macroeconomic figures affecting the Norwegian econonomy. Particullary focusing on data from the National Account,interest rates, exchange rates and prices of consumer goods and housing.</w:t>
      </w:r>
    </w:p>
    <w:p>
      <w:pPr>
        <w:pStyle w:val="Heading1"/>
      </w:pPr>
      <w:r>
        <w:t>The real economy</w:t>
      </w:r>
    </w:p>
    <w:p>
      <w:r>
        <w:t>This paragraph discusses data from the National Accounts ..</w:t>
      </w:r>
    </w:p>
    <w:p>
      <w:pPr>
        <w:pStyle w:val="Heading2"/>
      </w:pPr>
      <w:r>
        <w:t>Few signs of slower economic growth in Norway this autumn</w:t>
      </w:r>
    </w:p>
    <w:p>
      <w:r>
        <w:t>Figures for the Norwegian econonomy is still strong...</w:t>
      </w:r>
    </w:p>
    <w:p>
      <w:pPr>
        <w:pStyle w:val="Heading3"/>
      </w:pPr>
      <w:r>
        <w:t>Private and public growth, Investments and Net Exports in fixed 2017-prices</w:t>
      </w:r>
    </w:p>
    <w:p>
      <w:r>
        <w:drawing>
          <wp:inline xmlns:a="http://schemas.openxmlformats.org/drawingml/2006/main" xmlns:pic="http://schemas.openxmlformats.org/drawingml/2006/picture">
            <wp:extent cx="3200400" cy="21647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onCir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64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GDP-gap for the Norwegian economy</w:t>
      </w:r>
    </w:p>
    <w:p>
      <w:r>
        <w:drawing>
          <wp:inline xmlns:a="http://schemas.openxmlformats.org/drawingml/2006/main" xmlns:pic="http://schemas.openxmlformats.org/drawingml/2006/picture">
            <wp:extent cx="4114800" cy="2653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DPga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5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Measured by the GDP-gap the Norwegian economy is now growing with the a growth rate equal to the average growth rate for the last decades...The Table below shows figures for the last four quarter... </w:t>
        <w:br/>
      </w:r>
    </w:p>
    <w:p>
      <w:pPr>
        <w:pStyle w:val="Heading3"/>
      </w:pPr>
      <w:r>
        <w:t>Macroecomic figures, Bill. NOK. Fixed prices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NX</w:t>
            </w:r>
          </w:p>
        </w:tc>
        <w:tc>
          <w:tcPr>
            <w:tcW w:type="dxa" w:w="1728"/>
          </w:tcPr>
          <w:p>
            <w:r>
              <w:t>G</w:t>
            </w:r>
          </w:p>
        </w:tc>
      </w:tr>
      <w:tr>
        <w:tc>
          <w:tcPr>
            <w:tcW w:type="dxa" w:w="1728"/>
          </w:tcPr>
          <w:p>
            <w:r>
              <w:t>2018Q3</w:t>
            </w:r>
          </w:p>
        </w:tc>
        <w:tc>
          <w:tcPr>
            <w:tcW w:type="dxa" w:w="1728"/>
          </w:tcPr>
          <w:p>
            <w:r>
              <w:t>234459</w:t>
            </w:r>
          </w:p>
        </w:tc>
        <w:tc>
          <w:tcPr>
            <w:tcW w:type="dxa" w:w="1728"/>
          </w:tcPr>
          <w:p>
            <w:r>
              <w:t>248948</w:t>
            </w:r>
          </w:p>
        </w:tc>
        <w:tc>
          <w:tcPr>
            <w:tcW w:type="dxa" w:w="1728"/>
          </w:tcPr>
          <w:p>
            <w:r>
              <w:t>303073</w:t>
            </w:r>
          </w:p>
        </w:tc>
        <w:tc>
          <w:tcPr>
            <w:tcW w:type="dxa" w:w="1728"/>
          </w:tcPr>
          <w:p>
            <w:r>
              <w:t>248948</w:t>
            </w:r>
          </w:p>
        </w:tc>
      </w:tr>
      <w:tr>
        <w:tc>
          <w:tcPr>
            <w:tcW w:type="dxa" w:w="1728"/>
          </w:tcPr>
          <w:p>
            <w:r>
              <w:t>2018Q4</w:t>
            </w:r>
          </w:p>
        </w:tc>
        <w:tc>
          <w:tcPr>
            <w:tcW w:type="dxa" w:w="1728"/>
          </w:tcPr>
          <w:p>
            <w:r>
              <w:t>244030</w:t>
            </w:r>
          </w:p>
        </w:tc>
        <w:tc>
          <w:tcPr>
            <w:tcW w:type="dxa" w:w="1728"/>
          </w:tcPr>
          <w:p>
            <w:r>
              <w:t>248795</w:t>
            </w:r>
          </w:p>
        </w:tc>
        <w:tc>
          <w:tcPr>
            <w:tcW w:type="dxa" w:w="1728"/>
          </w:tcPr>
          <w:p>
            <w:r>
              <w:t>298701</w:t>
            </w:r>
          </w:p>
        </w:tc>
        <w:tc>
          <w:tcPr>
            <w:tcW w:type="dxa" w:w="1728"/>
          </w:tcPr>
          <w:p>
            <w:r>
              <w:t>248795</w:t>
            </w:r>
          </w:p>
        </w:tc>
      </w:tr>
      <w:tr>
        <w:tc>
          <w:tcPr>
            <w:tcW w:type="dxa" w:w="1728"/>
          </w:tcPr>
          <w:p>
            <w:r>
              <w:t>2019Q1</w:t>
            </w:r>
          </w:p>
        </w:tc>
        <w:tc>
          <w:tcPr>
            <w:tcW w:type="dxa" w:w="1728"/>
          </w:tcPr>
          <w:p>
            <w:r>
              <w:t>242045</w:t>
            </w:r>
          </w:p>
        </w:tc>
        <w:tc>
          <w:tcPr>
            <w:tcW w:type="dxa" w:w="1728"/>
          </w:tcPr>
          <w:p>
            <w:r>
              <w:t>248756</w:t>
            </w:r>
          </w:p>
        </w:tc>
        <w:tc>
          <w:tcPr>
            <w:tcW w:type="dxa" w:w="1728"/>
          </w:tcPr>
          <w:p>
            <w:r>
              <w:t>304699</w:t>
            </w:r>
          </w:p>
        </w:tc>
        <w:tc>
          <w:tcPr>
            <w:tcW w:type="dxa" w:w="1728"/>
          </w:tcPr>
          <w:p>
            <w:r>
              <w:t>248756</w:t>
            </w:r>
          </w:p>
        </w:tc>
      </w:tr>
      <w:tr>
        <w:tc>
          <w:tcPr>
            <w:tcW w:type="dxa" w:w="1728"/>
          </w:tcPr>
          <w:p>
            <w:r>
              <w:t>2019Q2</w:t>
            </w:r>
          </w:p>
        </w:tc>
        <w:tc>
          <w:tcPr>
            <w:tcW w:type="dxa" w:w="1728"/>
          </w:tcPr>
          <w:p>
            <w:r>
              <w:t>246056</w:t>
            </w:r>
          </w:p>
        </w:tc>
        <w:tc>
          <w:tcPr>
            <w:tcW w:type="dxa" w:w="1728"/>
          </w:tcPr>
          <w:p>
            <w:r>
              <w:t>253820</w:t>
            </w:r>
          </w:p>
        </w:tc>
        <w:tc>
          <w:tcPr>
            <w:tcW w:type="dxa" w:w="1728"/>
          </w:tcPr>
          <w:p>
            <w:r>
              <w:t>303818</w:t>
            </w:r>
          </w:p>
        </w:tc>
        <w:tc>
          <w:tcPr>
            <w:tcW w:type="dxa" w:w="1728"/>
          </w:tcPr>
          <w:p>
            <w:r>
              <w:t>253820</w:t>
            </w:r>
          </w:p>
        </w:tc>
      </w:tr>
      <w:tr>
        <w:tc>
          <w:tcPr>
            <w:tcW w:type="dxa" w:w="1728"/>
          </w:tcPr>
          <w:p>
            <w:r>
              <w:t>2019Q3</w:t>
            </w:r>
          </w:p>
        </w:tc>
        <w:tc>
          <w:tcPr>
            <w:tcW w:type="dxa" w:w="1728"/>
          </w:tcPr>
          <w:p>
            <w:r>
              <w:t>253135</w:t>
            </w:r>
          </w:p>
        </w:tc>
        <w:tc>
          <w:tcPr>
            <w:tcW w:type="dxa" w:w="1728"/>
          </w:tcPr>
          <w:p>
            <w:r>
              <w:t>258967</w:t>
            </w:r>
          </w:p>
        </w:tc>
        <w:tc>
          <w:tcPr>
            <w:tcW w:type="dxa" w:w="1728"/>
          </w:tcPr>
          <w:p>
            <w:r>
              <w:t>297102</w:t>
            </w:r>
          </w:p>
        </w:tc>
        <w:tc>
          <w:tcPr>
            <w:tcW w:type="dxa" w:w="1728"/>
          </w:tcPr>
          <w:p>
            <w:r>
              <w:t>258967</w:t>
            </w:r>
          </w:p>
        </w:tc>
      </w:tr>
    </w:tbl>
    <w:p>
      <w:pPr>
        <w:pStyle w:val="Heading1"/>
      </w:pPr>
      <w:r>
        <w:t>Exchange rates and interest rates</w:t>
      </w:r>
    </w:p>
    <w:p>
      <w:pPr>
        <w:pStyle w:val="Heading2"/>
      </w:pPr>
      <w:r>
        <w:t>The Norwegian continue to weaken</w:t>
      </w:r>
    </w:p>
    <w:p>
      <w:r>
        <w:t xml:space="preserve">The Norwegian krone (NOK) continues to depresiate. As shown in the figure below we see that measured againts both the Euro and the US Dollarthe NOK is record weak. </w:t>
      </w:r>
    </w:p>
    <w:p>
      <w:pPr>
        <w:pStyle w:val="Heading3"/>
      </w:pPr>
      <w:r>
        <w:t>Exchange rates, NOK againts, GBP, USD, EUR</w:t>
      </w:r>
    </w:p>
    <w:p>
      <w:r>
        <w:drawing>
          <wp:inline xmlns:a="http://schemas.openxmlformats.org/drawingml/2006/main" xmlns:pic="http://schemas.openxmlformats.org/drawingml/2006/picture">
            <wp:extent cx="3200400" cy="2133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change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rPr>
          <w:b/>
        </w:rPr>
        <w:t xml:space="preserve">Data sources: </w:t>
      </w:r>
      <w:r>
        <w:t>Statitics Norway and Bank of Norway</w:t>
        <w:br/>
      </w:r>
      <w:r>
        <w:rPr>
          <w:b/>
        </w:rPr>
        <w:t xml:space="preserve">Author: </w:t>
      </w:r>
      <w:r>
        <w:t xml:space="preserve">Joakim Blix Prestmo  </w:t>
        <w:br/>
      </w:r>
      <w:r>
        <w:rPr>
          <w:b/>
        </w:rPr>
        <w:t xml:space="preserve">Source code: </w:t>
      </w:r>
      <w:r>
        <w:t xml:space="preserve">makeWordReport.ipynb </w:t>
        <w:br/>
      </w:r>
      <w:r>
        <w:rPr>
          <w:b/>
        </w:rPr>
        <w:t xml:space="preserve">Updated: </w:t>
      </w:r>
      <w:r>
        <w:t>2019-11-22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