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Rangement du depot — 17 juin 2026</w:t>
      </w:r>
    </w:p>
    <w:p>
      <w:pPr>
        <w:jc w:val="center"/>
      </w:pPr>
      <w:r>
        <w:rPr>
          <w:i/>
        </w:rPr>
        <w:t>Auteure : Romane   |   Date : 17 juin 2026   |   Branche : Romane -&gt; main</w:t>
      </w:r>
    </w:p>
    <w:p/>
    <w:p>
      <w:pPr>
        <w:pStyle w:val="Heading1"/>
      </w:pPr>
      <w:r>
        <w:rPr>
          <w:color w:val="1F497D"/>
        </w:rPr>
        <w:t>1. Contexte</w:t>
      </w:r>
    </w:p>
    <w:p>
      <w:r>
        <w:t>La racine du depot avait accumule des fichiers eparpilles au fil des iterations. Ce rangement vise a rendre la structure lisible et coherente avant la Phase 2.</w:t>
      </w:r>
    </w:p>
    <w:p>
      <w:pPr>
        <w:pStyle w:val="Heading1"/>
      </w:pPr>
      <w:r>
        <w:rPr>
          <w:color w:val="1F497D"/>
        </w:rPr>
        <w:t>2. Fichiers deplaces</w:t>
      </w:r>
    </w:p>
    <w:p>
      <w:pPr>
        <w:pStyle w:val="Heading2"/>
      </w:pPr>
      <w:r>
        <w:rPr>
          <w:color w:val="2E74B5"/>
        </w:rPr>
        <w:t>Fichiers DVC (.dvc)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Avant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Apres</w:t>
            </w:r>
          </w:p>
        </w:tc>
      </w:tr>
      <w:tr>
        <w:tc>
          <w:tcPr>
            <w:tcW w:type="dxa" w:w="4320"/>
          </w:tcPr>
          <w:p>
            <w:r>
              <w:t>Source_100.dvc</w:t>
            </w:r>
          </w:p>
        </w:tc>
        <w:tc>
          <w:tcPr>
            <w:tcW w:type="dxa" w:w="4320"/>
          </w:tcPr>
          <w:p>
            <w:r>
              <w:t>data/Source_100.dvc</w:t>
            </w:r>
          </w:p>
        </w:tc>
      </w:tr>
      <w:tr>
        <w:tc>
          <w:tcPr>
            <w:tcW w:type="dxa" w:w="4320"/>
          </w:tcPr>
          <w:p>
            <w:r>
              <w:t>Source_full.dvc</w:t>
            </w:r>
          </w:p>
        </w:tc>
        <w:tc>
          <w:tcPr>
            <w:tcW w:type="dxa" w:w="4320"/>
          </w:tcPr>
          <w:p>
            <w:r>
              <w:t>data/Source_full.dvc</w:t>
            </w:r>
          </w:p>
        </w:tc>
      </w:tr>
      <w:tr>
        <w:tc>
          <w:tcPr>
            <w:tcW w:type="dxa" w:w="4320"/>
          </w:tcPr>
          <w:p>
            <w:r>
              <w:t>Models.dvc</w:t>
            </w:r>
          </w:p>
        </w:tc>
        <w:tc>
          <w:tcPr>
            <w:tcW w:type="dxa" w:w="4320"/>
          </w:tcPr>
          <w:p>
            <w:r>
              <w:t>models.dvc</w:t>
            </w:r>
          </w:p>
        </w:tc>
      </w:tr>
    </w:tbl>
    <w:p/>
    <w:p>
      <w:r>
        <w:t>Les pointeurs DVC sont regroupes avec ce qu'ils decrivent.</w:t>
      </w:r>
    </w:p>
    <w:p/>
    <w:p>
      <w:pPr>
        <w:pStyle w:val="Heading2"/>
      </w:pPr>
      <w:r>
        <w:rPr>
          <w:color w:val="2E74B5"/>
        </w:rPr>
        <w:t>Requirements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Avant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Apres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requirements/base.txt</w:t>
            </w:r>
          </w:p>
        </w:tc>
      </w:tr>
      <w:tr>
        <w:tc>
          <w:tcPr>
            <w:tcW w:type="dxa" w:w="4320"/>
          </w:tcPr>
          <w:p>
            <w:r>
              <w:t>requirements-api.txt</w:t>
            </w:r>
          </w:p>
        </w:tc>
        <w:tc>
          <w:tcPr>
            <w:tcW w:type="dxa" w:w="4320"/>
          </w:tcPr>
          <w:p>
            <w:r>
              <w:t>requirements/api.txt</w:t>
            </w:r>
          </w:p>
        </w:tc>
      </w:tr>
      <w:tr>
        <w:tc>
          <w:tcPr>
            <w:tcW w:type="dxa" w:w="4320"/>
          </w:tcPr>
          <w:p>
            <w:r>
              <w:t>requirements-dev.txt</w:t>
            </w:r>
          </w:p>
        </w:tc>
        <w:tc>
          <w:tcPr>
            <w:tcW w:type="dxa" w:w="4320"/>
          </w:tcPr>
          <w:p>
            <w:r>
              <w:t>requirements/dev.txt</w:t>
            </w:r>
          </w:p>
        </w:tc>
      </w:tr>
      <w:tr>
        <w:tc>
          <w:tcPr>
            <w:tcW w:type="dxa" w:w="4320"/>
          </w:tcPr>
          <w:p>
            <w:r>
              <w:t>requirements-streamlit.txt</w:t>
            </w:r>
          </w:p>
        </w:tc>
        <w:tc>
          <w:tcPr>
            <w:tcW w:type="dxa" w:w="4320"/>
          </w:tcPr>
          <w:p>
            <w:r>
              <w:t>requirements/streamlit.txt</w:t>
            </w:r>
          </w:p>
        </w:tc>
      </w:tr>
    </w:tbl>
    <w:p/>
    <w:p>
      <w:r>
        <w:t>Tous les fichiers de dependances sont dans le dossier requirements/.</w:t>
      </w:r>
    </w:p>
    <w:p/>
    <w:p>
      <w:pPr>
        <w:pStyle w:val="Heading2"/>
      </w:pPr>
      <w:r>
        <w:rPr>
          <w:color w:val="2E74B5"/>
        </w:rP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Avant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Apres</w:t>
            </w:r>
          </w:p>
        </w:tc>
      </w:tr>
      <w:tr>
        <w:tc>
          <w:tcPr>
            <w:tcW w:type="dxa" w:w="4320"/>
          </w:tcPr>
          <w:p>
            <w:r>
              <w:t>model_card.md</w:t>
            </w:r>
          </w:p>
        </w:tc>
        <w:tc>
          <w:tcPr>
            <w:tcW w:type="dxa" w:w="4320"/>
          </w:tcPr>
          <w:p>
            <w:r>
              <w:t>docs/model_card.md</w:t>
            </w:r>
          </w:p>
        </w:tc>
      </w:tr>
      <w:tr>
        <w:tc>
          <w:tcPr>
            <w:tcW w:type="dxa" w:w="4320"/>
          </w:tcPr>
          <w:p>
            <w:r>
              <w:t>reports/Guide_Test_Phase1.md</w:t>
            </w:r>
          </w:p>
        </w:tc>
        <w:tc>
          <w:tcPr>
            <w:tcW w:type="dxa" w:w="4320"/>
          </w:tcPr>
          <w:p>
            <w:r>
              <w:t>docs/Guide_Test_Phase1.md</w:t>
            </w:r>
          </w:p>
        </w:tc>
      </w:tr>
    </w:tbl>
    <w:p/>
    <w:p>
      <w:r>
        <w:t>Les fichiers markdown de documentation rejoignent docs/.</w:t>
      </w:r>
    </w:p>
    <w:p/>
    <w:p>
      <w:pPr>
        <w:pStyle w:val="Heading2"/>
      </w:pPr>
      <w:r>
        <w:rPr>
          <w:color w:val="2E74B5"/>
        </w:rPr>
        <w:t>Dockerfiles et Docker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Avant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Apres</w:t>
            </w:r>
          </w:p>
        </w:tc>
      </w:tr>
      <w:tr>
        <w:tc>
          <w:tcPr>
            <w:tcW w:type="dxa" w:w="4320"/>
          </w:tcPr>
          <w:p>
            <w:r>
              <w:t>Dockerfile</w:t>
            </w:r>
          </w:p>
        </w:tc>
        <w:tc>
          <w:tcPr>
            <w:tcW w:type="dxa" w:w="4320"/>
          </w:tcPr>
          <w:p>
            <w:r>
              <w:t>docker/streamlit/Dockerfile</w:t>
            </w:r>
          </w:p>
        </w:tc>
      </w:tr>
      <w:tr>
        <w:tc>
          <w:tcPr>
            <w:tcW w:type="dxa" w:w="4320"/>
          </w:tcPr>
          <w:p>
            <w:r>
              <w:t>Dockerfile.api</w:t>
            </w:r>
          </w:p>
        </w:tc>
        <w:tc>
          <w:tcPr>
            <w:tcW w:type="dxa" w:w="4320"/>
          </w:tcPr>
          <w:p>
            <w:r>
              <w:t>docker/api/Dockerfile</w:t>
            </w:r>
          </w:p>
        </w:tc>
      </w:tr>
      <w:tr>
        <w:tc>
          <w:tcPr>
            <w:tcW w:type="dxa" w:w="4320"/>
          </w:tcPr>
          <w:p>
            <w:r>
              <w:t>Dockerfile.mlflow</w:t>
            </w:r>
          </w:p>
        </w:tc>
        <w:tc>
          <w:tcPr>
            <w:tcW w:type="dxa" w:w="4320"/>
          </w:tcPr>
          <w:p>
            <w:r>
              <w:t>docker/mlflow/Dockerfile</w:t>
            </w:r>
          </w:p>
        </w:tc>
      </w:tr>
      <w:tr>
        <w:tc>
          <w:tcPr>
            <w:tcW w:type="dxa" w:w="4320"/>
          </w:tcPr>
          <w:p>
            <w:r>
              <w:t>docker-compose.dev.yml</w:t>
            </w:r>
          </w:p>
        </w:tc>
        <w:tc>
          <w:tcPr>
            <w:tcW w:type="dxa" w:w="4320"/>
          </w:tcPr>
          <w:p>
            <w:r>
              <w:t>docker/docker-compose.dev.yml</w:t>
            </w:r>
          </w:p>
        </w:tc>
      </w:tr>
    </w:tbl>
    <w:p/>
    <w:p>
      <w:r>
        <w:t>Tous les fichiers Docker sont regroupes dans docker/, un sous-dossier par service.</w:t>
      </w:r>
    </w:p>
    <w:p>
      <w:r>
        <w:rPr>
          <w:b/>
        </w:rPr>
        <w:t xml:space="preserve">Note : </w:t>
      </w:r>
      <w:r>
        <w:rPr>
          <w:i/>
        </w:rPr>
        <w:t>docker/mlflow/Dockerfile a ete mis a jour avec le flag --serve-artifacts ajoute par Sara dans son commit Phase 2.</w:t>
      </w:r>
    </w:p>
    <w:p/>
    <w:p>
      <w:pPr>
        <w:pStyle w:val="Heading2"/>
      </w:pPr>
      <w:r>
        <w:rPr>
          <w:color w:val="2E74B5"/>
        </w:rPr>
        <w:t>Rapports Word (.docx)</w:t>
      </w:r>
    </w:p>
    <w:p>
      <w:r>
        <w:t>Les rapports a la racine de reports/ ont ete deplaces dans les sous-dossiers par auteur.</w:t>
      </w:r>
    </w:p>
    <w:p>
      <w:r>
        <w:rPr>
          <w:b/>
        </w:rPr>
        <w:t>→ reports/Sara/</w:t>
      </w:r>
    </w:p>
    <w:p>
      <w:pPr>
        <w:pStyle w:val="ListBullet"/>
      </w:pPr>
      <w:r>
        <w:t>Guide_Test_Phase1.docx</w:t>
      </w:r>
    </w:p>
    <w:p>
      <w:pPr>
        <w:pStyle w:val="ListBullet"/>
      </w:pPr>
      <w:r>
        <w:t>MLOps_fichiers_transfert_DenseNet121.docx</w:t>
      </w:r>
    </w:p>
    <w:p>
      <w:pPr>
        <w:pStyle w:val="ListBullet"/>
      </w:pPr>
      <w:r>
        <w:t>Phase1_etat_des_lieux.docx</w:t>
      </w:r>
    </w:p>
    <w:p>
      <w:pPr>
        <w:pStyle w:val="ListBullet"/>
      </w:pPr>
      <w:r>
        <w:t>Guide_Test_Phase2.docx (commit Sara du 17/06)</w:t>
      </w:r>
    </w:p>
    <w:p>
      <w:pPr>
        <w:pStyle w:val="ListBullet"/>
      </w:pPr>
      <w:r>
        <w:t>Guide_Test_Phases1_2.docx (commit Sara du 17/06)</w:t>
      </w:r>
    </w:p>
    <w:p>
      <w:pPr>
        <w:pStyle w:val="ListBullet"/>
      </w:pPr>
      <w:r>
        <w:t>Phases1_2_etat_des_lieux.docx (commit Sara du 17/06)</w:t>
      </w:r>
    </w:p>
    <w:p/>
    <w:p>
      <w:pPr>
        <w:pStyle w:val="Heading1"/>
      </w:pPr>
      <w:r>
        <w:rPr>
          <w:color w:val="1F497D"/>
        </w:rPr>
        <w:t>3. Nouveaux dossiers crees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Dossier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docker/</w:t>
            </w:r>
          </w:p>
        </w:tc>
        <w:tc>
          <w:tcPr>
            <w:tcW w:type="dxa" w:w="4320"/>
          </w:tcPr>
          <w:p>
            <w:r>
              <w:t>Dockerfiles par service + docker-compose</w:t>
            </w:r>
          </w:p>
        </w:tc>
      </w:tr>
      <w:tr>
        <w:tc>
          <w:tcPr>
            <w:tcW w:type="dxa" w:w="4320"/>
          </w:tcPr>
          <w:p>
            <w:r>
              <w:t>airflow/</w:t>
            </w:r>
          </w:p>
        </w:tc>
        <w:tc>
          <w:tcPr>
            <w:tcW w:type="dxa" w:w="4320"/>
          </w:tcPr>
          <w:p>
            <w:r>
              <w:t>DAG Airflow + docker-compose Airflow</w:t>
            </w:r>
          </w:p>
        </w:tc>
      </w:tr>
    </w:tbl>
    <w:p/>
    <w:p>
      <w:pPr>
        <w:pStyle w:val="Heading1"/>
      </w:pPr>
      <w:r>
        <w:rPr>
          <w:color w:val="1F497D"/>
        </w:rPr>
        <w:t>4. Structure resultante (racine)</w:t>
      </w:r>
    </w:p>
    <w:p>
      <w:pPr>
        <w:pStyle w:val="NoSpacing"/>
      </w:pPr>
      <w:r>
        <w:rPr>
          <w:rFonts w:ascii="Courier New" w:hAnsi="Courier New"/>
          <w:sz w:val="18"/>
        </w:rPr>
        <w:t>.</w:t>
        <w:br/>
        <w:t>├── airflow/                  # Orchestration Airflow</w:t>
        <w:br/>
        <w:t>├── app/                      # Streamlit</w:t>
        <w:br/>
        <w:t>├── configs/                  # Configs entrainement</w:t>
        <w:br/>
        <w:t>├── data/                     # Donnees + pointeurs DVC</w:t>
        <w:br/>
        <w:t>├── docker/                   # Tous les Dockerfiles</w:t>
        <w:br/>
        <w:t>├── docs/                     # Documentation markdown</w:t>
        <w:br/>
        <w:t>├── models/                   # Modeles entraines</w:t>
        <w:br/>
        <w:t>├── notebooks/                # Notebooks d'exploration</w:t>
        <w:br/>
        <w:t>├── reports/</w:t>
        <w:br/>
        <w:t>│   ├── Romane/</w:t>
        <w:br/>
        <w:t>│   └── Sara/</w:t>
        <w:br/>
        <w:t>├── requirements/             # Dependances Python</w:t>
        <w:br/>
        <w:t>├── scripts/                  # Scripts utilitaires</w:t>
        <w:br/>
        <w:t>├── src/                      # Code source</w:t>
        <w:br/>
        <w:t>├── tests/                    # Tests unitaires</w:t>
        <w:br/>
        <w:t>├── MLproject                 # Entry point MLflow run</w:t>
        <w:br/>
        <w:t>├── conda.yaml                # Env conda pour MLflow run</w:t>
        <w:br/>
        <w:t>├── Makefile</w:t>
        <w:br/>
        <w:t>└── README.md</w:t>
      </w:r>
    </w:p>
    <w:p/>
    <w:p>
      <w:pPr>
        <w:pStyle w:val="Heading1"/>
      </w:pPr>
      <w:r>
        <w:rPr>
          <w:color w:val="1F497D"/>
        </w:rPr>
        <w:t>5. Impact sur les commandes existantes</w:t>
      </w:r>
    </w:p>
    <w:p>
      <w:r>
        <w:t>Si vous utilisez des chemins en dur dans vos scripts locaux, mettez-les a jour :</w:t>
      </w:r>
    </w:p>
    <w:p>
      <w:pPr>
        <w:pStyle w:val="ListBullet"/>
      </w:pPr>
      <w:r>
        <w:rPr>
          <w:rFonts w:ascii="Courier New" w:hAnsi="Courier New"/>
          <w:sz w:val="20"/>
        </w:rPr>
        <w:t>requirements.txt  →  requirements/base.txt</w:t>
      </w:r>
    </w:p>
    <w:p>
      <w:pPr>
        <w:pStyle w:val="ListBullet"/>
      </w:pPr>
      <w:r>
        <w:rPr>
          <w:rFonts w:ascii="Courier New" w:hAnsi="Courier New"/>
          <w:sz w:val="20"/>
        </w:rPr>
        <w:t>Dockerfile  →  docker/streamlit/Dockerfile</w:t>
      </w:r>
    </w:p>
    <w:p>
      <w:pPr>
        <w:pStyle w:val="ListBullet"/>
      </w:pPr>
      <w:r>
        <w:rPr>
          <w:rFonts w:ascii="Courier New" w:hAnsi="Courier New"/>
          <w:sz w:val="20"/>
        </w:rPr>
        <w:t>docker-compose.dev.yml  →  docker/docker-compose.dev.yml</w:t>
      </w:r>
    </w:p>
    <w:p/>
    <w:p>
      <w:r>
        <w:t>Le Makefile et le CI (.github/workflows/ci.yml) ont ete mis a jour en consequence.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