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Supply Chain - Satisfaction des clients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Cursus concerné 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Scientist</w:t>
        <w:tab/>
        <w:tab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  <w:tab/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Niveau de difficulté 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06/10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 du projet : </w:t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La supply chain représente les étapes d'approvisionnement, du processus productif et de distribution de la marchandise.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</w:rPr>
        <w:drawing>
          <wp:inline distB="114300" distT="114300" distL="114300" distR="114300">
            <wp:extent cx="5731200" cy="184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En aval de ce processus, il peut être intéressant d’évaluer la satisfaction client pour 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Étude de qualité sur la supply chain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: problème de conception, livraison, prix non adapté, durabilité…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Étudier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si le produit/service correspond bien à l’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attente du marché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Synthétiser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les feedback, améliorations des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Aider à la réponse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ou à la redirection des clients insatisfaits...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Pour de nombreux produits/services, la satisfaction des clients se mesure sur les commentaires, avis de sites dédiés (Trustpilot, site distributeur, twitter…).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Il peut être long, fastidieux mais important de lire et analyser les verbatim* qui sont essentiels à la compréhension de la satisfaction client, mais en l’absence d’outils qui permettent de synthétiser ces avis, les procédés sont généralement par échantillonnage.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L’objectif de ce projet est d’extraire de l’information de commentaires. Voici quelques axes de travails 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Prédire la satisfaction d’un client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: problème de régression (prédire le nombre d'étoiles).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Identifier les entités importantes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d’un message : localisation, nom d’entreprise...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Extraire les propos du commentaire (problème de livraison, article défectueux...) : approche non supervisé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Extraire de la réponse du fournisseur les propos du commentaire dans but d’essayer de les prédire uniquement avec le commentaire.</w:t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Ressources à consulter 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Données 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Le jeu de données peut se construire en scrapant (extraire) des sites d’avis de consommation 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276" w:lineRule="auto"/>
        <w:ind w:left="216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Trustpilot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: </w:t>
      </w:r>
      <w:hyperlink r:id="rId7">
        <w:r w:rsidDel="00000000" w:rsidR="00000000" w:rsidRPr="00000000">
          <w:rPr>
            <w:rFonts w:ascii="Montserrat" w:cs="Montserrat" w:eastAsia="Montserrat" w:hAnsi="Montserrat"/>
            <w:i w:val="1"/>
            <w:rtl w:val="0"/>
          </w:rPr>
          <w:t xml:space="preserve">https://www.trustpilot.com/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276" w:lineRule="auto"/>
        <w:ind w:left="216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Site du distributeur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: Amazon, CDiscount…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276" w:lineRule="auto"/>
        <w:ind w:left="216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Réseaux sociaux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: Twitter, Facebook…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144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Deux jeux de données sont disponibles pour le site Trusted shops 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76" w:lineRule="auto"/>
        <w:ind w:left="216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venant de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Trusted shops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: les avis sont vérifiés, c’est-à-dire qu’ils font suite à une commande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76" w:lineRule="auto"/>
        <w:ind w:left="216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venant de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Trustpilot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: avis d'internautes.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Conditions de validation du projet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rapport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d’exploration, de data visualisation et de pre-processing des données ;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rapport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 modélisation ;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rapport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final et le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GitHub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associé.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  <w:sz w:val="20"/>
        <w:szCs w:val="20"/>
      </w:rPr>
    </w:pPr>
    <w:hyperlink r:id="rId1"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DataScientest.com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  <w:color w:val="5930f2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 Agrément organisme de formation 11755665975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  <w:color w:val="5930f2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09 80 80 79 49 </w:t>
    </w:r>
  </w:p>
  <w:p w:rsidR="00000000" w:rsidDel="00000000" w:rsidP="00000000" w:rsidRDefault="00000000" w:rsidRPr="00000000" w14:paraId="00000032">
    <w:pPr>
      <w:tabs>
        <w:tab w:val="center" w:leader="none" w:pos="4536"/>
        <w:tab w:val="right" w:leader="none" w:pos="907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2 place de Barcelone, 75016 Paris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085975" cy="9048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5788" l="0" r="0" t="12781"/>
                  <a:stretch>
                    <a:fillRect/>
                  </a:stretch>
                </pic:blipFill>
                <pic:spPr>
                  <a:xfrm>
                    <a:off x="0" y="0"/>
                    <a:ext cx="2085975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-1304923</wp:posOffset>
          </wp:positionH>
          <wp:positionV relativeFrom="paragraph">
            <wp:posOffset>-457197</wp:posOffset>
          </wp:positionV>
          <wp:extent cx="295275" cy="8905875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73394" t="-56"/>
                  <a:stretch>
                    <a:fillRect/>
                  </a:stretch>
                </pic:blipFill>
                <pic:spPr>
                  <a:xfrm rot="5400000">
                    <a:off x="0" y="0"/>
                    <a:ext cx="295275" cy="8905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trustpilot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atascientes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