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878CF" w14:textId="77777777" w:rsidR="003866EF" w:rsidRDefault="003866EF" w:rsidP="003866EF">
      <w:pPr>
        <w:pStyle w:val="Titre2"/>
        <w:rPr>
          <w:rFonts w:cs="Arial"/>
          <w:b/>
          <w:bCs/>
          <w:szCs w:val="24"/>
        </w:rPr>
      </w:pPr>
      <w:bookmarkStart w:id="0" w:name="_Toc152326386"/>
      <w:r w:rsidRPr="00830AD4">
        <w:rPr>
          <w:rFonts w:cs="Arial"/>
          <w:sz w:val="24"/>
          <w:szCs w:val="24"/>
        </w:rPr>
        <w:t>Discussion</w:t>
      </w:r>
      <w:bookmarkEnd w:id="0"/>
    </w:p>
    <w:p w14:paraId="232F9323" w14:textId="77777777" w:rsidR="003866EF" w:rsidRPr="00D27E0B" w:rsidRDefault="003866EF" w:rsidP="003866EF"/>
    <w:p w14:paraId="732C7BCE" w14:textId="77777777" w:rsidR="003866EF" w:rsidRPr="00830AD4" w:rsidRDefault="003866EF" w:rsidP="003866EF">
      <w:pPr>
        <w:pStyle w:val="Titre3"/>
        <w:ind w:left="0"/>
        <w:rPr>
          <w:rFonts w:cs="Arial"/>
          <w:b w:val="0"/>
          <w:bCs w:val="0"/>
          <w:szCs w:val="24"/>
        </w:rPr>
      </w:pPr>
      <w:bookmarkStart w:id="1" w:name="_Toc152326387"/>
      <w:r w:rsidRPr="00830AD4">
        <w:rPr>
          <w:rFonts w:cs="Arial"/>
          <w:b w:val="0"/>
          <w:bCs w:val="0"/>
          <w:szCs w:val="24"/>
        </w:rPr>
        <w:t>Interprétation des résultats</w:t>
      </w:r>
      <w:bookmarkEnd w:id="1"/>
    </w:p>
    <w:p w14:paraId="0C9682BA" w14:textId="77777777" w:rsidR="003866EF" w:rsidRPr="00D27E0B" w:rsidRDefault="003866EF" w:rsidP="003866EF">
      <w:pPr>
        <w:rPr>
          <w:rFonts w:cs="Arial"/>
          <w:color w:val="0070C0"/>
          <w:szCs w:val="24"/>
        </w:rPr>
      </w:pPr>
      <w:r>
        <w:rPr>
          <w:rFonts w:cs="Arial"/>
          <w:color w:val="0070C0"/>
          <w:szCs w:val="24"/>
        </w:rPr>
        <w:t xml:space="preserve">Comme indiqué dans la section précédente, nos </w:t>
      </w:r>
      <w:r w:rsidRPr="00D27E0B">
        <w:rPr>
          <w:rFonts w:cs="Arial"/>
          <w:color w:val="0070C0"/>
          <w:szCs w:val="24"/>
        </w:rPr>
        <w:t>meilleurs</w:t>
      </w:r>
      <w:r>
        <w:rPr>
          <w:rFonts w:cs="Arial"/>
          <w:color w:val="0070C0"/>
          <w:szCs w:val="24"/>
        </w:rPr>
        <w:t xml:space="preserve"> scores</w:t>
      </w:r>
      <w:r w:rsidRPr="00D27E0B">
        <w:rPr>
          <w:rFonts w:cs="Arial"/>
          <w:color w:val="0070C0"/>
          <w:szCs w:val="24"/>
        </w:rPr>
        <w:t xml:space="preserve"> viennent des </w:t>
      </w:r>
      <w:r w:rsidRPr="003D5E0F">
        <w:rPr>
          <w:rFonts w:cs="Arial"/>
          <w:b/>
          <w:bCs/>
          <w:color w:val="0070C0"/>
          <w:szCs w:val="24"/>
        </w:rPr>
        <w:t>méthodes d’ensemble.</w:t>
      </w:r>
    </w:p>
    <w:p w14:paraId="0521DAD6" w14:textId="77777777" w:rsidR="003866EF" w:rsidRDefault="003866EF" w:rsidP="003866EF">
      <w:pPr>
        <w:rPr>
          <w:rFonts w:cs="Arial"/>
          <w:szCs w:val="24"/>
        </w:rPr>
      </w:pPr>
    </w:p>
    <w:p w14:paraId="7ED4FF3B" w14:textId="77777777" w:rsidR="003866EF" w:rsidRPr="003D5E0F" w:rsidRDefault="003866EF" w:rsidP="003866EF">
      <w:pPr>
        <w:rPr>
          <w:rFonts w:cs="Arial"/>
          <w:color w:val="0070C0"/>
          <w:szCs w:val="24"/>
        </w:rPr>
      </w:pPr>
      <w:r w:rsidRPr="003D5E0F">
        <w:rPr>
          <w:rFonts w:cs="Arial"/>
          <w:color w:val="0070C0"/>
          <w:szCs w:val="24"/>
        </w:rPr>
        <w:t xml:space="preserve">Pour rappel, notre implémentation du </w:t>
      </w:r>
      <w:proofErr w:type="spellStart"/>
      <w:r w:rsidRPr="003D5E0F">
        <w:rPr>
          <w:rFonts w:cs="Arial"/>
          <w:color w:val="0070C0"/>
          <w:szCs w:val="24"/>
        </w:rPr>
        <w:t>Voting</w:t>
      </w:r>
      <w:proofErr w:type="spellEnd"/>
      <w:r w:rsidRPr="003D5E0F">
        <w:rPr>
          <w:rFonts w:cs="Arial"/>
          <w:color w:val="0070C0"/>
          <w:szCs w:val="24"/>
        </w:rPr>
        <w:t xml:space="preserve"> réunit et fait voter les quatre modèles optimisés suivants :</w:t>
      </w:r>
    </w:p>
    <w:p w14:paraId="4C50832D" w14:textId="77777777" w:rsidR="003866EF" w:rsidRPr="003D5E0F" w:rsidRDefault="003866EF" w:rsidP="003866EF">
      <w:pPr>
        <w:pStyle w:val="Paragraphedeliste"/>
        <w:numPr>
          <w:ilvl w:val="0"/>
          <w:numId w:val="1"/>
        </w:numPr>
        <w:rPr>
          <w:rFonts w:cs="Arial"/>
          <w:color w:val="0070C0"/>
          <w:szCs w:val="24"/>
        </w:rPr>
      </w:pPr>
      <w:proofErr w:type="spellStart"/>
      <w:r w:rsidRPr="003D5E0F">
        <w:rPr>
          <w:rFonts w:cs="Arial"/>
          <w:color w:val="0070C0"/>
          <w:szCs w:val="24"/>
        </w:rPr>
        <w:t>LogReg</w:t>
      </w:r>
      <w:proofErr w:type="spellEnd"/>
    </w:p>
    <w:p w14:paraId="47C54238" w14:textId="77777777" w:rsidR="003866EF" w:rsidRPr="003D5E0F" w:rsidRDefault="003866EF" w:rsidP="003866EF">
      <w:pPr>
        <w:pStyle w:val="Paragraphedeliste"/>
        <w:numPr>
          <w:ilvl w:val="0"/>
          <w:numId w:val="1"/>
        </w:numPr>
        <w:rPr>
          <w:rFonts w:cs="Arial"/>
          <w:color w:val="0070C0"/>
          <w:szCs w:val="24"/>
        </w:rPr>
      </w:pPr>
      <w:r w:rsidRPr="003D5E0F">
        <w:rPr>
          <w:rFonts w:cs="Arial"/>
          <w:color w:val="0070C0"/>
          <w:szCs w:val="24"/>
        </w:rPr>
        <w:t>DT</w:t>
      </w:r>
    </w:p>
    <w:p w14:paraId="758A3542" w14:textId="77777777" w:rsidR="003866EF" w:rsidRPr="003D5E0F" w:rsidRDefault="003866EF" w:rsidP="003866EF">
      <w:pPr>
        <w:pStyle w:val="Paragraphedeliste"/>
        <w:numPr>
          <w:ilvl w:val="0"/>
          <w:numId w:val="1"/>
        </w:numPr>
        <w:rPr>
          <w:rFonts w:cs="Arial"/>
          <w:color w:val="0070C0"/>
          <w:szCs w:val="24"/>
        </w:rPr>
      </w:pPr>
      <w:r w:rsidRPr="003D5E0F">
        <w:rPr>
          <w:rFonts w:cs="Arial"/>
          <w:color w:val="0070C0"/>
          <w:szCs w:val="24"/>
        </w:rPr>
        <w:t>RF</w:t>
      </w:r>
    </w:p>
    <w:p w14:paraId="522A19CA" w14:textId="77777777" w:rsidR="003866EF" w:rsidRPr="003D5E0F" w:rsidRDefault="003866EF" w:rsidP="003866EF">
      <w:pPr>
        <w:pStyle w:val="Paragraphedeliste"/>
        <w:numPr>
          <w:ilvl w:val="0"/>
          <w:numId w:val="1"/>
        </w:numPr>
        <w:rPr>
          <w:rFonts w:cs="Arial"/>
          <w:color w:val="0070C0"/>
          <w:szCs w:val="24"/>
        </w:rPr>
      </w:pPr>
      <w:r w:rsidRPr="003D5E0F">
        <w:rPr>
          <w:rFonts w:cs="Arial"/>
          <w:color w:val="0070C0"/>
          <w:szCs w:val="24"/>
        </w:rPr>
        <w:t>KNN</w:t>
      </w:r>
    </w:p>
    <w:p w14:paraId="342C3B1E" w14:textId="77777777" w:rsidR="003866EF" w:rsidRPr="003D5E0F" w:rsidRDefault="003866EF" w:rsidP="003866EF">
      <w:pPr>
        <w:rPr>
          <w:rFonts w:cs="Arial"/>
          <w:color w:val="0070C0"/>
          <w:szCs w:val="24"/>
        </w:rPr>
      </w:pPr>
    </w:p>
    <w:p w14:paraId="1FE4B47C" w14:textId="77777777" w:rsidR="003866EF" w:rsidRPr="003D5E0F" w:rsidRDefault="003866EF" w:rsidP="003866EF">
      <w:pPr>
        <w:rPr>
          <w:rFonts w:cs="Arial"/>
          <w:color w:val="0070C0"/>
          <w:szCs w:val="24"/>
        </w:rPr>
      </w:pPr>
      <w:r w:rsidRPr="003D5E0F">
        <w:rPr>
          <w:rFonts w:cs="Arial"/>
          <w:color w:val="0070C0"/>
          <w:szCs w:val="24"/>
        </w:rPr>
        <w:t xml:space="preserve">Notre implémentation du </w:t>
      </w:r>
      <w:proofErr w:type="spellStart"/>
      <w:r w:rsidRPr="003D5E0F">
        <w:rPr>
          <w:rFonts w:cs="Arial"/>
          <w:color w:val="0070C0"/>
          <w:szCs w:val="24"/>
        </w:rPr>
        <w:t>Stacking</w:t>
      </w:r>
      <w:proofErr w:type="spellEnd"/>
      <w:r w:rsidRPr="003D5E0F">
        <w:rPr>
          <w:rFonts w:cs="Arial"/>
          <w:color w:val="0070C0"/>
          <w:szCs w:val="24"/>
        </w:rPr>
        <w:t xml:space="preserve">, qui affiche également de belles performances, est construite sur ces mêmes modèles de base, suivie de la désignation de </w:t>
      </w:r>
      <w:proofErr w:type="spellStart"/>
      <w:r w:rsidRPr="003D5E0F">
        <w:rPr>
          <w:rFonts w:cs="Arial"/>
          <w:color w:val="0070C0"/>
          <w:szCs w:val="24"/>
        </w:rPr>
        <w:t>LogReg</w:t>
      </w:r>
      <w:proofErr w:type="spellEnd"/>
      <w:r w:rsidRPr="003D5E0F">
        <w:rPr>
          <w:rFonts w:cs="Arial"/>
          <w:color w:val="0070C0"/>
          <w:szCs w:val="24"/>
        </w:rPr>
        <w:t xml:space="preserve"> comme estimateur final.</w:t>
      </w:r>
    </w:p>
    <w:p w14:paraId="23ECB092" w14:textId="77777777" w:rsidR="003866EF" w:rsidRPr="003D5E0F" w:rsidRDefault="003866EF" w:rsidP="003866EF">
      <w:pPr>
        <w:rPr>
          <w:rFonts w:cs="Arial"/>
          <w:color w:val="0070C0"/>
          <w:szCs w:val="24"/>
        </w:rPr>
      </w:pPr>
    </w:p>
    <w:p w14:paraId="4A3E9B5E" w14:textId="77777777" w:rsidR="003866EF" w:rsidRPr="003D5E0F" w:rsidRDefault="003866EF" w:rsidP="003866EF">
      <w:pPr>
        <w:rPr>
          <w:rFonts w:cs="Arial"/>
          <w:color w:val="0070C0"/>
          <w:szCs w:val="24"/>
        </w:rPr>
      </w:pPr>
      <w:r w:rsidRPr="003D5E0F">
        <w:rPr>
          <w:rFonts w:cs="Arial"/>
          <w:color w:val="0070C0"/>
          <w:szCs w:val="24"/>
        </w:rPr>
        <w:t xml:space="preserve">Le pouvoir de ces approches résident en leur capacité à combiner des modèles très différents : elles sont en mesure de tirer profit des forces individuelles de ces derniers, tout en maîtrisant leurs faiblesses respectives. Cette diversité, que nous avons essayé de respecter au mieux dans nos implémentations (en choisissant des modèles aussi variés que possible), est un atout face notre jeu de données. En effet, la complexité, le déséquilibre, les dimensions et l’hétérogénéité de ce dernier mettent à mal les modèles classiques, qui ne parviennent pas à en capturer les caractéristiques plurielles et la structure complexe sous-jacente. </w:t>
      </w:r>
      <w:r w:rsidRPr="003D5E0F">
        <w:rPr>
          <w:rFonts w:cs="Arial"/>
          <w:color w:val="0070C0"/>
          <w:szCs w:val="24"/>
        </w:rPr>
        <w:fldChar w:fldCharType="begin"/>
      </w:r>
      <w:r w:rsidRPr="003D5E0F">
        <w:rPr>
          <w:rFonts w:cs="Arial"/>
          <w:color w:val="0070C0"/>
          <w:szCs w:val="24"/>
        </w:rPr>
        <w:instrText xml:space="preserve"> ADDIN ZOTERO_ITEM CSL_CITATION {"citationID":"PCbUdbSw","properties":{"formattedCitation":"[15]","plainCitation":"[15]","noteIndex":0},"citationItems":[{"id":2801,"uris":["http://zotero.org/users/1564978/items/5IVTXEGA"],"itemData":{"id":2801,"type":"article-journal","abstract":"Despite significant successes achieved in knowledge discovery, traditional machine learning methods may fail to obtain satisfactory performances when dealing with complex data, such as imbalanced, high-dimensional, noisy data, etc. The reason behind is that it is difficult for these methods to capture multiple characteristics and underlying structure of data. In this context, it becomes an important topic in the data mining field that how to effectively construct an efficient knowledge discovery and mining model. Ensemble learning, as one research hot spot, aims to integrate data fusion, data modeling, and data mining into a unified framework. Specifically, ensemble learning firstly extracts a set of features with a variety of transformations. Based on these learned features, multiple learning algorithms are utilized to produce weak predictive results. Finally, ensemble learning fuses the informative knowledge from the above results obtained to achieve knowledge discovery and better predictive performance via voting schemes in an adaptive way. In this paper, we review the research progress of the mainstream approaches of ensemble learning and classify them based on different characteristics. In addition, we present challenges and possible research directions for each mainstream approach of ensemble learning, and we also give an extra introduction for the combination of ensemble learning with other machine learning hot spots such as deep learning, reinforcement learning, etc.","container-title":"Frontiers of Computer Science","DOI":"10.1007/s11704-019-8208-z","ISSN":"2095-2236","issue":"2","journalAbbreviation":"Front. Comput. Sci.","language":"en","page":"241-258","source":"Springer Link","title":"A survey on ensemble learning","volume":"14","author":[{"family":"Dong","given":"Xibin"},{"family":"Yu","given":"Zhiwen"},{"family":"Cao","given":"Wenming"},{"family":"Shi","given":"Yifan"},{"family":"Ma","given":"Qianli"}],"issued":{"date-parts":[["2020",4,1]]}}}],"schema":"https://github.com/citation-style-language/schema/raw/master/csl-citation.json"} </w:instrText>
      </w:r>
      <w:r w:rsidRPr="003D5E0F">
        <w:rPr>
          <w:rFonts w:cs="Arial"/>
          <w:color w:val="0070C0"/>
          <w:szCs w:val="24"/>
        </w:rPr>
        <w:fldChar w:fldCharType="separate"/>
      </w:r>
      <w:r w:rsidRPr="003D5E0F">
        <w:rPr>
          <w:rFonts w:cs="Arial"/>
          <w:noProof/>
          <w:color w:val="0070C0"/>
          <w:szCs w:val="24"/>
        </w:rPr>
        <w:t>[15]</w:t>
      </w:r>
      <w:r w:rsidRPr="003D5E0F">
        <w:rPr>
          <w:rFonts w:cs="Arial"/>
          <w:color w:val="0070C0"/>
          <w:szCs w:val="24"/>
        </w:rPr>
        <w:fldChar w:fldCharType="end"/>
      </w:r>
    </w:p>
    <w:p w14:paraId="5EDB462E" w14:textId="77777777" w:rsidR="003866EF" w:rsidRPr="003D5E0F" w:rsidRDefault="003866EF" w:rsidP="003866EF">
      <w:pPr>
        <w:rPr>
          <w:rFonts w:cs="Arial"/>
          <w:color w:val="0070C0"/>
          <w:szCs w:val="24"/>
        </w:rPr>
      </w:pPr>
    </w:p>
    <w:p w14:paraId="1D20352B" w14:textId="77777777" w:rsidR="003866EF" w:rsidRPr="003D5E0F" w:rsidRDefault="003866EF" w:rsidP="003866EF">
      <w:pPr>
        <w:rPr>
          <w:rFonts w:cs="Arial"/>
          <w:color w:val="0070C0"/>
          <w:szCs w:val="24"/>
        </w:rPr>
      </w:pPr>
      <w:r w:rsidRPr="003D5E0F">
        <w:rPr>
          <w:rFonts w:cs="Arial"/>
          <w:color w:val="0070C0"/>
          <w:szCs w:val="24"/>
        </w:rPr>
        <w:t>Cependant, malgré leurs bons scores, ces modèles comportent aussi des inconvénients. Les deux principaux sont les suivants :</w:t>
      </w:r>
    </w:p>
    <w:p w14:paraId="77A48005" w14:textId="77777777" w:rsidR="003866EF" w:rsidRPr="003D5E0F" w:rsidRDefault="003866EF" w:rsidP="003866EF">
      <w:pPr>
        <w:pStyle w:val="Paragraphedeliste"/>
        <w:numPr>
          <w:ilvl w:val="0"/>
          <w:numId w:val="2"/>
        </w:numPr>
        <w:rPr>
          <w:rFonts w:cs="Arial"/>
          <w:color w:val="0070C0"/>
          <w:szCs w:val="24"/>
        </w:rPr>
      </w:pPr>
      <w:r w:rsidRPr="003D5E0F">
        <w:rPr>
          <w:rFonts w:cs="Arial"/>
          <w:color w:val="0070C0"/>
          <w:szCs w:val="24"/>
        </w:rPr>
        <w:t xml:space="preserve">Ils sont coûteux en ressources de calcul. </w:t>
      </w:r>
      <w:r w:rsidRPr="003D5E0F">
        <w:rPr>
          <w:rFonts w:cs="Arial"/>
          <w:color w:val="0070C0"/>
          <w:szCs w:val="24"/>
        </w:rPr>
        <w:fldChar w:fldCharType="begin"/>
      </w:r>
      <w:r w:rsidRPr="003D5E0F">
        <w:rPr>
          <w:rFonts w:cs="Arial"/>
          <w:color w:val="0070C0"/>
          <w:szCs w:val="24"/>
        </w:rPr>
        <w:instrText xml:space="preserve"> ADDIN ZOTERO_ITEM CSL_CITATION {"citationID":"4p8MyUa6","properties":{"formattedCitation":"[16]","plainCitation":"[16]","noteIndex":0},"citationItems":[{"id":2884,"uris":["http://zotero.org/users/1564978/items/I7S7EMNZ"],"itemData":{"id":2884,"type":"webpage","abstract":"A guide to leveraging an underrated ensemble method to achieve better predictive performance","container-title":"Medium","language":"en","title":"Combine Your Machine Learning Models With Voting","URL":"https://towardsdatascience.com/combine-your-machine-learning-models-with-voting-fa1b42790d84","author":[{"family":"Nair","given":"Aashish"}],"accessed":{"date-parts":[["2023",11,30]]},"issued":{"date-parts":[["2021",10,12]]}}}],"schema":"https://github.com/citation-style-language/schema/raw/master/csl-citation.json"} </w:instrText>
      </w:r>
      <w:r w:rsidRPr="003D5E0F">
        <w:rPr>
          <w:rFonts w:cs="Arial"/>
          <w:color w:val="0070C0"/>
          <w:szCs w:val="24"/>
        </w:rPr>
        <w:fldChar w:fldCharType="separate"/>
      </w:r>
      <w:r w:rsidRPr="003D5E0F">
        <w:rPr>
          <w:rFonts w:cs="Arial"/>
          <w:noProof/>
          <w:color w:val="0070C0"/>
          <w:szCs w:val="24"/>
        </w:rPr>
        <w:t>[16]</w:t>
      </w:r>
      <w:r w:rsidRPr="003D5E0F">
        <w:rPr>
          <w:rFonts w:cs="Arial"/>
          <w:color w:val="0070C0"/>
          <w:szCs w:val="24"/>
        </w:rPr>
        <w:fldChar w:fldCharType="end"/>
      </w:r>
      <w:r w:rsidRPr="003D5E0F">
        <w:rPr>
          <w:rFonts w:cs="Arial"/>
          <w:color w:val="0070C0"/>
          <w:szCs w:val="24"/>
        </w:rPr>
        <w:t xml:space="preserve"> À titre d’exemple, notre implémentation du </w:t>
      </w:r>
      <w:proofErr w:type="spellStart"/>
      <w:r w:rsidRPr="003D5E0F">
        <w:rPr>
          <w:rFonts w:cs="Arial"/>
          <w:color w:val="0070C0"/>
          <w:szCs w:val="24"/>
        </w:rPr>
        <w:t>Voting</w:t>
      </w:r>
      <w:proofErr w:type="spellEnd"/>
      <w:r w:rsidRPr="003D5E0F">
        <w:rPr>
          <w:rFonts w:cs="Arial"/>
          <w:color w:val="0070C0"/>
          <w:szCs w:val="24"/>
        </w:rPr>
        <w:t xml:space="preserve"> revient à faire quatre modélisations, ce qui représente une opération conséquente compte tenu des dimensions de notre jeu de données.</w:t>
      </w:r>
    </w:p>
    <w:p w14:paraId="7CD03201" w14:textId="77777777" w:rsidR="003866EF" w:rsidRPr="003D5E0F" w:rsidRDefault="003866EF" w:rsidP="003866EF">
      <w:pPr>
        <w:pStyle w:val="Paragraphedeliste"/>
        <w:numPr>
          <w:ilvl w:val="0"/>
          <w:numId w:val="2"/>
        </w:numPr>
        <w:rPr>
          <w:rFonts w:cs="Arial"/>
          <w:color w:val="0070C0"/>
          <w:szCs w:val="24"/>
        </w:rPr>
      </w:pPr>
      <w:r w:rsidRPr="003D5E0F">
        <w:rPr>
          <w:rFonts w:cs="Arial"/>
          <w:color w:val="0070C0"/>
          <w:szCs w:val="24"/>
        </w:rPr>
        <w:t xml:space="preserve">Leur complexité se traduit par une interprétabilité plus faible. </w:t>
      </w:r>
      <w:r w:rsidRPr="003D5E0F">
        <w:rPr>
          <w:rFonts w:cs="Arial"/>
          <w:color w:val="0070C0"/>
          <w:szCs w:val="24"/>
        </w:rPr>
        <w:fldChar w:fldCharType="begin"/>
      </w:r>
      <w:r w:rsidRPr="003D5E0F">
        <w:rPr>
          <w:rFonts w:cs="Arial"/>
          <w:color w:val="0070C0"/>
          <w:szCs w:val="24"/>
        </w:rPr>
        <w:instrText xml:space="preserve"> ADDIN ZOTERO_ITEM CSL_CITATION {"citationID":"XWv5z0ZM","properties":{"formattedCitation":"[17]","plainCitation":"[17]","noteIndex":0},"citationItems":[{"id":2887,"uris":["http://zotero.org/users/1564978/items/B3GTW8PL"],"itemData":{"id":2887,"type":"webpage","abstract":"Essential guide to Voting Classifier Ensemble","container-title":"Medium","language":"en","title":"Use Voting Classifier to improve the performance of your ML model","URL":"https://towardsdatascience.com/use-voting-classifier-to-improve-the-performance-of-your-ml-model-805345f9de0e","author":[{"family":"Kumar","given":"Satyam"}],"accessed":{"date-parts":[["2023",11,30]]},"issued":{"date-parts":[["2021",11,1]]}}}],"schema":"https://github.com/citation-style-language/schema/raw/master/csl-citation.json"} </w:instrText>
      </w:r>
      <w:r w:rsidRPr="003D5E0F">
        <w:rPr>
          <w:rFonts w:cs="Arial"/>
          <w:color w:val="0070C0"/>
          <w:szCs w:val="24"/>
        </w:rPr>
        <w:fldChar w:fldCharType="separate"/>
      </w:r>
      <w:r w:rsidRPr="003D5E0F">
        <w:rPr>
          <w:rFonts w:cs="Arial"/>
          <w:noProof/>
          <w:color w:val="0070C0"/>
          <w:szCs w:val="24"/>
        </w:rPr>
        <w:t>[17]</w:t>
      </w:r>
      <w:r w:rsidRPr="003D5E0F">
        <w:rPr>
          <w:rFonts w:cs="Arial"/>
          <w:color w:val="0070C0"/>
          <w:szCs w:val="24"/>
        </w:rPr>
        <w:fldChar w:fldCharType="end"/>
      </w:r>
      <w:r w:rsidRPr="003D5E0F">
        <w:rPr>
          <w:rFonts w:cs="Arial"/>
          <w:color w:val="0070C0"/>
          <w:szCs w:val="24"/>
        </w:rPr>
        <w:t xml:space="preserve"> Dans le </w:t>
      </w:r>
      <w:r w:rsidRPr="003D5E0F">
        <w:rPr>
          <w:rFonts w:cs="Arial"/>
          <w:color w:val="0070C0"/>
          <w:szCs w:val="24"/>
        </w:rPr>
        <w:lastRenderedPageBreak/>
        <w:t xml:space="preserve">domaine de l’apprentissage automatique, la question de l’interprétabilité des modèles est loin d’être anodine. En fonction du secteur d’activité, des parties prenantes et d’autres éléments de contexte, elle peut même être centrale et contraindre le choix de modèle (souvent au détriment de la performance, laquelle augmente généralement avec la sophistication d’un modèle). Le plus souvent, le besoin ou le désir de développer la confiance des usagers dans un modèle et ses prédictions incite à en préférer un avec une bonne interprétabilité, quitte à faire des concessions sur la performance. </w:t>
      </w:r>
      <w:r w:rsidRPr="003D5E0F">
        <w:rPr>
          <w:rFonts w:cs="Arial"/>
          <w:color w:val="0070C0"/>
          <w:szCs w:val="24"/>
        </w:rPr>
        <w:fldChar w:fldCharType="begin"/>
      </w:r>
      <w:r w:rsidRPr="003D5E0F">
        <w:rPr>
          <w:rFonts w:cs="Arial"/>
          <w:color w:val="0070C0"/>
          <w:szCs w:val="24"/>
        </w:rPr>
        <w:instrText xml:space="preserve"> ADDIN ZOTERO_ITEM CSL_CITATION {"citationID":"VXSUS2O8","properties":{"formattedCitation":"[18]","plainCitation":"[18]","noteIndex":0},"citationItems":[{"id":2807,"uris":["http://zotero.org/users/1564978/items/HKJTF66A"],"itemData":{"id":2807,"type":"article-journal","abstract":"Interpretability and explainability are crucial for machine learning (ML) and statistical applications in medicine, economics, law, and natural sciences and form an essential principle for ML model design and development. Although interpretability and explainability have escaped a precise and universal definition, many models and techniques motivated by these properties have been developed over the last 30 years, with the focus currently shifting toward deep learning. We will consider concrete examples of state-of-the-art, including specially tailored rule-based, sparse, and additive classification models, interpretable representation learning, and methods for explaining black-box models post hoc. The discussion will emphasize the need for and relevance of interpretability and explainability, the divide between them, and the inductive biases behind the presented “zoo” of interpretable models and explanation methods. This article is categorized under: Fundamental Concepts of Data and Knowledge &gt; Explainable AI Technologies &gt; Machine Learning Commercial, Legal, and Ethical Issues &gt; Social Considerations","container-title":"WIREs Data Mining and Knowledge Discovery","DOI":"10.1002/widm.1493","ISSN":"1942-4795","issue":"3","language":"en","license":"© 2023 The Authors. WIREs Data Mining and Knowledge Discovery published by Wiley Periodicals LLC.","note":"_eprint: https://onlinelibrary.wiley.com/doi/pdf/10.1002/widm.1493","page":"e1493","source":"Wiley Online Library","title":"Interpretable and explainable machine learning: A methods-centric overview with concrete examples","title-short":"Interpretable and explainable machine learning","volume":"13","author":[{"family":"Marcinkevičs","given":"Ričards"},{"family":"Vogt","given":"Julia E."}],"issued":{"date-parts":[["2023"]]}}}],"schema":"https://github.com/citation-style-language/schema/raw/master/csl-citation.json"} </w:instrText>
      </w:r>
      <w:r w:rsidRPr="003D5E0F">
        <w:rPr>
          <w:rFonts w:cs="Arial"/>
          <w:color w:val="0070C0"/>
          <w:szCs w:val="24"/>
        </w:rPr>
        <w:fldChar w:fldCharType="separate"/>
      </w:r>
      <w:r w:rsidRPr="003D5E0F">
        <w:rPr>
          <w:rFonts w:cs="Arial"/>
          <w:noProof/>
          <w:color w:val="0070C0"/>
          <w:szCs w:val="24"/>
        </w:rPr>
        <w:t>[18]</w:t>
      </w:r>
      <w:r w:rsidRPr="003D5E0F">
        <w:rPr>
          <w:rFonts w:cs="Arial"/>
          <w:color w:val="0070C0"/>
          <w:szCs w:val="24"/>
        </w:rPr>
        <w:fldChar w:fldCharType="end"/>
      </w:r>
      <w:r w:rsidRPr="003D5E0F">
        <w:rPr>
          <w:rFonts w:cs="Arial"/>
          <w:color w:val="0070C0"/>
          <w:szCs w:val="24"/>
        </w:rPr>
        <w:t xml:space="preserve"> L’environnement réglementaire influe également sur les parties prenantes : le RGPD donne, aux personnes dont les données sont traitées, le droit à une explication des décisions algorithmiques et le droit d’être informées. </w:t>
      </w:r>
      <w:r w:rsidRPr="003D5E0F">
        <w:rPr>
          <w:rFonts w:cs="Arial"/>
          <w:color w:val="0070C0"/>
          <w:szCs w:val="24"/>
        </w:rPr>
        <w:fldChar w:fldCharType="begin"/>
      </w:r>
      <w:r w:rsidRPr="003D5E0F">
        <w:rPr>
          <w:rFonts w:cs="Arial"/>
          <w:color w:val="0070C0"/>
          <w:szCs w:val="24"/>
        </w:rPr>
        <w:instrText xml:space="preserve"> ADDIN ZOTERO_ITEM CSL_CITATION {"citationID":"tarftiaC","properties":{"formattedCitation":"[19]","plainCitation":"[19]","noteIndex":0},"citationItems":[{"id":2810,"uris":["http://zotero.org/users/1564978/items/GRMMD7FS"],"itemData":{"id":2810,"type":"book","event-place":"Cham","ISBN":"978-3-319-57958-0","language":"en","note":"DOI: 10.1007/978-3-319-57959-7","publisher":"Springer International Publishing","publisher-place":"Cham","source":"DOI.org (Crossref)","title":"The EU General Data Protection Regulation (GDPR)","URL":"http://link.springer.com/10.1007/978-3-319-57959-7","author":[{"family":"Voigt","given":"Paul"},{"family":"Von Dem Bussche","given":"Axel"}],"accessed":{"date-parts":[["2023",11,29]]},"issued":{"date-parts":[["2017"]]}}}],"schema":"https://github.com/citation-style-language/schema/raw/master/csl-citation.json"} </w:instrText>
      </w:r>
      <w:r w:rsidRPr="003D5E0F">
        <w:rPr>
          <w:rFonts w:cs="Arial"/>
          <w:color w:val="0070C0"/>
          <w:szCs w:val="24"/>
        </w:rPr>
        <w:fldChar w:fldCharType="separate"/>
      </w:r>
      <w:r w:rsidRPr="003D5E0F">
        <w:rPr>
          <w:rFonts w:cs="Arial"/>
          <w:noProof/>
          <w:color w:val="0070C0"/>
          <w:szCs w:val="24"/>
        </w:rPr>
        <w:t>[19]</w:t>
      </w:r>
      <w:r w:rsidRPr="003D5E0F">
        <w:rPr>
          <w:rFonts w:cs="Arial"/>
          <w:color w:val="0070C0"/>
          <w:szCs w:val="24"/>
        </w:rPr>
        <w:fldChar w:fldCharType="end"/>
      </w:r>
      <w:r w:rsidRPr="003D5E0F">
        <w:rPr>
          <w:rFonts w:cs="Arial"/>
          <w:color w:val="0070C0"/>
          <w:szCs w:val="24"/>
        </w:rPr>
        <w:t xml:space="preserve"> Enfin, le fait de proposer des interprétations et des explications des algorithmes souvent perçus ou caractérisés comme des « boîtes noires » ont, en soi, une valeur sociale et éthique. </w:t>
      </w:r>
      <w:r w:rsidRPr="003D5E0F">
        <w:rPr>
          <w:rFonts w:cs="Arial"/>
          <w:color w:val="0070C0"/>
          <w:szCs w:val="24"/>
        </w:rPr>
        <w:fldChar w:fldCharType="begin"/>
      </w:r>
      <w:r w:rsidRPr="003D5E0F">
        <w:rPr>
          <w:rFonts w:cs="Arial"/>
          <w:color w:val="0070C0"/>
          <w:szCs w:val="24"/>
        </w:rPr>
        <w:instrText xml:space="preserve"> ADDIN ZOTERO_ITEM CSL_CITATION {"citationID":"X6eNGHXr","properties":{"formattedCitation":"[20]","plainCitation":"[20]","noteIndex":0},"citationItems":[{"id":2814,"uris":["http://zotero.org/users/1564978/items/DHPVHV2W"],"itemData":{"id":2814,"type":"article-journal","container-title":"Harvard Journal of Law &amp; Technology (Harvard JOLT)","journalAbbreviation":"Harv. J. L. &amp; Tech.","page":"841","title":"Counterfactual Explanations without Opening the Black Box: Automated Decisions and the GDPR","title-short":"Counterfactual Explanations without Opening the Black Box","volume":"31","author":[{"family":"Wachter","given":"Sandra"},{"family":"Mittelstadt","given":"Brent"},{"family":"Russell","given":"Chris"}],"issued":{"date-parts":[["2017"]],"season":"2018"}}}],"schema":"https://github.com/citation-style-language/schema/raw/master/csl-citation.json"} </w:instrText>
      </w:r>
      <w:r w:rsidRPr="003D5E0F">
        <w:rPr>
          <w:rFonts w:cs="Arial"/>
          <w:color w:val="0070C0"/>
          <w:szCs w:val="24"/>
        </w:rPr>
        <w:fldChar w:fldCharType="separate"/>
      </w:r>
      <w:r w:rsidRPr="003D5E0F">
        <w:rPr>
          <w:rFonts w:cs="Arial"/>
          <w:noProof/>
          <w:color w:val="0070C0"/>
          <w:szCs w:val="24"/>
        </w:rPr>
        <w:t>[20]</w:t>
      </w:r>
      <w:r w:rsidRPr="003D5E0F">
        <w:rPr>
          <w:rFonts w:cs="Arial"/>
          <w:color w:val="0070C0"/>
          <w:szCs w:val="24"/>
        </w:rPr>
        <w:fldChar w:fldCharType="end"/>
      </w:r>
    </w:p>
    <w:p w14:paraId="5A1B49AC" w14:textId="77777777" w:rsidR="003866EF" w:rsidRPr="003D5E0F" w:rsidRDefault="003866EF" w:rsidP="003866EF">
      <w:pPr>
        <w:rPr>
          <w:rFonts w:cs="Arial"/>
          <w:color w:val="0070C0"/>
          <w:szCs w:val="24"/>
        </w:rPr>
      </w:pPr>
    </w:p>
    <w:p w14:paraId="63E62852" w14:textId="77777777" w:rsidR="003866EF" w:rsidRPr="00826D71" w:rsidRDefault="003866EF" w:rsidP="003866EF">
      <w:pPr>
        <w:rPr>
          <w:rFonts w:cs="Arial"/>
          <w:color w:val="0070C0"/>
          <w:szCs w:val="24"/>
        </w:rPr>
      </w:pPr>
      <w:r w:rsidRPr="00826D71">
        <w:rPr>
          <w:rFonts w:cs="Arial"/>
          <w:color w:val="0070C0"/>
          <w:szCs w:val="24"/>
        </w:rPr>
        <w:t xml:space="preserve">Il n’est donc pas évident de préférer les méthodes d’ensemble aux autres approches que nous avons également testées, notamment celles basées sur les </w:t>
      </w:r>
      <w:r w:rsidRPr="00DE0923">
        <w:rPr>
          <w:rFonts w:cs="Arial"/>
          <w:b/>
          <w:bCs/>
          <w:color w:val="0070C0"/>
          <w:szCs w:val="24"/>
        </w:rPr>
        <w:t>arbres de décision,</w:t>
      </w:r>
      <w:r w:rsidRPr="00826D71">
        <w:rPr>
          <w:rFonts w:cs="Arial"/>
          <w:color w:val="0070C0"/>
          <w:szCs w:val="24"/>
        </w:rPr>
        <w:t xml:space="preserve"> car ces dernières proposent des scores qui restent corrects, tout en étant plus facilement interprétables.</w:t>
      </w:r>
    </w:p>
    <w:p w14:paraId="0FA5ADA8" w14:textId="77777777" w:rsidR="003866EF" w:rsidRPr="00826D71" w:rsidRDefault="003866EF" w:rsidP="003866EF">
      <w:pPr>
        <w:rPr>
          <w:rFonts w:cs="Arial"/>
          <w:color w:val="0070C0"/>
          <w:szCs w:val="24"/>
        </w:rPr>
      </w:pPr>
    </w:p>
    <w:p w14:paraId="6203ADAB" w14:textId="77777777" w:rsidR="003866EF" w:rsidRPr="00826D71" w:rsidRDefault="003866EF" w:rsidP="003866EF">
      <w:pPr>
        <w:rPr>
          <w:rFonts w:cs="Arial"/>
          <w:color w:val="0070C0"/>
          <w:szCs w:val="24"/>
        </w:rPr>
      </w:pPr>
      <w:r w:rsidRPr="00826D71">
        <w:rPr>
          <w:rFonts w:cs="Arial"/>
          <w:color w:val="0070C0"/>
          <w:szCs w:val="24"/>
        </w:rPr>
        <w:t xml:space="preserve">Afin de nous assurer d’avoir les meilleurs scores possibles en main, nous avons effectué diverses </w:t>
      </w:r>
      <w:r w:rsidRPr="00DE0923">
        <w:rPr>
          <w:rFonts w:cs="Arial"/>
          <w:b/>
          <w:bCs/>
          <w:color w:val="0070C0"/>
          <w:szCs w:val="24"/>
        </w:rPr>
        <w:t>optimisations</w:t>
      </w:r>
      <w:r w:rsidRPr="00826D71">
        <w:rPr>
          <w:rFonts w:cs="Arial"/>
          <w:color w:val="0070C0"/>
          <w:szCs w:val="24"/>
        </w:rPr>
        <w:t xml:space="preserve"> (mise à l’échelle, rééquilibrage, optimisation du seuil)</w:t>
      </w:r>
      <w:r>
        <w:rPr>
          <w:rFonts w:cs="Arial"/>
          <w:color w:val="0070C0"/>
          <w:szCs w:val="24"/>
        </w:rPr>
        <w:t xml:space="preserve">. Ces dernières </w:t>
      </w:r>
      <w:r w:rsidRPr="00826D71">
        <w:rPr>
          <w:rFonts w:cs="Arial"/>
          <w:color w:val="0070C0"/>
          <w:szCs w:val="24"/>
        </w:rPr>
        <w:t xml:space="preserve">fonctionnent très bien sur la plupart des algorithmes que nous avons implémentés. En revanche, elles semblent produire </w:t>
      </w:r>
      <w:r w:rsidRPr="00DE0923">
        <w:rPr>
          <w:rFonts w:cs="Arial"/>
          <w:color w:val="0070C0"/>
          <w:szCs w:val="24"/>
        </w:rPr>
        <w:t>l’</w:t>
      </w:r>
      <w:r w:rsidRPr="00DE0923">
        <w:rPr>
          <w:rFonts w:cs="Arial"/>
          <w:b/>
          <w:bCs/>
          <w:color w:val="0070C0"/>
          <w:szCs w:val="24"/>
        </w:rPr>
        <w:t>effet contraire</w:t>
      </w:r>
      <w:r w:rsidRPr="00826D71">
        <w:rPr>
          <w:rFonts w:cs="Arial"/>
          <w:color w:val="0070C0"/>
          <w:szCs w:val="24"/>
        </w:rPr>
        <w:t xml:space="preserve"> sur ceux issus de la </w:t>
      </w:r>
      <w:r w:rsidRPr="00DE0923">
        <w:rPr>
          <w:rFonts w:cs="Arial"/>
          <w:b/>
          <w:bCs/>
          <w:color w:val="0070C0"/>
          <w:szCs w:val="24"/>
        </w:rPr>
        <w:t>classification des séries temporelles.</w:t>
      </w:r>
      <w:r w:rsidRPr="00826D71">
        <w:rPr>
          <w:rFonts w:cs="Arial"/>
          <w:color w:val="0070C0"/>
          <w:szCs w:val="24"/>
        </w:rPr>
        <w:t xml:space="preserve"> Cela est peut-être dû à notre emploi d’</w:t>
      </w:r>
      <w:r w:rsidRPr="00DE0923">
        <w:rPr>
          <w:rFonts w:cs="Arial"/>
          <w:b/>
          <w:bCs/>
          <w:color w:val="0070C0"/>
          <w:szCs w:val="24"/>
        </w:rPr>
        <w:t>approches naïves</w:t>
      </w:r>
      <w:r w:rsidRPr="00826D71">
        <w:rPr>
          <w:rFonts w:cs="Arial"/>
          <w:color w:val="0070C0"/>
          <w:szCs w:val="24"/>
        </w:rPr>
        <w:t xml:space="preserve"> au sein des étapes suivantes de prétraitement des données :</w:t>
      </w:r>
    </w:p>
    <w:p w14:paraId="422A5655" w14:textId="77777777" w:rsidR="003866EF" w:rsidRPr="00826D71" w:rsidRDefault="003866EF" w:rsidP="003866EF">
      <w:pPr>
        <w:pStyle w:val="Paragraphedeliste"/>
        <w:numPr>
          <w:ilvl w:val="0"/>
          <w:numId w:val="3"/>
        </w:numPr>
        <w:rPr>
          <w:rFonts w:cs="Arial"/>
          <w:color w:val="0070C0"/>
          <w:szCs w:val="24"/>
        </w:rPr>
      </w:pPr>
      <w:r w:rsidRPr="00DE0923">
        <w:rPr>
          <w:rFonts w:cs="Arial"/>
          <w:b/>
          <w:bCs/>
          <w:color w:val="0070C0"/>
          <w:szCs w:val="24"/>
        </w:rPr>
        <w:t>Mise à l’échelle.</w:t>
      </w:r>
      <w:r w:rsidRPr="00826D71">
        <w:rPr>
          <w:rFonts w:cs="Arial"/>
          <w:color w:val="0070C0"/>
          <w:szCs w:val="24"/>
        </w:rPr>
        <w:t xml:space="preserve"> Il existe de nombreuses méthodes de normalisation des séries temporelles, chacune adaptée à des problématiques différentes. </w:t>
      </w:r>
      <w:r w:rsidRPr="00826D71">
        <w:rPr>
          <w:rFonts w:cs="Arial"/>
          <w:color w:val="0070C0"/>
          <w:szCs w:val="24"/>
        </w:rPr>
        <w:fldChar w:fldCharType="begin"/>
      </w:r>
      <w:r w:rsidRPr="00826D71">
        <w:rPr>
          <w:rFonts w:cs="Arial"/>
          <w:color w:val="0070C0"/>
          <w:szCs w:val="24"/>
        </w:rPr>
        <w:instrText xml:space="preserve"> ADDIN ZOTERO_ITEM CSL_CITATION {"citationID":"lRgu5K3R","properties":{"formattedCitation":"[21]","plainCitation":"[21]","noteIndex":0},"citationItems":[{"id":2822,"uris":["http://zotero.org/users/1564978/items/2I95AAVK"],"itemData":{"id":2822,"type":"article-journal","abstract":"Normalization is a mandatory preprocessing step in time series problems to guarantee similarity comparisons invariant to unexpected distortions in amplitude and offset. Such distortions are usual for most time series data. A typical example is gait recognition by motion collected on subjects with varying body height and width. To rescale the data for the same range of values, the vast majority of researchers consider z-normalization as the default method for any domain application, data, or task. This choice is made without a searching process as occurs to set the parameters of an algorithm or without any experimental evidence in the literature considering a variety of scenarios to support this decision. To address this gap, we evaluate the impact of different normalization methods on time series data. Our analysis is based on an extensive experimental comparison on classification problems involving 10 normalization methods, 3 state-of-the-art classifiers, and 38 benchmark datasets. We consider the classification task due to the simplicity of the experimental settings and well-defined metrics. However, our findings can be extrapolated for other time series mining tasks, such as forecasting or clustering. Based on our results, we suggest to evaluate the maximum absolute scale as an alternative to z-normalization. Besides being time efficient, this alternative shows promising results for similarity-based methods using Euclidean distance. For deep learning, mean normalization could be considered.","container-title":"Big Data Research","DOI":"10.1016/j.bdr.2023.100407","ISSN":"2214-5796","journalAbbreviation":"Big Data Research","page":"100407","source":"ScienceDirect","title":"A Large Comparison of Normalization Methods on Time Series","volume":"34","author":[{"family":"Lima","given":"Felipe Tomazelli"},{"family":"Souza","given":"Vinicius M. A."}],"issued":{"date-parts":[["2023",11,28]]}}}],"schema":"https://github.com/citation-style-language/schema/raw/master/csl-citation.json"} </w:instrText>
      </w:r>
      <w:r w:rsidRPr="00826D71">
        <w:rPr>
          <w:rFonts w:cs="Arial"/>
          <w:color w:val="0070C0"/>
          <w:szCs w:val="24"/>
        </w:rPr>
        <w:fldChar w:fldCharType="separate"/>
      </w:r>
      <w:r w:rsidRPr="00826D71">
        <w:rPr>
          <w:rFonts w:cs="Arial"/>
          <w:noProof/>
          <w:color w:val="0070C0"/>
          <w:szCs w:val="24"/>
        </w:rPr>
        <w:t>[21]</w:t>
      </w:r>
      <w:r w:rsidRPr="00826D71">
        <w:rPr>
          <w:rFonts w:cs="Arial"/>
          <w:color w:val="0070C0"/>
          <w:szCs w:val="24"/>
        </w:rPr>
        <w:fldChar w:fldCharType="end"/>
      </w:r>
      <w:r w:rsidRPr="00826D71">
        <w:rPr>
          <w:rFonts w:cs="Arial"/>
          <w:color w:val="0070C0"/>
          <w:szCs w:val="24"/>
        </w:rPr>
        <w:t xml:space="preserve"> Par manque de temps et d’expérience, nous nous sommes limités aux méthodes proposées par </w:t>
      </w:r>
      <w:proofErr w:type="spellStart"/>
      <w:r w:rsidRPr="00826D71">
        <w:rPr>
          <w:rFonts w:cs="Arial"/>
          <w:color w:val="0070C0"/>
          <w:szCs w:val="24"/>
        </w:rPr>
        <w:t>scikit-learn</w:t>
      </w:r>
      <w:proofErr w:type="spellEnd"/>
      <w:r w:rsidRPr="00826D71">
        <w:rPr>
          <w:rFonts w:cs="Arial"/>
          <w:color w:val="0070C0"/>
          <w:szCs w:val="24"/>
        </w:rPr>
        <w:t xml:space="preserve"> (</w:t>
      </w:r>
      <w:proofErr w:type="spellStart"/>
      <w:r w:rsidRPr="00826D71">
        <w:rPr>
          <w:rFonts w:cs="Arial"/>
          <w:color w:val="0070C0"/>
          <w:szCs w:val="24"/>
        </w:rPr>
        <w:t>StandardScaler</w:t>
      </w:r>
      <w:proofErr w:type="spellEnd"/>
      <w:r w:rsidRPr="00826D71">
        <w:rPr>
          <w:rFonts w:cs="Arial"/>
          <w:color w:val="0070C0"/>
          <w:szCs w:val="24"/>
        </w:rPr>
        <w:t xml:space="preserve">, </w:t>
      </w:r>
      <w:proofErr w:type="spellStart"/>
      <w:r w:rsidRPr="00826D71">
        <w:rPr>
          <w:rFonts w:cs="Arial"/>
          <w:color w:val="0070C0"/>
          <w:szCs w:val="24"/>
        </w:rPr>
        <w:t>MinMaxScaler</w:t>
      </w:r>
      <w:proofErr w:type="spellEnd"/>
      <w:r w:rsidRPr="00826D71">
        <w:rPr>
          <w:rFonts w:cs="Arial"/>
          <w:color w:val="0070C0"/>
          <w:szCs w:val="24"/>
        </w:rPr>
        <w:t xml:space="preserve">). Par ailleurs, bien que la normalisation soit généralement nécessaire dans l’étude des séries temporelles, elle peut aussi détruire des informations et contribuer à la dégradation des analyses. </w:t>
      </w:r>
      <w:r w:rsidRPr="00826D71">
        <w:rPr>
          <w:rFonts w:cs="Arial"/>
          <w:color w:val="0070C0"/>
          <w:szCs w:val="24"/>
        </w:rPr>
        <w:fldChar w:fldCharType="begin"/>
      </w:r>
      <w:r w:rsidRPr="00826D71">
        <w:rPr>
          <w:rFonts w:cs="Arial"/>
          <w:color w:val="0070C0"/>
          <w:szCs w:val="24"/>
        </w:rPr>
        <w:instrText xml:space="preserve"> ADDIN ZOTERO_ITEM CSL_CITATION {"citationID":"lNa2JBRS","properties":{"formattedCitation":"[22]","plainCitation":"[22]","noteIndex":0},"citationItems":[{"id":2902,"uris":["http://zotero.org/users/1564978/items/E3Y7DJ4G"],"itemData":{"id":2902,"type":"article-journal","abstract":"Data normalization is one of the most common processing methods applied to raw data before its subsequent use in data mining algorithms, classification, or clustering methods. Many procedures, particularly those that use any statistical analysis, require that data be normalized in one way or another. In the case of time series a standard method of processing raw data is z-normalization of each time series instance in the data set. For multivariate (multidimensional) time series we z-normalize each dimension (variable) individually. Although normalization brings a lot of advantages, it is easy to find examples of data sets where normalization destroys information contained in the raw data. In this paper we demonstrate, that for multivariate time series (MTS) both raw and normalized components give some information about the data and the best way of mining it is a combination of them. We focus here on multidimensional time series and their classification using the nearest neighbor method with the dynamic time warping (DTW) distance measure. We construct a parametric distance measure that is a combination of DTW on raw and z-normalized time series data. It turns out that the combined distance measure carries more information about the data than the two distance components separately. By determining an individual parameter for each data set it is possible to obtain a lower classification error than the errors of both component distance measures. We perform experiments on real data sets from many fields of science and technology. The advantage of the combined approach is confirmed by graphical and statistical comparisons.","container-title":"Journal of Intelligent &amp; Fuzzy Systems: Applications in Engineering and Technology","DOI":"10.3233/JIFS-171393","ISSN":"1064-1246","issue":"1","journalAbbreviation":"J. Intell. Fuzzy Syst.","page":"373–380","source":"ACM Digital Library","title":"Combining raw and normalized data in multivariate time series classification with dynamic time warping","volume":"34","author":[{"family":"Łuczak","given":"Maciej"}],"issued":{"date-parts":[["2018",1,1]]}}}],"schema":"https://github.com/citation-style-language/schema/raw/master/csl-citation.json"} </w:instrText>
      </w:r>
      <w:r w:rsidRPr="00826D71">
        <w:rPr>
          <w:rFonts w:cs="Arial"/>
          <w:color w:val="0070C0"/>
          <w:szCs w:val="24"/>
        </w:rPr>
        <w:fldChar w:fldCharType="separate"/>
      </w:r>
      <w:r w:rsidRPr="00826D71">
        <w:rPr>
          <w:rFonts w:cs="Arial"/>
          <w:noProof/>
          <w:color w:val="0070C0"/>
          <w:szCs w:val="24"/>
        </w:rPr>
        <w:t>[22]</w:t>
      </w:r>
      <w:r w:rsidRPr="00826D71">
        <w:rPr>
          <w:rFonts w:cs="Arial"/>
          <w:color w:val="0070C0"/>
          <w:szCs w:val="24"/>
        </w:rPr>
        <w:fldChar w:fldCharType="end"/>
      </w:r>
    </w:p>
    <w:p w14:paraId="6D3ED338" w14:textId="77777777" w:rsidR="003866EF" w:rsidRPr="00826D71" w:rsidRDefault="003866EF" w:rsidP="003866EF">
      <w:pPr>
        <w:pStyle w:val="Paragraphedeliste"/>
        <w:numPr>
          <w:ilvl w:val="0"/>
          <w:numId w:val="3"/>
        </w:numPr>
        <w:rPr>
          <w:rFonts w:cs="Arial"/>
          <w:color w:val="0070C0"/>
          <w:szCs w:val="24"/>
        </w:rPr>
      </w:pPr>
      <w:r w:rsidRPr="00DE0923">
        <w:rPr>
          <w:rFonts w:cs="Arial"/>
          <w:b/>
          <w:bCs/>
          <w:color w:val="0070C0"/>
          <w:szCs w:val="24"/>
        </w:rPr>
        <w:lastRenderedPageBreak/>
        <w:t>Rééquilibrage.</w:t>
      </w:r>
      <w:r w:rsidRPr="00826D71">
        <w:rPr>
          <w:rFonts w:cs="Arial"/>
          <w:color w:val="0070C0"/>
          <w:szCs w:val="24"/>
        </w:rPr>
        <w:t xml:space="preserve"> Notre approche ne tient pas compte de la difficulté inhérente à la classification des séries temporelles déséquilibrées, une thématique de recherche qui se révèle assez riche et complexe. </w:t>
      </w:r>
      <w:r w:rsidRPr="00826D71">
        <w:rPr>
          <w:rFonts w:cs="Arial"/>
          <w:color w:val="0070C0"/>
          <w:szCs w:val="24"/>
        </w:rPr>
        <w:fldChar w:fldCharType="begin"/>
      </w:r>
      <w:r w:rsidRPr="00826D71">
        <w:rPr>
          <w:rFonts w:cs="Arial"/>
          <w:color w:val="0070C0"/>
          <w:szCs w:val="24"/>
        </w:rPr>
        <w:instrText xml:space="preserve"> ADDIN ZOTERO_ITEM CSL_CITATION {"citationID":"Zpd3AZUm","properties":{"formattedCitation":"[23]","plainCitation":"[23]","noteIndex":0},"citationItems":[{"id":2816,"uris":["http://zotero.org/users/1564978/items/P3XSFFGP"],"itemData":{"id":2816,"type":"article-journal","abstract":"This paper proposes a novel Integrated Oversampling (INOS) method that can handle highly imbalanced time series classification. We introduce an enhanced structure preserving oversampling (ESPO) technique and synergistically combine it with interpolation-based oversampling. ESPO is used to generate a large percentage of the synthetic minority samples based on multivariate Gaussian distribution, by estimating the covariance structure of the minority-class samples and by regularizing the unreliable eigen spectrum. To protect the key original minority samples, we use an interpolation-based technique to oversample a small percentage of synthetic population. By preserving the main covariance structure and intelligently creating protective variances in the trivial eigen dimensions, ESPO effectively expands the synthetic samples into the void area in the data space without being too closely tied with existing minority-class samples. This also addresses a key challenge for applying oversampling for imbalanced time series classification, i.e., maintaining the correlation between consecutive values through preserving the main covariance structure. Extensive experiments based on seven public time series data sets demonstrate that our INOS approach, used with support vector machines (SVM), achieved better performance over existing oversampling methods as well as state-of-the-art methods in time series classification.","container-title":"IEEE Transactions on Knowledge and Data Engineering","DOI":"10.1109/TKDE.2013.37","ISSN":"1558-2191","issue":"12","note":"event-title: IEEE Transactions on Knowledge and Data Engineering","page":"2809-2822","source":"IEEE Xplore","title":"Integrated Oversampling for Imbalanced Time Series Classification","volume":"25","author":[{"family":"Cao","given":"Hong"},{"family":"Li","given":"Xiao-Li"},{"family":"Woon","given":"David Yew-Kwong"},{"family":"Ng","given":"See-Kiong"}],"issued":{"date-parts":[["2013",12]]}}}],"schema":"https://github.com/citation-style-language/schema/raw/master/csl-citation.json"} </w:instrText>
      </w:r>
      <w:r w:rsidRPr="00826D71">
        <w:rPr>
          <w:rFonts w:cs="Arial"/>
          <w:color w:val="0070C0"/>
          <w:szCs w:val="24"/>
        </w:rPr>
        <w:fldChar w:fldCharType="separate"/>
      </w:r>
      <w:r w:rsidRPr="00826D71">
        <w:rPr>
          <w:rFonts w:cs="Arial"/>
          <w:noProof/>
          <w:color w:val="0070C0"/>
          <w:szCs w:val="24"/>
        </w:rPr>
        <w:t>[23]</w:t>
      </w:r>
      <w:r w:rsidRPr="00826D71">
        <w:rPr>
          <w:rFonts w:cs="Arial"/>
          <w:color w:val="0070C0"/>
          <w:szCs w:val="24"/>
        </w:rPr>
        <w:fldChar w:fldCharType="end"/>
      </w:r>
      <w:r w:rsidRPr="00826D71">
        <w:rPr>
          <w:rFonts w:cs="Arial"/>
          <w:color w:val="0070C0"/>
          <w:szCs w:val="24"/>
        </w:rPr>
        <w:t xml:space="preserve"> En effet, la dimensionnalité élevée et la forte corrélation inter-variable qui caractérisent ces ensembles de données ne sont pas prises en compte par les méthodes classiques proposées par </w:t>
      </w:r>
      <w:proofErr w:type="spellStart"/>
      <w:r w:rsidRPr="00826D71">
        <w:rPr>
          <w:rFonts w:cs="Arial"/>
          <w:color w:val="0070C0"/>
          <w:szCs w:val="24"/>
        </w:rPr>
        <w:t>scikit-learn</w:t>
      </w:r>
      <w:proofErr w:type="spellEnd"/>
      <w:r w:rsidRPr="00826D71">
        <w:rPr>
          <w:rFonts w:cs="Arial"/>
          <w:color w:val="0070C0"/>
          <w:szCs w:val="24"/>
        </w:rPr>
        <w:t xml:space="preserve"> (SMOTE, </w:t>
      </w:r>
      <w:proofErr w:type="spellStart"/>
      <w:r w:rsidRPr="00826D71">
        <w:rPr>
          <w:rFonts w:cs="Arial"/>
          <w:color w:val="0070C0"/>
          <w:szCs w:val="24"/>
        </w:rPr>
        <w:t>RandomUnderSampler</w:t>
      </w:r>
      <w:proofErr w:type="spellEnd"/>
      <w:r w:rsidRPr="00826D71">
        <w:rPr>
          <w:rFonts w:cs="Arial"/>
          <w:color w:val="0070C0"/>
          <w:szCs w:val="24"/>
        </w:rPr>
        <w:t xml:space="preserve">). </w:t>
      </w:r>
      <w:r w:rsidRPr="00826D71">
        <w:rPr>
          <w:rFonts w:cs="Arial"/>
          <w:color w:val="0070C0"/>
          <w:szCs w:val="24"/>
        </w:rPr>
        <w:fldChar w:fldCharType="begin"/>
      </w:r>
      <w:r w:rsidRPr="00826D71">
        <w:rPr>
          <w:rFonts w:cs="Arial"/>
          <w:color w:val="0070C0"/>
          <w:szCs w:val="24"/>
        </w:rPr>
        <w:instrText xml:space="preserve"> ADDIN ZOTERO_ITEM CSL_CITATION {"citationID":"6umopphJ","properties":{"formattedCitation":"[24]","plainCitation":"[24]","noteIndex":0},"citationItems":[{"id":2818,"uris":["http://zotero.org/users/1564978/items/JW69V4KG"],"itemData":{"id":2818,"type":"article-journal","abstract":"Many vital real-world applications involve time-series data with skewed distribution. Compared to traditional imbalanced learning problems, the classification of imbalanced time-series data is more challenging due to the high dimensionality and high inter-variable correlation. This paper proposes a structure-preserving Oversampling method to resolve the High-dimensional Imbalanced Time-series classification (OHIT). OHIT leverages a density-ratio-based shared nearest neighbor clustering algorithm to capture the modes of minority class in high-dimensional space. It for each mode applies the shrinkage technique of large-dimensional covariance matrix to obtain an accurate and reliable covariance structure. The structure-preserving synthetic samples are eventually generated based on the multivariate Gaussian distribution with the estimated covariance matrix. In addition, to further promote the performance of classifying imbalanced time-series data, we integrate OHIT into boosting framework to obtain a new ensemble algorithm OHITBoost. Extensive experiments on several publicly available time-series datasets (including unimodal and multimodal) demonstrate the effectiveness of OHIT and OHITBoost in terms of F1, G-mean, and AUC.","container-title":"Knowledge-Based Systems","DOI":"10.1016/j.knosys.2022.108764","ISSN":"0950-7051","journalAbbreviation":"Knowledge-Based Systems","page":"108764","source":"ScienceDirect","title":"Minority oversampling for imbalanced time series classification","volume":"247","author":[{"family":"Zhu","given":"Tuanfei"},{"family":"Luo","given":"Cheng"},{"family":"Zhang","given":"Zhihong"},{"family":"Li","given":"Jing"},{"family":"Ren","given":"Siqi"},{"family":"Zeng","given":"Yifu"}],"issued":{"date-parts":[["2022",7,8]]}}}],"schema":"https://github.com/citation-style-language/schema/raw/master/csl-citation.json"} </w:instrText>
      </w:r>
      <w:r w:rsidRPr="00826D71">
        <w:rPr>
          <w:rFonts w:cs="Arial"/>
          <w:color w:val="0070C0"/>
          <w:szCs w:val="24"/>
        </w:rPr>
        <w:fldChar w:fldCharType="separate"/>
      </w:r>
      <w:r w:rsidRPr="00826D71">
        <w:rPr>
          <w:rFonts w:cs="Arial"/>
          <w:noProof/>
          <w:color w:val="0070C0"/>
          <w:szCs w:val="24"/>
        </w:rPr>
        <w:t>[24]</w:t>
      </w:r>
      <w:r w:rsidRPr="00826D71">
        <w:rPr>
          <w:rFonts w:cs="Arial"/>
          <w:color w:val="0070C0"/>
          <w:szCs w:val="24"/>
        </w:rPr>
        <w:fldChar w:fldCharType="end"/>
      </w:r>
    </w:p>
    <w:p w14:paraId="1E39EB1B" w14:textId="77777777" w:rsidR="003866EF" w:rsidRPr="00826D71" w:rsidRDefault="003866EF" w:rsidP="003866EF">
      <w:pPr>
        <w:rPr>
          <w:rFonts w:cs="Arial"/>
          <w:color w:val="0070C0"/>
          <w:szCs w:val="24"/>
        </w:rPr>
      </w:pPr>
    </w:p>
    <w:p w14:paraId="0E3D313B" w14:textId="3126E4D5" w:rsidR="00590BD0" w:rsidRPr="003866EF" w:rsidRDefault="003866EF">
      <w:pPr>
        <w:rPr>
          <w:rFonts w:cs="Arial"/>
          <w:color w:val="0070C0"/>
          <w:szCs w:val="24"/>
        </w:rPr>
      </w:pPr>
      <w:r w:rsidRPr="00826D71">
        <w:rPr>
          <w:rFonts w:cs="Arial"/>
          <w:color w:val="0070C0"/>
          <w:szCs w:val="24"/>
        </w:rPr>
        <w:t xml:space="preserve">Compte tenu de tous les éléments exposés ci-dessus, nous avons décidé de retenir </w:t>
      </w:r>
      <w:r w:rsidRPr="00826D71">
        <w:rPr>
          <w:rFonts w:cs="Arial"/>
          <w:b/>
          <w:bCs/>
          <w:color w:val="0070C0"/>
          <w:szCs w:val="24"/>
        </w:rPr>
        <w:t xml:space="preserve">l’algorithme nº 2 (RF </w:t>
      </w:r>
      <w:r>
        <w:rPr>
          <w:rFonts w:cs="Arial"/>
          <w:b/>
          <w:bCs/>
          <w:color w:val="0070C0"/>
          <w:szCs w:val="24"/>
        </w:rPr>
        <w:t>avec</w:t>
      </w:r>
      <w:r w:rsidRPr="00826D71">
        <w:rPr>
          <w:rFonts w:cs="Arial"/>
          <w:b/>
          <w:bCs/>
          <w:color w:val="0070C0"/>
          <w:szCs w:val="24"/>
        </w:rPr>
        <w:t xml:space="preserve"> </w:t>
      </w:r>
      <w:proofErr w:type="spellStart"/>
      <w:r w:rsidRPr="00826D71">
        <w:rPr>
          <w:rFonts w:cs="Arial"/>
          <w:b/>
          <w:bCs/>
          <w:color w:val="0070C0"/>
          <w:szCs w:val="24"/>
        </w:rPr>
        <w:t>StandardScaler</w:t>
      </w:r>
      <w:proofErr w:type="spellEnd"/>
      <w:r w:rsidRPr="00826D71">
        <w:rPr>
          <w:rFonts w:cs="Arial"/>
          <w:b/>
          <w:bCs/>
          <w:color w:val="0070C0"/>
          <w:szCs w:val="24"/>
        </w:rPr>
        <w:t xml:space="preserve"> + SMOTE + ROC)</w:t>
      </w:r>
      <w:r w:rsidRPr="00826D71">
        <w:rPr>
          <w:rFonts w:cs="Arial"/>
          <w:color w:val="0070C0"/>
          <w:szCs w:val="24"/>
        </w:rPr>
        <w:t xml:space="preserve"> </w:t>
      </w:r>
      <w:r>
        <w:rPr>
          <w:rFonts w:cs="Arial"/>
          <w:color w:val="0070C0"/>
          <w:szCs w:val="24"/>
        </w:rPr>
        <w:t xml:space="preserve">comme modèle d’apprentissage automatique </w:t>
      </w:r>
      <w:r w:rsidRPr="00826D71">
        <w:rPr>
          <w:rFonts w:cs="Arial"/>
          <w:color w:val="0070C0"/>
          <w:szCs w:val="24"/>
        </w:rPr>
        <w:t>pour notre projet</w:t>
      </w:r>
      <w:r>
        <w:rPr>
          <w:rFonts w:cs="Arial"/>
          <w:color w:val="0070C0"/>
          <w:szCs w:val="24"/>
        </w:rPr>
        <w:t xml:space="preserve"> de classification binaire. Même s’il se classe légèrement en dessous de l’algorithme nº 1 (Hard </w:t>
      </w:r>
      <w:proofErr w:type="spellStart"/>
      <w:r>
        <w:rPr>
          <w:rFonts w:cs="Arial"/>
          <w:color w:val="0070C0"/>
          <w:szCs w:val="24"/>
        </w:rPr>
        <w:t>Voting</w:t>
      </w:r>
      <w:proofErr w:type="spellEnd"/>
      <w:r>
        <w:rPr>
          <w:rFonts w:cs="Arial"/>
          <w:color w:val="0070C0"/>
          <w:szCs w:val="24"/>
        </w:rPr>
        <w:t xml:space="preserve"> optimisé avec </w:t>
      </w:r>
      <w:proofErr w:type="spellStart"/>
      <w:r w:rsidRPr="00826D71">
        <w:rPr>
          <w:rFonts w:cs="Arial"/>
          <w:color w:val="0070C0"/>
          <w:szCs w:val="24"/>
        </w:rPr>
        <w:t>StandardScaler</w:t>
      </w:r>
      <w:proofErr w:type="spellEnd"/>
      <w:r w:rsidRPr="00826D71">
        <w:rPr>
          <w:rFonts w:cs="Arial"/>
          <w:color w:val="0070C0"/>
          <w:szCs w:val="24"/>
        </w:rPr>
        <w:t xml:space="preserve"> + SMOTE</w:t>
      </w:r>
      <w:r>
        <w:rPr>
          <w:rFonts w:cs="Arial"/>
          <w:color w:val="0070C0"/>
          <w:szCs w:val="24"/>
        </w:rPr>
        <w:t>) au niveau des scores, il est plus facile à interpréter et à expliquer, ce qui en fait un choix global plus équilibré, et meilleur, selon nous</w:t>
      </w:r>
      <w:r w:rsidRPr="00826D71">
        <w:rPr>
          <w:rFonts w:cs="Arial"/>
          <w:color w:val="0070C0"/>
          <w:szCs w:val="24"/>
        </w:rPr>
        <w:t>.</w:t>
      </w:r>
    </w:p>
    <w:sectPr w:rsidR="00590BD0" w:rsidRPr="003866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Menlo-Regular">
    <w:altName w:val="Arial"/>
    <w:panose1 w:val="020B0609030804020204"/>
    <w:charset w:val="00"/>
    <w:family w:val="modern"/>
    <w:pitch w:val="fixed"/>
    <w:sig w:usb0="E60022FF" w:usb1="D200F9FB" w:usb2="02000028" w:usb3="00000000" w:csb0="000001D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Lucida Sans Typewriter">
    <w:panose1 w:val="020B0509030504030204"/>
    <w:charset w:val="4D"/>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350E"/>
    <w:multiLevelType w:val="hybridMultilevel"/>
    <w:tmpl w:val="16F4097C"/>
    <w:lvl w:ilvl="0" w:tplc="1138E476">
      <w:start w:val="1"/>
      <w:numFmt w:val="bullet"/>
      <w:lvlText w:val=""/>
      <w:lvlJc w:val="left"/>
      <w:pPr>
        <w:ind w:left="720" w:hanging="360"/>
      </w:pPr>
      <w:rPr>
        <w:rFonts w:ascii="Symbol" w:eastAsia="Menlo-Regular"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307E3E"/>
    <w:multiLevelType w:val="hybridMultilevel"/>
    <w:tmpl w:val="B99E74A2"/>
    <w:lvl w:ilvl="0" w:tplc="1138E476">
      <w:start w:val="1"/>
      <w:numFmt w:val="bullet"/>
      <w:lvlText w:val=""/>
      <w:lvlJc w:val="left"/>
      <w:pPr>
        <w:ind w:left="720" w:hanging="360"/>
      </w:pPr>
      <w:rPr>
        <w:rFonts w:ascii="Symbol" w:eastAsia="Menlo-Regular"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4D712BE"/>
    <w:multiLevelType w:val="hybridMultilevel"/>
    <w:tmpl w:val="8F1828B6"/>
    <w:lvl w:ilvl="0" w:tplc="1138E476">
      <w:start w:val="1"/>
      <w:numFmt w:val="bullet"/>
      <w:lvlText w:val=""/>
      <w:lvlJc w:val="left"/>
      <w:pPr>
        <w:ind w:left="720" w:hanging="360"/>
      </w:pPr>
      <w:rPr>
        <w:rFonts w:ascii="Symbol" w:eastAsia="Menlo-Regular"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91350197">
    <w:abstractNumId w:val="1"/>
  </w:num>
  <w:num w:numId="2" w16cid:durableId="714812575">
    <w:abstractNumId w:val="0"/>
  </w:num>
  <w:num w:numId="3" w16cid:durableId="14132393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6EF"/>
    <w:rsid w:val="00196410"/>
    <w:rsid w:val="003866EF"/>
    <w:rsid w:val="00407496"/>
    <w:rsid w:val="00590BD0"/>
    <w:rsid w:val="006827D0"/>
    <w:rsid w:val="009521E0"/>
    <w:rsid w:val="00BE5492"/>
    <w:rsid w:val="00C43F58"/>
    <w:rsid w:val="00C80F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1DE8C29"/>
  <w15:chartTrackingRefBased/>
  <w15:docId w15:val="{D0779AC3-1F1D-E942-9D62-591A5AE81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enlo-Regular"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3866EF"/>
    <w:pPr>
      <w:widowControl w:val="0"/>
      <w:autoSpaceDE w:val="0"/>
      <w:autoSpaceDN w:val="0"/>
      <w:adjustRightInd w:val="0"/>
      <w:spacing w:line="360" w:lineRule="auto"/>
    </w:pPr>
    <w:rPr>
      <w:rFonts w:ascii="Arial" w:hAnsi="Arial"/>
      <w:szCs w:val="20"/>
      <w:lang w:eastAsia="zh-CN"/>
    </w:rPr>
  </w:style>
  <w:style w:type="paragraph" w:styleId="Titre1">
    <w:name w:val="heading 1"/>
    <w:basedOn w:val="Normal"/>
    <w:next w:val="Normal"/>
    <w:link w:val="Titre1Car"/>
    <w:autoRedefine/>
    <w:uiPriority w:val="9"/>
    <w:qFormat/>
    <w:rsid w:val="00C43F58"/>
    <w:pPr>
      <w:keepNext/>
      <w:keepLines/>
      <w:spacing w:before="240"/>
      <w:outlineLvl w:val="0"/>
    </w:pPr>
    <w:rPr>
      <w:rFonts w:eastAsiaTheme="majorEastAsia" w:cstheme="majorBidi"/>
      <w:b/>
      <w:color w:val="000000" w:themeColor="text1"/>
      <w:sz w:val="48"/>
      <w:szCs w:val="32"/>
    </w:rPr>
  </w:style>
  <w:style w:type="paragraph" w:styleId="Titre2">
    <w:name w:val="heading 2"/>
    <w:basedOn w:val="Normal"/>
    <w:next w:val="Normal"/>
    <w:link w:val="Titre2Car"/>
    <w:autoRedefine/>
    <w:uiPriority w:val="9"/>
    <w:unhideWhenUsed/>
    <w:qFormat/>
    <w:rsid w:val="00BE5492"/>
    <w:pPr>
      <w:keepNext/>
      <w:keepLines/>
      <w:spacing w:before="40"/>
      <w:outlineLvl w:val="1"/>
    </w:pPr>
    <w:rPr>
      <w:rFonts w:eastAsiaTheme="majorEastAsia" w:cstheme="majorBidi"/>
      <w:color w:val="2F5496" w:themeColor="accent1" w:themeShade="BF"/>
      <w:sz w:val="26"/>
      <w:szCs w:val="26"/>
    </w:rPr>
  </w:style>
  <w:style w:type="paragraph" w:styleId="Titre3">
    <w:name w:val="heading 3"/>
    <w:basedOn w:val="Paragraphedeliste"/>
    <w:next w:val="Normal"/>
    <w:link w:val="Titre3Car"/>
    <w:autoRedefine/>
    <w:uiPriority w:val="9"/>
    <w:unhideWhenUsed/>
    <w:qFormat/>
    <w:rsid w:val="003866EF"/>
    <w:pPr>
      <w:tabs>
        <w:tab w:val="num" w:pos="360"/>
      </w:tabs>
      <w:ind w:left="1077"/>
      <w:contextualSpacing w:val="0"/>
      <w:outlineLvl w:val="2"/>
    </w:pPr>
    <w:rPr>
      <w:b/>
      <w:bCs/>
      <w:szCs w:val="32"/>
    </w:rPr>
  </w:style>
  <w:style w:type="paragraph" w:styleId="Titre4">
    <w:name w:val="heading 4"/>
    <w:basedOn w:val="Paragraphedeliste"/>
    <w:next w:val="Normal"/>
    <w:link w:val="Titre4Car"/>
    <w:autoRedefine/>
    <w:uiPriority w:val="9"/>
    <w:unhideWhenUsed/>
    <w:qFormat/>
    <w:rsid w:val="003866EF"/>
    <w:pPr>
      <w:tabs>
        <w:tab w:val="num" w:pos="360"/>
      </w:tabs>
      <w:ind w:left="1434" w:hanging="1077"/>
      <w:contextualSpacing w:val="0"/>
      <w:outlineLvl w:val="3"/>
    </w:pPr>
    <w:rPr>
      <w:b/>
      <w:bCs/>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43F58"/>
    <w:rPr>
      <w:rFonts w:ascii="Arial" w:eastAsiaTheme="majorEastAsia" w:hAnsi="Arial" w:cstheme="majorBidi"/>
      <w:b/>
      <w:color w:val="000000" w:themeColor="text1"/>
      <w:sz w:val="48"/>
      <w:szCs w:val="32"/>
      <w:lang w:eastAsia="zh-CN"/>
    </w:rPr>
  </w:style>
  <w:style w:type="character" w:customStyle="1" w:styleId="Titre2Car">
    <w:name w:val="Titre 2 Car"/>
    <w:basedOn w:val="Policepardfaut"/>
    <w:link w:val="Titre2"/>
    <w:uiPriority w:val="9"/>
    <w:rsid w:val="00BE5492"/>
    <w:rPr>
      <w:rFonts w:ascii="Helvetica" w:eastAsiaTheme="majorEastAsia" w:hAnsi="Helvetica" w:cstheme="majorBidi"/>
      <w:color w:val="2F5496" w:themeColor="accent1" w:themeShade="BF"/>
      <w:sz w:val="26"/>
      <w:szCs w:val="26"/>
    </w:rPr>
  </w:style>
  <w:style w:type="paragraph" w:styleId="Titre">
    <w:name w:val="Title"/>
    <w:basedOn w:val="Normal"/>
    <w:next w:val="Normal"/>
    <w:link w:val="TitreCar"/>
    <w:uiPriority w:val="10"/>
    <w:qFormat/>
    <w:rsid w:val="00C80F46"/>
    <w:pPr>
      <w:contextualSpacing/>
    </w:pPr>
    <w:rPr>
      <w:rFonts w:eastAsiaTheme="majorEastAsia" w:cstheme="majorBidi"/>
      <w:b/>
      <w:bCs/>
      <w:spacing w:val="-10"/>
      <w:kern w:val="28"/>
      <w:sz w:val="56"/>
      <w:szCs w:val="56"/>
      <w:lang w:val="en-US"/>
    </w:rPr>
  </w:style>
  <w:style w:type="character" w:customStyle="1" w:styleId="TitreCar">
    <w:name w:val="Titre Car"/>
    <w:basedOn w:val="Policepardfaut"/>
    <w:link w:val="Titre"/>
    <w:uiPriority w:val="10"/>
    <w:rsid w:val="00C80F46"/>
    <w:rPr>
      <w:rFonts w:ascii="Helvetica" w:eastAsiaTheme="majorEastAsia" w:hAnsi="Helvetica" w:cstheme="majorBidi"/>
      <w:b/>
      <w:bCs/>
      <w:spacing w:val="-10"/>
      <w:kern w:val="28"/>
      <w:sz w:val="56"/>
      <w:szCs w:val="56"/>
      <w:lang w:val="en-US"/>
    </w:rPr>
  </w:style>
  <w:style w:type="paragraph" w:styleId="Sous-titre">
    <w:name w:val="Subtitle"/>
    <w:basedOn w:val="Titre"/>
    <w:next w:val="Normal"/>
    <w:link w:val="Sous-titreCar"/>
    <w:uiPriority w:val="11"/>
    <w:qFormat/>
    <w:rsid w:val="00C80F46"/>
    <w:rPr>
      <w:b w:val="0"/>
      <w:bCs w:val="0"/>
      <w:sz w:val="44"/>
      <w:szCs w:val="44"/>
    </w:rPr>
  </w:style>
  <w:style w:type="character" w:customStyle="1" w:styleId="Sous-titreCar">
    <w:name w:val="Sous-titre Car"/>
    <w:basedOn w:val="Policepardfaut"/>
    <w:link w:val="Sous-titre"/>
    <w:uiPriority w:val="11"/>
    <w:rsid w:val="00C80F46"/>
    <w:rPr>
      <w:rFonts w:ascii="Helvetica" w:eastAsiaTheme="majorEastAsia" w:hAnsi="Helvetica" w:cstheme="majorBidi"/>
      <w:spacing w:val="-10"/>
      <w:kern w:val="28"/>
      <w:sz w:val="44"/>
      <w:szCs w:val="44"/>
      <w:lang w:val="en-US"/>
    </w:rPr>
  </w:style>
  <w:style w:type="paragraph" w:styleId="Lgende">
    <w:name w:val="caption"/>
    <w:basedOn w:val="Normal"/>
    <w:next w:val="Normal"/>
    <w:autoRedefine/>
    <w:uiPriority w:val="35"/>
    <w:unhideWhenUsed/>
    <w:rsid w:val="00196410"/>
    <w:pPr>
      <w:spacing w:line="276" w:lineRule="auto"/>
      <w:jc w:val="center"/>
    </w:pPr>
    <w:rPr>
      <w:rFonts w:cs="Menlo-Regular"/>
      <w:kern w:val="1"/>
      <w:sz w:val="20"/>
      <w:szCs w:val="24"/>
      <w:lang w:val="en-CA"/>
    </w:rPr>
  </w:style>
  <w:style w:type="paragraph" w:customStyle="1" w:styleId="Code">
    <w:name w:val="Code"/>
    <w:basedOn w:val="Normal"/>
    <w:autoRedefine/>
    <w:uiPriority w:val="99"/>
    <w:qFormat/>
    <w:rsid w:val="00407496"/>
    <w:rPr>
      <w:rFonts w:ascii="Menlo" w:hAnsi="Menlo" w:cs="Menlo"/>
      <w:sz w:val="16"/>
      <w:szCs w:val="16"/>
    </w:rPr>
  </w:style>
  <w:style w:type="character" w:customStyle="1" w:styleId="Code0">
    <w:name w:val="Code_"/>
    <w:basedOn w:val="Policepardfaut"/>
    <w:uiPriority w:val="1"/>
    <w:qFormat/>
    <w:rsid w:val="00C43F58"/>
    <w:rPr>
      <w:rFonts w:ascii="Lucida Sans Typewriter" w:hAnsi="Lucida Sans Typewriter" w:cs="Menlo"/>
      <w:color w:val="000000" w:themeColor="text1"/>
      <w:sz w:val="24"/>
      <w:bdr w:val="none" w:sz="0" w:space="0" w:color="auto"/>
      <w:shd w:val="pct5" w:color="auto" w:fill="auto"/>
    </w:rPr>
  </w:style>
  <w:style w:type="character" w:customStyle="1" w:styleId="Lgende-Texte">
    <w:name w:val="Légende - Texte"/>
    <w:basedOn w:val="Policepardfaut"/>
    <w:uiPriority w:val="1"/>
    <w:qFormat/>
    <w:rsid w:val="00407496"/>
    <w:rPr>
      <w:sz w:val="20"/>
    </w:rPr>
  </w:style>
  <w:style w:type="paragraph" w:customStyle="1" w:styleId="Rfrenceintgre">
    <w:name w:val="Référence intégrée"/>
    <w:basedOn w:val="Normal"/>
    <w:link w:val="RfrenceintgreCar"/>
    <w:autoRedefine/>
    <w:uiPriority w:val="99"/>
    <w:qFormat/>
    <w:rsid w:val="00407496"/>
    <w:pPr>
      <w:widowControl/>
      <w:autoSpaceDE/>
      <w:autoSpaceDN/>
      <w:adjustRightInd/>
    </w:pPr>
    <w:rPr>
      <w:szCs w:val="24"/>
    </w:rPr>
  </w:style>
  <w:style w:type="character" w:customStyle="1" w:styleId="RfrenceintgreCar">
    <w:name w:val="Référence intégrée Car"/>
    <w:basedOn w:val="Policepardfaut"/>
    <w:link w:val="Rfrenceintgre"/>
    <w:uiPriority w:val="99"/>
    <w:rsid w:val="00407496"/>
    <w:rPr>
      <w:rFonts w:ascii="Helvetica" w:hAnsi="Helvetica"/>
      <w:lang w:eastAsia="zh-CN"/>
    </w:rPr>
  </w:style>
  <w:style w:type="character" w:customStyle="1" w:styleId="Figure-Intitul">
    <w:name w:val="Figure - Intitulé"/>
    <w:uiPriority w:val="1"/>
    <w:qFormat/>
    <w:rsid w:val="009521E0"/>
    <w:rPr>
      <w:b/>
      <w:bCs/>
      <w:sz w:val="20"/>
    </w:rPr>
  </w:style>
  <w:style w:type="character" w:customStyle="1" w:styleId="Figure-Texte">
    <w:name w:val="Figure - Texte"/>
    <w:uiPriority w:val="1"/>
    <w:qFormat/>
    <w:rsid w:val="009521E0"/>
    <w:rPr>
      <w:sz w:val="20"/>
    </w:rPr>
  </w:style>
  <w:style w:type="character" w:customStyle="1" w:styleId="Tableau-Intitul">
    <w:name w:val="Tableau - Intitulé"/>
    <w:basedOn w:val="Figure-Intitul"/>
    <w:uiPriority w:val="1"/>
    <w:qFormat/>
    <w:rsid w:val="009521E0"/>
    <w:rPr>
      <w:b/>
      <w:bCs/>
      <w:sz w:val="20"/>
    </w:rPr>
  </w:style>
  <w:style w:type="character" w:customStyle="1" w:styleId="Tableau-Texte">
    <w:name w:val="Tableau - Texte"/>
    <w:basedOn w:val="Figure-Texte"/>
    <w:uiPriority w:val="1"/>
    <w:qFormat/>
    <w:rsid w:val="009521E0"/>
    <w:rPr>
      <w:sz w:val="20"/>
    </w:rPr>
  </w:style>
  <w:style w:type="character" w:customStyle="1" w:styleId="Titre3Car">
    <w:name w:val="Titre 3 Car"/>
    <w:basedOn w:val="Policepardfaut"/>
    <w:link w:val="Titre3"/>
    <w:uiPriority w:val="9"/>
    <w:rsid w:val="003866EF"/>
    <w:rPr>
      <w:rFonts w:ascii="Arial" w:hAnsi="Arial"/>
      <w:b/>
      <w:bCs/>
      <w:szCs w:val="32"/>
      <w:lang w:eastAsia="zh-CN"/>
    </w:rPr>
  </w:style>
  <w:style w:type="character" w:customStyle="1" w:styleId="Titre4Car">
    <w:name w:val="Titre 4 Car"/>
    <w:basedOn w:val="Policepardfaut"/>
    <w:link w:val="Titre4"/>
    <w:uiPriority w:val="9"/>
    <w:rsid w:val="003866EF"/>
    <w:rPr>
      <w:rFonts w:ascii="Arial" w:hAnsi="Arial"/>
      <w:b/>
      <w:bCs/>
      <w:szCs w:val="21"/>
      <w:lang w:eastAsia="zh-CN"/>
    </w:rPr>
  </w:style>
  <w:style w:type="paragraph" w:styleId="Paragraphedeliste">
    <w:name w:val="List Paragraph"/>
    <w:basedOn w:val="Normal"/>
    <w:link w:val="ParagraphedelisteCar"/>
    <w:autoRedefine/>
    <w:uiPriority w:val="34"/>
    <w:qFormat/>
    <w:rsid w:val="003866EF"/>
    <w:pPr>
      <w:ind w:left="720"/>
      <w:contextualSpacing/>
    </w:pPr>
  </w:style>
  <w:style w:type="character" w:customStyle="1" w:styleId="ParagraphedelisteCar">
    <w:name w:val="Paragraphe de liste Car"/>
    <w:basedOn w:val="Policepardfaut"/>
    <w:link w:val="Paragraphedeliste"/>
    <w:uiPriority w:val="34"/>
    <w:rsid w:val="003866EF"/>
    <w:rPr>
      <w:rFonts w:ascii="Arial" w:hAnsi="Arial"/>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3360</Words>
  <Characters>18483</Characters>
  <Application>Microsoft Office Word</Application>
  <DocSecurity>0</DocSecurity>
  <Lines>154</Lines>
  <Paragraphs>43</Paragraphs>
  <ScaleCrop>false</ScaleCrop>
  <Company/>
  <LinksUpToDate>false</LinksUpToDate>
  <CharactersWithSpaces>21800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Choa</dc:creator>
  <cp:keywords/>
  <dc:description/>
  <cp:lastModifiedBy>Omar Choa</cp:lastModifiedBy>
  <cp:revision>1</cp:revision>
  <dcterms:created xsi:type="dcterms:W3CDTF">2023-12-01T16:11:00Z</dcterms:created>
  <dcterms:modified xsi:type="dcterms:W3CDTF">2023-12-01T16:11:00Z</dcterms:modified>
</cp:coreProperties>
</file>