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FD6B1" w14:textId="19E14611" w:rsidR="00FD013A" w:rsidRDefault="00FD013A" w:rsidP="00375F9B">
      <w:pPr>
        <w:pStyle w:val="Ttulo1"/>
      </w:pPr>
      <w:r>
        <w:t>Introdução</w:t>
      </w:r>
    </w:p>
    <w:p w14:paraId="5E82559F" w14:textId="1C2D7DA9" w:rsidR="00BE6D12" w:rsidRDefault="00FD013A" w:rsidP="00BE6D12">
      <w:pPr>
        <w:jc w:val="both"/>
      </w:pPr>
      <w:r>
        <w:t xml:space="preserve">Este documento tem por objetivo exercitar alguns conceitos apresentados por </w:t>
      </w:r>
      <w:proofErr w:type="spellStart"/>
      <w:r>
        <w:t>Haussman</w:t>
      </w:r>
      <w:proofErr w:type="spellEnd"/>
      <w:r>
        <w:rPr>
          <w:rStyle w:val="Refdenotaderodap"/>
        </w:rPr>
        <w:footnoteReference w:id="1"/>
      </w:r>
      <w:r>
        <w:t xml:space="preserve"> e Hidalgo</w:t>
      </w:r>
      <w:r>
        <w:rPr>
          <w:rStyle w:val="Refdenotaderodap"/>
        </w:rPr>
        <w:footnoteReference w:id="2"/>
      </w:r>
      <w:r>
        <w:t xml:space="preserve"> </w:t>
      </w:r>
      <w:r w:rsidR="002E1831">
        <w:t xml:space="preserve">aplicados a um contexto de </w:t>
      </w:r>
      <w:r>
        <w:t>desenvolvimento</w:t>
      </w:r>
      <w:r w:rsidR="00BE6D12">
        <w:t xml:space="preserve"> econômico</w:t>
      </w:r>
      <w:r w:rsidR="002E1831">
        <w:t xml:space="preserve"> regional</w:t>
      </w:r>
      <w:r>
        <w:t xml:space="preserve">. Para isso, </w:t>
      </w:r>
      <w:r w:rsidR="002E1831">
        <w:t xml:space="preserve">optou-se em analisar o município de </w:t>
      </w:r>
      <w:r>
        <w:t>Ubá-MG com</w:t>
      </w:r>
      <w:r w:rsidR="002E1831">
        <w:t>o</w:t>
      </w:r>
      <w:r>
        <w:t xml:space="preserve"> referência uma vez que esse município é </w:t>
      </w:r>
      <w:r w:rsidR="002E1831">
        <w:t xml:space="preserve">identificado como um potencial polo de desenvolvimento econômico no setor moveleiro uma vez que é </w:t>
      </w:r>
      <w:r>
        <w:t xml:space="preserve">caracterizado como um </w:t>
      </w:r>
      <w:r w:rsidR="002E1831">
        <w:t xml:space="preserve">Arranjo Produtivo Local. </w:t>
      </w:r>
    </w:p>
    <w:p w14:paraId="666B149F" w14:textId="472E6779" w:rsidR="00BE6D12" w:rsidRDefault="00FD013A" w:rsidP="00BE6D12">
      <w:pPr>
        <w:jc w:val="both"/>
      </w:pPr>
      <w:r>
        <w:t xml:space="preserve">A estratégia </w:t>
      </w:r>
      <w:r w:rsidR="002E1831">
        <w:t xml:space="preserve">utilizada foi </w:t>
      </w:r>
      <w:r w:rsidR="00052686">
        <w:t>apresentar</w:t>
      </w:r>
      <w:r>
        <w:t xml:space="preserve"> o Espaço de Produtos (</w:t>
      </w:r>
      <w:proofErr w:type="spellStart"/>
      <w:r w:rsidRPr="00FD013A">
        <w:rPr>
          <w:i/>
        </w:rPr>
        <w:t>Product</w:t>
      </w:r>
      <w:proofErr w:type="spellEnd"/>
      <w:r w:rsidRPr="00FD013A">
        <w:rPr>
          <w:i/>
        </w:rPr>
        <w:t xml:space="preserve"> Space</w:t>
      </w:r>
      <w:r>
        <w:t>)</w:t>
      </w:r>
      <w:r w:rsidR="00BE6D12">
        <w:t xml:space="preserve"> de Ubá - MG, cujo principal produto na sua pauta exportadora é Outros Artigos do Mobiliário,</w:t>
      </w:r>
      <w:r w:rsidR="00052686">
        <w:t xml:space="preserve"> e compara-lo</w:t>
      </w:r>
      <w:r w:rsidR="00BE6D12">
        <w:t xml:space="preserve"> com o Espaço de Produtos de Caçador – SC,</w:t>
      </w:r>
      <w:r w:rsidR="002E1831">
        <w:t xml:space="preserve"> por meio da ferramenta Data Viva. </w:t>
      </w:r>
    </w:p>
    <w:p w14:paraId="05DA1195" w14:textId="5C986748" w:rsidR="00FD013A" w:rsidRPr="00FD013A" w:rsidRDefault="00BE6D12" w:rsidP="00BE6D12">
      <w:pPr>
        <w:jc w:val="both"/>
      </w:pPr>
      <w:r>
        <w:t>Caçador</w:t>
      </w:r>
      <w:r w:rsidR="002E1831">
        <w:t xml:space="preserve"> – SC é tratado</w:t>
      </w:r>
      <w:r>
        <w:t xml:space="preserve"> como </w:t>
      </w:r>
      <w:r w:rsidRPr="00BE6D12">
        <w:rPr>
          <w:i/>
        </w:rPr>
        <w:t xml:space="preserve">benchmark </w:t>
      </w:r>
      <w:r>
        <w:t>para Ubá,</w:t>
      </w:r>
      <w:r w:rsidR="002E1831">
        <w:t xml:space="preserve"> pois além de ser um importante exportador de Outros Artigos do Mobiliário, exporta diversos outros </w:t>
      </w:r>
      <w:r w:rsidR="00052686">
        <w:t>produtos</w:t>
      </w:r>
      <w:r w:rsidR="002E1831">
        <w:t xml:space="preserve"> e apresenta uma economia mais diversificada e desenvolvida.</w:t>
      </w:r>
      <w:r>
        <w:t xml:space="preserve"> </w:t>
      </w:r>
      <w:r w:rsidR="002E1831">
        <w:t xml:space="preserve"> Assim, </w:t>
      </w:r>
      <w:r>
        <w:t>comparou-se as cidades no que diz respeito</w:t>
      </w:r>
      <w:r w:rsidR="00052686">
        <w:t xml:space="preserve"> ao perfil da mão-de-obra, das </w:t>
      </w:r>
      <w:r>
        <w:t>atividades econômicas</w:t>
      </w:r>
      <w:r w:rsidR="00052686">
        <w:t xml:space="preserve"> e dos estabelecimentos por meio das </w:t>
      </w:r>
      <w:r>
        <w:t xml:space="preserve">informações da Relação Anual de Informações Sociais (RAIS – MTE), também disponibilizadas no Data Viva.    </w:t>
      </w:r>
    </w:p>
    <w:p w14:paraId="4FD5790E" w14:textId="77777777" w:rsidR="00471B51" w:rsidRDefault="00DF44DB" w:rsidP="00375F9B">
      <w:pPr>
        <w:pStyle w:val="Ttulo1"/>
      </w:pPr>
      <w:r>
        <w:t xml:space="preserve">Perspectivas para o </w:t>
      </w:r>
      <w:r w:rsidR="00A619EA">
        <w:t>Arranjo Produtivo Moveleiro de Ubá</w:t>
      </w:r>
    </w:p>
    <w:p w14:paraId="4B91FFFA" w14:textId="77777777" w:rsidR="003E46CD" w:rsidRDefault="00DF44DB" w:rsidP="00560576">
      <w:pPr>
        <w:jc w:val="both"/>
      </w:pPr>
      <w:r>
        <w:t>A produção de artigos mobiliários é uma atividade tradicional na cidade</w:t>
      </w:r>
      <w:r w:rsidR="00560576">
        <w:t xml:space="preserve"> de Ubá</w:t>
      </w:r>
      <w:r w:rsidR="00375F9B">
        <w:t xml:space="preserve"> e</w:t>
      </w:r>
      <w:r w:rsidR="003E46CD">
        <w:t xml:space="preserve"> </w:t>
      </w:r>
      <w:r>
        <w:t>entorno</w:t>
      </w:r>
      <w:r w:rsidR="003E46CD">
        <w:t xml:space="preserve"> que</w:t>
      </w:r>
      <w:r w:rsidR="00B77FCF">
        <w:t>,</w:t>
      </w:r>
      <w:r w:rsidR="003E46CD">
        <w:t xml:space="preserve"> ao longo dos anos</w:t>
      </w:r>
      <w:r w:rsidR="00B77FCF">
        <w:t>,</w:t>
      </w:r>
      <w:r w:rsidR="003E46CD">
        <w:t xml:space="preserve"> acumulou conhecimento, aglomerou empresas e teve apoio institucional para </w:t>
      </w:r>
      <w:r w:rsidR="00560576">
        <w:t xml:space="preserve">se </w:t>
      </w:r>
      <w:r w:rsidR="003E46CD">
        <w:t xml:space="preserve">desenvolver produtivamente. Esse conjunto de fatores </w:t>
      </w:r>
      <w:r w:rsidR="0052595C">
        <w:t>caracterizou o</w:t>
      </w:r>
      <w:r w:rsidR="00AA2AD5">
        <w:t xml:space="preserve"> que se denomina</w:t>
      </w:r>
      <w:r w:rsidR="003E46CD">
        <w:t xml:space="preserve"> Arranjo Produtivo Local Moveleiro de Ubá. </w:t>
      </w:r>
    </w:p>
    <w:p w14:paraId="3B15F742" w14:textId="77777777" w:rsidR="00375F9B" w:rsidRDefault="00560576" w:rsidP="00560576">
      <w:pPr>
        <w:jc w:val="both"/>
      </w:pPr>
      <w:r>
        <w:t xml:space="preserve">Resumidamente, um Arranjo Produtivo Local é identificado a partir de aglomerações empresariais localizadas em um mesmo território que apresentam especialização produtiva e se relacionam entre si em uma dinâmica de aprendizado, cooperação e complementação produtiva. </w:t>
      </w:r>
      <w:r w:rsidR="0052595C">
        <w:t xml:space="preserve">A identificação de </w:t>
      </w:r>
      <w:r w:rsidR="003E46CD">
        <w:t xml:space="preserve">Arranjos Produtivos Locais </w:t>
      </w:r>
      <w:r w:rsidR="0052595C">
        <w:t>e o fomento dos mesmos passou a ser importante instrumento</w:t>
      </w:r>
      <w:r w:rsidR="003E46CD">
        <w:t xml:space="preserve"> de políticas públicas de desenvolvimento local/regional</w:t>
      </w:r>
      <w:r>
        <w:t xml:space="preserve"> a partir dos anos 90</w:t>
      </w:r>
      <w:r w:rsidR="003E46CD">
        <w:t>.</w:t>
      </w:r>
      <w:r>
        <w:t xml:space="preserve">    </w:t>
      </w:r>
    </w:p>
    <w:p w14:paraId="54BB65DC" w14:textId="77777777" w:rsidR="00375F9B" w:rsidRDefault="00375F9B" w:rsidP="00560576">
      <w:pPr>
        <w:jc w:val="both"/>
      </w:pPr>
      <w:r>
        <w:t>Em 2014</w:t>
      </w:r>
      <w:r w:rsidR="00512905">
        <w:t>,</w:t>
      </w:r>
      <w:r>
        <w:t xml:space="preserve"> o setor de móveis empregava 34% dos trabalhadores formais de Ubá</w:t>
      </w:r>
      <w:r w:rsidR="00B77FCF">
        <w:t xml:space="preserve"> (FIG.1)</w:t>
      </w:r>
      <w:r>
        <w:t xml:space="preserve">, aproximadamente 10 </w:t>
      </w:r>
      <w:proofErr w:type="gramStart"/>
      <w:r>
        <w:t>mil</w:t>
      </w:r>
      <w:proofErr w:type="gramEnd"/>
      <w:r>
        <w:t xml:space="preserve"> trabalhadores, revelando-se o setor mais importante do município nesse quesito. Ao mesmo tempo</w:t>
      </w:r>
      <w:r w:rsidR="00B77FCF">
        <w:t>, haviam 209 empresas atuando no</w:t>
      </w:r>
      <w:r>
        <w:t xml:space="preserve"> setor naquele mesmo ano. </w:t>
      </w:r>
    </w:p>
    <w:p w14:paraId="343F7C51" w14:textId="77777777" w:rsidR="00375F9B" w:rsidRPr="00B77FCF" w:rsidRDefault="00B77FCF" w:rsidP="00B77FCF">
      <w:pPr>
        <w:jc w:val="center"/>
        <w:rPr>
          <w:b/>
        </w:rPr>
      </w:pPr>
      <w:r w:rsidRPr="00B77FCF">
        <w:rPr>
          <w:b/>
        </w:rPr>
        <w:t>Figura 1 – Empregos por atividade econômica em Ubá, 2014</w:t>
      </w:r>
    </w:p>
    <w:p w14:paraId="02910FA3" w14:textId="6E07962F" w:rsidR="00A619EA" w:rsidRPr="00375F9B" w:rsidRDefault="00375F9B" w:rsidP="008C13C7">
      <w:pPr>
        <w:jc w:val="center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A8DCDDC" wp14:editId="4D1F3C13">
            <wp:extent cx="5400040" cy="3493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cupaça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9C63" w14:textId="77777777" w:rsidR="00375F9B" w:rsidRPr="00B77FCF" w:rsidRDefault="00375F9B">
      <w:pPr>
        <w:rPr>
          <w:sz w:val="18"/>
          <w:szCs w:val="18"/>
          <w:lang w:val="en-US"/>
        </w:rPr>
      </w:pPr>
      <w:r w:rsidRPr="00B77FCF">
        <w:rPr>
          <w:sz w:val="18"/>
          <w:szCs w:val="18"/>
          <w:lang w:val="en-US"/>
        </w:rPr>
        <w:t>Fonte: Data Viva / RAIS</w:t>
      </w:r>
    </w:p>
    <w:p w14:paraId="48A92FF9" w14:textId="77777777" w:rsidR="00A619EA" w:rsidRDefault="00375F9B">
      <w:pPr>
        <w:rPr>
          <w:lang w:val="en-US"/>
        </w:rPr>
      </w:pPr>
      <w:r w:rsidRPr="00375F9B">
        <w:rPr>
          <w:lang w:val="en-US"/>
        </w:rPr>
        <w:t>&lt;iframe width='560' height='315' src='http://dataviva.info/pt/embed/tree_map/rais/4mg110515/all/all/cnae/</w:t>
      </w:r>
      <w:proofErr w:type="gramStart"/>
      <w:r w:rsidRPr="00375F9B">
        <w:rPr>
          <w:lang w:val="en-US"/>
        </w:rPr>
        <w:t>?color</w:t>
      </w:r>
      <w:proofErr w:type="gramEnd"/>
      <w:r w:rsidRPr="00375F9B">
        <w:rPr>
          <w:lang w:val="en-US"/>
        </w:rPr>
        <w:t xml:space="preserve">=color&amp;depth=cnae_3&amp;controls=true&amp;size=num_jobs&amp;year=2014' </w:t>
      </w:r>
      <w:proofErr w:type="spellStart"/>
      <w:r w:rsidRPr="00375F9B">
        <w:rPr>
          <w:lang w:val="en-US"/>
        </w:rPr>
        <w:t>frameborder</w:t>
      </w:r>
      <w:proofErr w:type="spellEnd"/>
      <w:r w:rsidRPr="00375F9B">
        <w:rPr>
          <w:lang w:val="en-US"/>
        </w:rPr>
        <w:t>='0'&gt;&lt;/iframe&gt;</w:t>
      </w:r>
    </w:p>
    <w:p w14:paraId="1DA2422B" w14:textId="77777777" w:rsidR="001D1A7F" w:rsidRDefault="00B77FCF" w:rsidP="001D1A7F">
      <w:pPr>
        <w:jc w:val="both"/>
      </w:pPr>
      <w:r>
        <w:t xml:space="preserve">No mesmo sentido, o setor foi responsável por 99% das exportações </w:t>
      </w:r>
      <w:r w:rsidR="00AA2AD5">
        <w:t>de Ubá</w:t>
      </w:r>
      <w:r>
        <w:t xml:space="preserve"> (FIG. 2), </w:t>
      </w:r>
      <w:r w:rsidR="001D1A7F">
        <w:t>totalizando</w:t>
      </w:r>
      <w:r>
        <w:t xml:space="preserve"> 4,8 milhões</w:t>
      </w:r>
      <w:r w:rsidR="001D1A7F">
        <w:t xml:space="preserve"> de dólares, indicando que o município possui eficiência competitiva no setor, uma vez que consegue vender seus produtos para o mercado </w:t>
      </w:r>
      <w:r w:rsidR="00512905">
        <w:t>internacional</w:t>
      </w:r>
      <w:r w:rsidR="001D1A7F">
        <w:t>.</w:t>
      </w:r>
    </w:p>
    <w:p w14:paraId="74D135DF" w14:textId="77777777" w:rsidR="001D1A7F" w:rsidRDefault="001D1A7F"/>
    <w:p w14:paraId="190CAC71" w14:textId="77777777" w:rsidR="001D1A7F" w:rsidRDefault="001D1A7F"/>
    <w:p w14:paraId="16402B6B" w14:textId="77777777" w:rsidR="001D1A7F" w:rsidRPr="001D1A7F" w:rsidRDefault="001D1A7F" w:rsidP="001D1A7F">
      <w:pPr>
        <w:jc w:val="center"/>
        <w:rPr>
          <w:b/>
        </w:rPr>
      </w:pPr>
      <w:r w:rsidRPr="001D1A7F">
        <w:rPr>
          <w:b/>
        </w:rPr>
        <w:t>Figura 2 – Exportações de Ubá, 2014</w:t>
      </w:r>
    </w:p>
    <w:p w14:paraId="36CE5C79" w14:textId="34198E5F" w:rsidR="00375F9B" w:rsidRPr="009E43B2" w:rsidRDefault="001D1A7F" w:rsidP="008C13C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25085DC" wp14:editId="262C2469">
            <wp:extent cx="5475930" cy="349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ortaco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3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5511" w14:textId="77777777" w:rsidR="00375F9B" w:rsidRPr="001D1A7F" w:rsidRDefault="001D1A7F">
      <w:pPr>
        <w:rPr>
          <w:sz w:val="18"/>
          <w:szCs w:val="18"/>
        </w:rPr>
      </w:pPr>
      <w:r w:rsidRPr="001D1A7F">
        <w:rPr>
          <w:sz w:val="18"/>
          <w:szCs w:val="18"/>
        </w:rPr>
        <w:t>Fonte: Data Viva / Secex</w:t>
      </w:r>
    </w:p>
    <w:p w14:paraId="11D22F1E" w14:textId="77777777" w:rsidR="001D1A7F" w:rsidRDefault="001D1A7F">
      <w:pPr>
        <w:rPr>
          <w:lang w:val="en-US"/>
        </w:rPr>
      </w:pPr>
      <w:r w:rsidRPr="001D1A7F">
        <w:rPr>
          <w:lang w:val="en-US"/>
        </w:rPr>
        <w:t>&lt;iframe width='560' height='315' src='http://dataviva.info/pt/embed/tree_map/secex/4mg110515/all/all/hs/</w:t>
      </w:r>
      <w:proofErr w:type="gramStart"/>
      <w:r w:rsidRPr="001D1A7F">
        <w:rPr>
          <w:lang w:val="en-US"/>
        </w:rPr>
        <w:t>?color</w:t>
      </w:r>
      <w:proofErr w:type="gramEnd"/>
      <w:r w:rsidRPr="001D1A7F">
        <w:rPr>
          <w:lang w:val="en-US"/>
        </w:rPr>
        <w:t xml:space="preserve">=color&amp;depth=hs_6&amp;controls=true&amp;size=export_val&amp;year=2014' </w:t>
      </w:r>
      <w:proofErr w:type="spellStart"/>
      <w:r w:rsidRPr="001D1A7F">
        <w:rPr>
          <w:lang w:val="en-US"/>
        </w:rPr>
        <w:t>frameborder</w:t>
      </w:r>
      <w:proofErr w:type="spellEnd"/>
      <w:r w:rsidRPr="001D1A7F">
        <w:rPr>
          <w:lang w:val="en-US"/>
        </w:rPr>
        <w:t>='0'&gt;&lt;/iframe&gt;</w:t>
      </w:r>
    </w:p>
    <w:p w14:paraId="47663F61" w14:textId="77777777" w:rsidR="00CA56C9" w:rsidRDefault="00640904" w:rsidP="00765503">
      <w:pPr>
        <w:jc w:val="both"/>
      </w:pPr>
      <w:r w:rsidRPr="00640904">
        <w:t xml:space="preserve">As Figuras 1 e 2 </w:t>
      </w:r>
      <w:r w:rsidR="00AA2AD5">
        <w:t xml:space="preserve">ilustram a especialização de </w:t>
      </w:r>
      <w:r>
        <w:t>Ubá em produção de móveis</w:t>
      </w:r>
      <w:r w:rsidR="00AA2AD5">
        <w:t xml:space="preserve"> ao mesmo tempo que revela pouca </w:t>
      </w:r>
      <w:r>
        <w:t xml:space="preserve">diversidade produtiva.  </w:t>
      </w:r>
      <w:r w:rsidR="00CA56C9">
        <w:t xml:space="preserve">Diante desse diagnóstico, pergunta-se: é interessante para uma região/localidade diversificar sua economia? Se sim, em qual direção deve-se colocar maior esforço para ter sucesso? </w:t>
      </w:r>
      <w:r w:rsidR="0052595C">
        <w:t xml:space="preserve">Essas são perguntas de difícil resposta. </w:t>
      </w:r>
    </w:p>
    <w:p w14:paraId="389A4FE5" w14:textId="263F4AB1" w:rsidR="00633EB4" w:rsidRDefault="00CA56C9" w:rsidP="00765503">
      <w:pPr>
        <w:jc w:val="both"/>
      </w:pPr>
      <w:r>
        <w:t xml:space="preserve">Os professores Ricardo </w:t>
      </w:r>
      <w:proofErr w:type="spellStart"/>
      <w:r>
        <w:t>H</w:t>
      </w:r>
      <w:r w:rsidR="00765503">
        <w:t>aus</w:t>
      </w:r>
      <w:r>
        <w:t>man</w:t>
      </w:r>
      <w:r w:rsidR="00765503">
        <w:t>n</w:t>
      </w:r>
      <w:proofErr w:type="spellEnd"/>
      <w:r>
        <w:t xml:space="preserve"> e Cesar Hidalgo produziram uma série de estudos mostrando que em média os países que são capazes de </w:t>
      </w:r>
      <w:r w:rsidR="00F97825">
        <w:t>exportar</w:t>
      </w:r>
      <w:r>
        <w:t xml:space="preserve"> um maior número de produtos e, </w:t>
      </w:r>
      <w:r w:rsidR="00765503">
        <w:t xml:space="preserve">combinado a </w:t>
      </w:r>
      <w:r>
        <w:t>isso,</w:t>
      </w:r>
      <w:r w:rsidR="00765503">
        <w:t xml:space="preserve"> capazes de </w:t>
      </w:r>
      <w:r w:rsidR="00F97825">
        <w:t>exportar</w:t>
      </w:r>
      <w:r>
        <w:t xml:space="preserve"> produtos que são </w:t>
      </w:r>
      <w:r w:rsidR="00F97825">
        <w:t>exportados</w:t>
      </w:r>
      <w:r>
        <w:t xml:space="preserve"> por um menor número de países (ou seja,</w:t>
      </w:r>
      <w:r w:rsidR="00765503">
        <w:t xml:space="preserve"> produtos não triviais) possuem uma maior renda </w:t>
      </w:r>
      <w:r w:rsidR="00765503" w:rsidRPr="00633EB4">
        <w:rPr>
          <w:i/>
        </w:rPr>
        <w:t>per capita</w:t>
      </w:r>
      <w:r w:rsidR="00765503">
        <w:t xml:space="preserve">, ou seja, são </w:t>
      </w:r>
      <w:r w:rsidR="00AA2AD5">
        <w:t>mais ricos e desenvolvidos.</w:t>
      </w:r>
      <w:r w:rsidR="00765503">
        <w:t xml:space="preserve"> </w:t>
      </w:r>
      <w:r w:rsidR="00633EB4">
        <w:t>Os autores argumentam que para conseguir produzir um produto ou uma cesta de produtos os países acumularam capacidades (</w:t>
      </w:r>
      <w:proofErr w:type="spellStart"/>
      <w:r w:rsidR="00633EB4" w:rsidRPr="00633EB4">
        <w:rPr>
          <w:i/>
        </w:rPr>
        <w:t>capabilites</w:t>
      </w:r>
      <w:proofErr w:type="spellEnd"/>
      <w:r w:rsidR="00633EB4">
        <w:t>) ao longo do tempo que permitem a elaboração de determinado produto. Essas capacidades podem ser traduzidas como um conjunto de conhecimentos tácitos não transferíveis, como conhecimento técnico-científico, leis, instituições</w:t>
      </w:r>
      <w:r w:rsidR="00E617D8">
        <w:t xml:space="preserve"> e </w:t>
      </w:r>
      <w:proofErr w:type="spellStart"/>
      <w:r w:rsidR="00E617D8">
        <w:t>etc</w:t>
      </w:r>
      <w:proofErr w:type="spellEnd"/>
      <w:r w:rsidR="00E617D8">
        <w:t>, que</w:t>
      </w:r>
      <w:r w:rsidR="00633EB4">
        <w:t xml:space="preserve"> </w:t>
      </w:r>
      <w:r w:rsidR="0052595C">
        <w:t>fazem parte de determinada sociedade</w:t>
      </w:r>
      <w:r w:rsidR="00633EB4">
        <w:t xml:space="preserve">.  </w:t>
      </w:r>
    </w:p>
    <w:p w14:paraId="12F7CE00" w14:textId="1C97CE01" w:rsidR="001F5426" w:rsidRDefault="00633EB4" w:rsidP="00765503">
      <w:pPr>
        <w:jc w:val="both"/>
      </w:pPr>
      <w:r>
        <w:t xml:space="preserve"> </w:t>
      </w:r>
      <w:r w:rsidR="00765503">
        <w:t>A</w:t>
      </w:r>
      <w:r w:rsidR="0052595C">
        <w:t xml:space="preserve"> partir dessa constatação, </w:t>
      </w:r>
      <w:r w:rsidR="00765503">
        <w:t xml:space="preserve">os autores </w:t>
      </w:r>
      <w:r w:rsidR="0052595C">
        <w:t>elaboraram</w:t>
      </w:r>
      <w:r w:rsidR="00765503">
        <w:t xml:space="preserve"> um Espaço de Produtos (ou </w:t>
      </w:r>
      <w:proofErr w:type="spellStart"/>
      <w:r w:rsidR="00765503" w:rsidRPr="00765503">
        <w:rPr>
          <w:i/>
        </w:rPr>
        <w:t>Product</w:t>
      </w:r>
      <w:proofErr w:type="spellEnd"/>
      <w:r w:rsidR="00765503" w:rsidRPr="00765503">
        <w:rPr>
          <w:i/>
        </w:rPr>
        <w:t xml:space="preserve"> Space</w:t>
      </w:r>
      <w:r w:rsidR="00765503">
        <w:t>) baseado em dados de comércio internacional</w:t>
      </w:r>
      <w:r w:rsidR="001F5426">
        <w:t xml:space="preserve"> entre países</w:t>
      </w:r>
      <w:r w:rsidR="00765503">
        <w:t xml:space="preserve">. O Espaço de Produtos </w:t>
      </w:r>
      <w:r w:rsidR="00E617D8">
        <w:t xml:space="preserve">é </w:t>
      </w:r>
      <w:r w:rsidR="00512905">
        <w:t xml:space="preserve">uma representação da probabilidade de </w:t>
      </w:r>
      <w:proofErr w:type="spellStart"/>
      <w:r w:rsidR="00512905">
        <w:t>co-exportação</w:t>
      </w:r>
      <w:proofErr w:type="spellEnd"/>
      <w:r w:rsidR="00512905">
        <w:t xml:space="preserve"> entre os produtos </w:t>
      </w:r>
      <w:r w:rsidR="00A8319D">
        <w:t>considerando</w:t>
      </w:r>
      <w:r w:rsidR="00512905">
        <w:t xml:space="preserve"> os dados observados para países. G</w:t>
      </w:r>
      <w:r w:rsidR="00E617D8">
        <w:t>raficamente</w:t>
      </w:r>
      <w:r w:rsidR="00A8319D">
        <w:t>,</w:t>
      </w:r>
      <w:r w:rsidR="00512905">
        <w:t xml:space="preserve"> o Espaço</w:t>
      </w:r>
      <w:r w:rsidR="000C75DC">
        <w:t xml:space="preserve"> </w:t>
      </w:r>
      <w:r w:rsidR="00512905">
        <w:t>de Produtos é</w:t>
      </w:r>
      <w:r w:rsidR="00E617D8">
        <w:t xml:space="preserve"> uma rede de produtos </w:t>
      </w:r>
      <w:r w:rsidR="00512905">
        <w:t xml:space="preserve">conectados uns aos outros, em que essa conexão existe se há </w:t>
      </w:r>
      <w:r w:rsidR="000C75DC">
        <w:t xml:space="preserve">alta </w:t>
      </w:r>
      <w:r w:rsidR="00512905">
        <w:t xml:space="preserve">probabilidade de </w:t>
      </w:r>
      <w:proofErr w:type="spellStart"/>
      <w:r w:rsidR="00512905">
        <w:t>co-exportação</w:t>
      </w:r>
      <w:proofErr w:type="spellEnd"/>
      <w:r w:rsidR="00E617D8">
        <w:t>.</w:t>
      </w:r>
      <w:r w:rsidR="00A8319D">
        <w:t xml:space="preserve"> Por exemplo, considerando um país que exporta carros, mas não exporta medicamentos e instrumentos elétricos. Se no Espaço de Produtos é possível observar uma conexão entre carros e instrumentos elétricos, mas não observarmos entre carros e medicamentos, significa </w:t>
      </w:r>
      <w:r w:rsidR="0053028B">
        <w:t>que há</w:t>
      </w:r>
      <w:r w:rsidR="0052595C">
        <w:t xml:space="preserve"> </w:t>
      </w:r>
      <w:r w:rsidR="00512905">
        <w:t xml:space="preserve">uma </w:t>
      </w:r>
      <w:r w:rsidR="0052595C">
        <w:t xml:space="preserve">maior probabilidade </w:t>
      </w:r>
      <w:r w:rsidR="00512905">
        <w:t>de</w:t>
      </w:r>
      <w:r w:rsidR="0052595C">
        <w:t xml:space="preserve"> eu te</w:t>
      </w:r>
      <w:r w:rsidR="00512905">
        <w:t>r</w:t>
      </w:r>
      <w:r w:rsidR="00A8319D">
        <w:t xml:space="preserve"> sucesso em exportar instrumentos elétricos do que medicamentos</w:t>
      </w:r>
      <w:r w:rsidR="00512905">
        <w:t xml:space="preserve"> em um futuro próximo</w:t>
      </w:r>
      <w:r w:rsidR="00A8319D">
        <w:t>, visto que no mundo existem mais países que exportam ao mesmo tempo os carros e instrumentos elétricos do que carros e medicamentos.</w:t>
      </w:r>
      <w:r w:rsidR="0052595C">
        <w:t xml:space="preserve"> </w:t>
      </w:r>
      <w:r w:rsidR="00303280">
        <w:t>Sendo assim</w:t>
      </w:r>
      <w:r w:rsidR="007F3E2F">
        <w:t xml:space="preserve">, o Espaço de Produtos aponta caminhos </w:t>
      </w:r>
      <w:r w:rsidR="007F3E2F">
        <w:lastRenderedPageBreak/>
        <w:t xml:space="preserve">para a diversificação produtiva </w:t>
      </w:r>
      <w:r w:rsidR="00512905">
        <w:t xml:space="preserve">indicando quais produtos uma economia teria </w:t>
      </w:r>
      <w:r w:rsidR="007F3E2F">
        <w:t>maior probabilidade de</w:t>
      </w:r>
      <w:r w:rsidR="00512905">
        <w:t xml:space="preserve"> produzir com </w:t>
      </w:r>
      <w:r w:rsidR="007F3E2F">
        <w:t xml:space="preserve">sucesso. </w:t>
      </w:r>
      <w:r w:rsidR="00E617D8">
        <w:t xml:space="preserve"> </w:t>
      </w:r>
    </w:p>
    <w:p w14:paraId="47A68641" w14:textId="0F747257" w:rsidR="001D1A7F" w:rsidRDefault="00F97825" w:rsidP="00765503">
      <w:pPr>
        <w:jc w:val="both"/>
      </w:pPr>
      <w:r>
        <w:t xml:space="preserve">Utilizando a metodologia apresentada por </w:t>
      </w:r>
      <w:proofErr w:type="spellStart"/>
      <w:r>
        <w:t>Hausmann</w:t>
      </w:r>
      <w:proofErr w:type="spellEnd"/>
      <w:r>
        <w:t xml:space="preserve"> e Hidalgo, o Data Viva reproduz o Espaço de</w:t>
      </w:r>
      <w:r w:rsidR="00303280">
        <w:t xml:space="preserve"> Produtos para o Brasil e seus e</w:t>
      </w:r>
      <w:r>
        <w:t xml:space="preserve">stados, regiões e municípios. </w:t>
      </w:r>
      <w:r w:rsidR="00303280">
        <w:t>C</w:t>
      </w:r>
      <w:r>
        <w:t>omo forma de exercício</w:t>
      </w:r>
      <w:r w:rsidR="00AA2AD5">
        <w:t>,</w:t>
      </w:r>
      <w:r>
        <w:t xml:space="preserve"> </w:t>
      </w:r>
      <w:r w:rsidR="00303280">
        <w:t xml:space="preserve">vamos </w:t>
      </w:r>
      <w:r>
        <w:t xml:space="preserve">pensar </w:t>
      </w:r>
      <w:r w:rsidR="007F3E2F">
        <w:t>caminhos</w:t>
      </w:r>
      <w:r w:rsidR="00854149">
        <w:t xml:space="preserve"> </w:t>
      </w:r>
      <w:r w:rsidR="007F3E2F">
        <w:t>para</w:t>
      </w:r>
      <w:r w:rsidR="00854149">
        <w:t xml:space="preserve"> promover</w:t>
      </w:r>
      <w:r w:rsidR="00CE5CBB">
        <w:t xml:space="preserve"> a</w:t>
      </w:r>
      <w:r>
        <w:t xml:space="preserve"> diversificação da produção de Ubá</w:t>
      </w:r>
      <w:r w:rsidR="00CE5CBB">
        <w:t xml:space="preserve"> dentro da cadeia produtiva moveleira</w:t>
      </w:r>
      <w:r>
        <w:t xml:space="preserve"> </w:t>
      </w:r>
      <w:r w:rsidR="00CE5CBB">
        <w:t>uma vez que</w:t>
      </w:r>
      <w:r>
        <w:t xml:space="preserve"> </w:t>
      </w:r>
      <w:r w:rsidR="00CE5CBB">
        <w:t>há</w:t>
      </w:r>
      <w:r w:rsidR="001171E0">
        <w:t xml:space="preserve"> </w:t>
      </w:r>
      <w:r w:rsidR="00CE5CBB">
        <w:t xml:space="preserve">uma </w:t>
      </w:r>
      <w:r w:rsidR="001171E0">
        <w:t>capacidade de exportar artigos mobiliários</w:t>
      </w:r>
      <w:r w:rsidR="00CE5CBB">
        <w:t xml:space="preserve"> e, portanto, possibilidades de exportar produtos correlatos</w:t>
      </w:r>
      <w:r w:rsidR="001171E0">
        <w:t xml:space="preserve">. Abaixo segue o Espaço de Produtos para Ubá (FIG.3). </w:t>
      </w:r>
    </w:p>
    <w:p w14:paraId="5A79448D" w14:textId="77777777" w:rsidR="006854C6" w:rsidRPr="005F72A0" w:rsidRDefault="006854C6" w:rsidP="00CE5CBB">
      <w:pPr>
        <w:jc w:val="center"/>
        <w:rPr>
          <w:b/>
        </w:rPr>
      </w:pPr>
      <w:r w:rsidRPr="005F72A0">
        <w:rPr>
          <w:b/>
        </w:rPr>
        <w:t xml:space="preserve">Figura 3 </w:t>
      </w:r>
      <w:r w:rsidR="00CE5CBB" w:rsidRPr="005F72A0">
        <w:rPr>
          <w:b/>
        </w:rPr>
        <w:t>–</w:t>
      </w:r>
      <w:r w:rsidRPr="005F72A0">
        <w:rPr>
          <w:b/>
        </w:rPr>
        <w:t xml:space="preserve"> </w:t>
      </w:r>
      <w:proofErr w:type="spellStart"/>
      <w:r w:rsidR="00CE5CBB" w:rsidRPr="005361C6">
        <w:rPr>
          <w:b/>
          <w:i/>
        </w:rPr>
        <w:t>Product</w:t>
      </w:r>
      <w:proofErr w:type="spellEnd"/>
      <w:r w:rsidR="00CE5CBB" w:rsidRPr="005361C6">
        <w:rPr>
          <w:b/>
          <w:i/>
        </w:rPr>
        <w:t xml:space="preserve"> Space</w:t>
      </w:r>
      <w:r w:rsidR="00CE5CBB" w:rsidRPr="005F72A0">
        <w:rPr>
          <w:b/>
        </w:rPr>
        <w:t>, Ubá - 2015</w:t>
      </w:r>
    </w:p>
    <w:p w14:paraId="7947C65C" w14:textId="77777777" w:rsidR="001171E0" w:rsidRDefault="00906357" w:rsidP="008C13C7">
      <w:pPr>
        <w:jc w:val="center"/>
      </w:pPr>
      <w:r>
        <w:rPr>
          <w:noProof/>
          <w:lang w:eastAsia="pt-BR"/>
        </w:rPr>
        <w:drawing>
          <wp:inline distT="0" distB="0" distL="0" distR="0" wp14:anchorId="067DA1AC" wp14:editId="1CAFE894">
            <wp:extent cx="5250348" cy="34920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 Ub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48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243" w14:textId="77777777" w:rsidR="00B919C4" w:rsidRPr="00B106FE" w:rsidRDefault="00B919C4" w:rsidP="00B919C4">
      <w:pPr>
        <w:rPr>
          <w:sz w:val="18"/>
          <w:szCs w:val="18"/>
          <w:lang w:val="en-US"/>
        </w:rPr>
      </w:pPr>
      <w:r w:rsidRPr="00B106FE">
        <w:rPr>
          <w:sz w:val="18"/>
          <w:szCs w:val="18"/>
          <w:lang w:val="en-US"/>
        </w:rPr>
        <w:t xml:space="preserve">Fonte: Data Viva / </w:t>
      </w:r>
      <w:proofErr w:type="spellStart"/>
      <w:r w:rsidRPr="00B106FE">
        <w:rPr>
          <w:sz w:val="18"/>
          <w:szCs w:val="18"/>
          <w:lang w:val="en-US"/>
        </w:rPr>
        <w:t>Secex</w:t>
      </w:r>
      <w:proofErr w:type="spellEnd"/>
    </w:p>
    <w:p w14:paraId="5FD67482" w14:textId="77777777" w:rsidR="00B919C4" w:rsidRPr="00B919C4" w:rsidRDefault="00B919C4" w:rsidP="00B919C4">
      <w:pPr>
        <w:rPr>
          <w:lang w:val="en-US"/>
        </w:rPr>
      </w:pPr>
      <w:r w:rsidRPr="00B919C4">
        <w:rPr>
          <w:lang w:val="en-US"/>
        </w:rPr>
        <w:t>&lt;iframe width='560' height='315' src='http://dataviva.info/pt/embed/network/secex/4mg110515/all/all/hs/</w:t>
      </w:r>
      <w:proofErr w:type="gramStart"/>
      <w:r w:rsidRPr="00B919C4">
        <w:rPr>
          <w:lang w:val="en-US"/>
        </w:rPr>
        <w:t>?color</w:t>
      </w:r>
      <w:proofErr w:type="gramEnd"/>
      <w:r w:rsidRPr="00B919C4">
        <w:rPr>
          <w:lang w:val="en-US"/>
        </w:rPr>
        <w:t xml:space="preserve">=color&amp;controls=true&amp;spotlight=true&amp;rca_scope=wld_rca&amp;size=export_val&amp;year=2015' </w:t>
      </w:r>
      <w:proofErr w:type="spellStart"/>
      <w:r w:rsidRPr="00B919C4">
        <w:rPr>
          <w:lang w:val="en-US"/>
        </w:rPr>
        <w:t>frameborder</w:t>
      </w:r>
      <w:proofErr w:type="spellEnd"/>
      <w:r w:rsidRPr="00B919C4">
        <w:rPr>
          <w:lang w:val="en-US"/>
        </w:rPr>
        <w:t>='0'&gt;&lt;/iframe&gt;</w:t>
      </w:r>
    </w:p>
    <w:p w14:paraId="414075D8" w14:textId="6370018A" w:rsidR="0050066A" w:rsidRDefault="000C75DC" w:rsidP="00765503">
      <w:pPr>
        <w:jc w:val="both"/>
      </w:pPr>
      <w:r>
        <w:t>Os nós coloridos na rede</w:t>
      </w:r>
      <w:r w:rsidR="00B919C4">
        <w:t xml:space="preserve"> representam os produtos que Ubá exporta</w:t>
      </w:r>
      <w:r w:rsidR="001819D6">
        <w:t xml:space="preserve"> e</w:t>
      </w:r>
      <w:r w:rsidR="001F5426">
        <w:t xml:space="preserve"> a cor representa </w:t>
      </w:r>
      <w:r w:rsidR="001819D6">
        <w:t>a classificação do</w:t>
      </w:r>
      <w:r w:rsidR="001F5426">
        <w:t xml:space="preserve"> produto (</w:t>
      </w:r>
      <w:proofErr w:type="spellStart"/>
      <w:r w:rsidR="001F5426">
        <w:t>ex</w:t>
      </w:r>
      <w:proofErr w:type="spellEnd"/>
      <w:r w:rsidR="001F5426">
        <w:t xml:space="preserve">: máquinas, metais, produtos químicos, </w:t>
      </w:r>
      <w:proofErr w:type="spellStart"/>
      <w:r w:rsidR="001F5426">
        <w:t>etc</w:t>
      </w:r>
      <w:proofErr w:type="spellEnd"/>
      <w:r w:rsidR="001F5426">
        <w:t>)</w:t>
      </w:r>
      <w:r w:rsidR="00303280">
        <w:t xml:space="preserve"> e o tamanho a quantidade da exportação em valores.</w:t>
      </w:r>
      <w:r w:rsidR="00B919C4">
        <w:t xml:space="preserve"> O maior dos </w:t>
      </w:r>
      <w:r>
        <w:t>nós</w:t>
      </w:r>
      <w:r w:rsidR="00B919C4">
        <w:t xml:space="preserve"> representa Outros Artigos do Mobiliário, produto</w:t>
      </w:r>
      <w:r w:rsidR="001F5426">
        <w:t xml:space="preserve"> com maior volume </w:t>
      </w:r>
      <w:r w:rsidR="00B919C4">
        <w:t xml:space="preserve">de exportação do município. De acordo com </w:t>
      </w:r>
      <w:r w:rsidR="001F5426">
        <w:t>o Espaço de Produtos</w:t>
      </w:r>
      <w:r w:rsidR="00B106FE">
        <w:t xml:space="preserve"> </w:t>
      </w:r>
      <w:r w:rsidR="001F5426">
        <w:t>elaborado</w:t>
      </w:r>
      <w:r w:rsidR="00B919C4">
        <w:t xml:space="preserve"> por </w:t>
      </w:r>
      <w:proofErr w:type="spellStart"/>
      <w:r w:rsidR="00B919C4">
        <w:t>Hausmann</w:t>
      </w:r>
      <w:proofErr w:type="spellEnd"/>
      <w:r w:rsidR="00B919C4">
        <w:t xml:space="preserve"> e Hidalgo,</w:t>
      </w:r>
      <w:r w:rsidR="00B106FE">
        <w:t xml:space="preserve"> quem exporta Outros Artigos do Mobiliário também pode exportar </w:t>
      </w:r>
      <w:r w:rsidR="00303280">
        <w:t>28</w:t>
      </w:r>
      <w:r w:rsidR="00B106FE">
        <w:t xml:space="preserve"> outros produtos com boa probabilidade</w:t>
      </w:r>
      <w:r w:rsidR="00303280">
        <w:t>, como por exemplo Painéis de Fibras de Madeira ou Máquinas para Trabalhar Madeira.</w:t>
      </w:r>
      <w:r w:rsidR="00B106FE">
        <w:t xml:space="preserve"> Essas possibilidades de </w:t>
      </w:r>
      <w:proofErr w:type="spellStart"/>
      <w:r w:rsidR="00B106FE">
        <w:t>co-exportação</w:t>
      </w:r>
      <w:proofErr w:type="spellEnd"/>
      <w:r w:rsidR="00B106FE">
        <w:t xml:space="preserve"> são representadas pelas </w:t>
      </w:r>
      <w:r w:rsidR="00B123E5">
        <w:t>linhas que conectam um produto ao outro no Espaço de Produtos</w:t>
      </w:r>
      <w:r w:rsidR="00B106FE">
        <w:t>.</w:t>
      </w:r>
      <w:r w:rsidR="00B123E5">
        <w:t xml:space="preserve"> </w:t>
      </w:r>
    </w:p>
    <w:p w14:paraId="60F5B868" w14:textId="77777777" w:rsidR="00B919C4" w:rsidRDefault="0050066A" w:rsidP="00765503">
      <w:pPr>
        <w:jc w:val="both"/>
      </w:pPr>
      <w:r>
        <w:t xml:space="preserve">Para efeitos de comparação, </w:t>
      </w:r>
      <w:r w:rsidR="007F3E2F">
        <w:t>consideramos</w:t>
      </w:r>
      <w:r>
        <w:t xml:space="preserve"> o município de Caçador (SC) </w:t>
      </w:r>
      <w:r w:rsidR="001F5426">
        <w:t xml:space="preserve">cujo Outros Artigos do Imobiliário se faz importante na pauta exportadora do </w:t>
      </w:r>
      <w:r w:rsidR="007F3E2F">
        <w:t>mesmo</w:t>
      </w:r>
      <w:r w:rsidR="001F5426">
        <w:t>.</w:t>
      </w:r>
      <w:r>
        <w:t xml:space="preserve"> No entanto, este município também exporta diversos outros produtos e muitos deles conectados </w:t>
      </w:r>
      <w:r w:rsidR="001819D6">
        <w:t>àquele</w:t>
      </w:r>
      <w:r>
        <w:t>,</w:t>
      </w:r>
      <w:r w:rsidR="006854C6">
        <w:t xml:space="preserve"> </w:t>
      </w:r>
      <w:r w:rsidR="001F5426">
        <w:t>como</w:t>
      </w:r>
      <w:r w:rsidR="006854C6">
        <w:t xml:space="preserve"> Artigos de Marcenaria e Carpintaria; Painéis de Fibras de Madeira; Outros Artigos em Madeira; e Máquinas para Trabalhar Madeira</w:t>
      </w:r>
      <w:r>
        <w:t xml:space="preserve"> </w:t>
      </w:r>
      <w:r w:rsidR="006854C6">
        <w:t>(</w:t>
      </w:r>
      <w:r>
        <w:t>FIG.4</w:t>
      </w:r>
      <w:r w:rsidR="006854C6">
        <w:t>)</w:t>
      </w:r>
      <w:r>
        <w:t xml:space="preserve">.  </w:t>
      </w:r>
      <w:r w:rsidR="00B919C4">
        <w:t xml:space="preserve"> </w:t>
      </w:r>
    </w:p>
    <w:p w14:paraId="4DB05EEC" w14:textId="77777777" w:rsidR="00CF36C6" w:rsidRDefault="00CF36C6" w:rsidP="00CF36C6">
      <w:pPr>
        <w:jc w:val="both"/>
      </w:pPr>
      <w:r>
        <w:lastRenderedPageBreak/>
        <w:t xml:space="preserve">O Espaço de Produtos de Caçador revela uma economia mais diversificada que a de Ubá. Se compararmos alguns indicadores entre as duas cidades, percebe-se que embora Caçador tenha uma população inferior, é uma cidade mais desenvolvida em termos de renda e desenvolvimento humano (TAB.1). </w:t>
      </w:r>
    </w:p>
    <w:p w14:paraId="02366838" w14:textId="77777777" w:rsidR="00CE5CBB" w:rsidRPr="005F72A0" w:rsidRDefault="00854149" w:rsidP="00CE5CBB">
      <w:pPr>
        <w:jc w:val="center"/>
        <w:rPr>
          <w:b/>
        </w:rPr>
      </w:pPr>
      <w:r>
        <w:rPr>
          <w:b/>
        </w:rPr>
        <w:t>Figura 4</w:t>
      </w:r>
      <w:r w:rsidR="00CE5CBB" w:rsidRPr="005F72A0">
        <w:rPr>
          <w:b/>
        </w:rPr>
        <w:t xml:space="preserve"> – </w:t>
      </w:r>
      <w:proofErr w:type="spellStart"/>
      <w:r w:rsidR="00CE5CBB" w:rsidRPr="005361C6">
        <w:rPr>
          <w:b/>
          <w:i/>
        </w:rPr>
        <w:t>Product</w:t>
      </w:r>
      <w:proofErr w:type="spellEnd"/>
      <w:r w:rsidR="00CE5CBB" w:rsidRPr="005361C6">
        <w:rPr>
          <w:b/>
          <w:i/>
        </w:rPr>
        <w:t xml:space="preserve"> Space</w:t>
      </w:r>
      <w:r w:rsidR="00CE5CBB" w:rsidRPr="005F72A0">
        <w:rPr>
          <w:b/>
        </w:rPr>
        <w:t>, Caçador - 2015</w:t>
      </w:r>
    </w:p>
    <w:p w14:paraId="7C48CFB5" w14:textId="77777777" w:rsidR="00CE5CBB" w:rsidRDefault="00CE5CBB" w:rsidP="00303280">
      <w:pPr>
        <w:jc w:val="center"/>
      </w:pPr>
      <w:r>
        <w:rPr>
          <w:noProof/>
          <w:lang w:eastAsia="pt-BR"/>
        </w:rPr>
        <w:drawing>
          <wp:inline distT="0" distB="0" distL="0" distR="0" wp14:anchorId="237A25DF" wp14:editId="200BA704">
            <wp:extent cx="5400040" cy="39370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P cac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8C6" w14:textId="77777777" w:rsidR="005C7D72" w:rsidRPr="005C7D72" w:rsidRDefault="005C7D72" w:rsidP="005C7D72">
      <w:pPr>
        <w:rPr>
          <w:sz w:val="18"/>
          <w:szCs w:val="18"/>
        </w:rPr>
      </w:pPr>
      <w:r w:rsidRPr="005C7D72">
        <w:rPr>
          <w:sz w:val="18"/>
          <w:szCs w:val="18"/>
        </w:rPr>
        <w:t>Fonte: Data Viva / Secex</w:t>
      </w:r>
    </w:p>
    <w:p w14:paraId="32D57B45" w14:textId="77777777" w:rsidR="005F72A0" w:rsidRPr="0052595C" w:rsidRDefault="005F72A0" w:rsidP="00765503">
      <w:pPr>
        <w:jc w:val="both"/>
        <w:rPr>
          <w:lang w:val="en-US"/>
        </w:rPr>
      </w:pPr>
      <w:r w:rsidRPr="0052595C">
        <w:rPr>
          <w:lang w:val="en-US"/>
        </w:rPr>
        <w:t>&lt;iframe width='560' height='315' src='http://dataviva.info/pt/embed/network/secex/5sc020202/all/all/hs/</w:t>
      </w:r>
      <w:proofErr w:type="gramStart"/>
      <w:r w:rsidRPr="0052595C">
        <w:rPr>
          <w:lang w:val="en-US"/>
        </w:rPr>
        <w:t>?color</w:t>
      </w:r>
      <w:proofErr w:type="gramEnd"/>
      <w:r w:rsidRPr="0052595C">
        <w:rPr>
          <w:lang w:val="en-US"/>
        </w:rPr>
        <w:t xml:space="preserve">=color&amp;controls=false&amp;spotlight=true&amp;rca_scope=wld_rca&amp;size=export_val&amp;year=2015' </w:t>
      </w:r>
      <w:proofErr w:type="spellStart"/>
      <w:r w:rsidRPr="0052595C">
        <w:rPr>
          <w:lang w:val="en-US"/>
        </w:rPr>
        <w:t>frameborder</w:t>
      </w:r>
      <w:proofErr w:type="spellEnd"/>
      <w:r w:rsidRPr="0052595C">
        <w:rPr>
          <w:lang w:val="en-US"/>
        </w:rPr>
        <w:t>='0'&gt;&lt;/iframe&gt;</w:t>
      </w:r>
    </w:p>
    <w:p w14:paraId="42E6C767" w14:textId="77777777" w:rsidR="00CE5CBB" w:rsidRPr="005F72A0" w:rsidRDefault="005F72A0" w:rsidP="005F72A0">
      <w:pPr>
        <w:jc w:val="center"/>
        <w:rPr>
          <w:b/>
        </w:rPr>
      </w:pPr>
      <w:r w:rsidRPr="005F72A0">
        <w:rPr>
          <w:b/>
        </w:rPr>
        <w:t>Tabela 1 – Indicadores socioeconômicos, Ubá e Caçador - 2010</w:t>
      </w:r>
    </w:p>
    <w:tbl>
      <w:tblPr>
        <w:tblStyle w:val="TabeladeGrade4-nfase6"/>
        <w:tblW w:w="0" w:type="auto"/>
        <w:jc w:val="center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5F72A0" w14:paraId="5C745971" w14:textId="77777777" w:rsidTr="00303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2A7CA33F" w14:textId="77777777" w:rsidR="005F72A0" w:rsidRPr="005F72A0" w:rsidRDefault="005F72A0" w:rsidP="005F72A0">
            <w:pPr>
              <w:jc w:val="center"/>
              <w:rPr>
                <w:b w:val="0"/>
              </w:rPr>
            </w:pPr>
            <w:r w:rsidRPr="005F72A0">
              <w:rPr>
                <w:b w:val="0"/>
              </w:rPr>
              <w:t>Indicador</w:t>
            </w:r>
          </w:p>
        </w:tc>
        <w:tc>
          <w:tcPr>
            <w:tcW w:w="2831" w:type="dxa"/>
          </w:tcPr>
          <w:p w14:paraId="0A8F5FC9" w14:textId="77777777" w:rsidR="005F72A0" w:rsidRPr="005F72A0" w:rsidRDefault="005F72A0" w:rsidP="005F7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72A0">
              <w:rPr>
                <w:b w:val="0"/>
              </w:rPr>
              <w:t>Ubá</w:t>
            </w:r>
          </w:p>
        </w:tc>
        <w:tc>
          <w:tcPr>
            <w:tcW w:w="2831" w:type="dxa"/>
          </w:tcPr>
          <w:p w14:paraId="395A68D4" w14:textId="77777777" w:rsidR="005F72A0" w:rsidRPr="005F72A0" w:rsidRDefault="005F72A0" w:rsidP="005F72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F72A0">
              <w:rPr>
                <w:b w:val="0"/>
              </w:rPr>
              <w:t>Caçador</w:t>
            </w:r>
          </w:p>
        </w:tc>
      </w:tr>
      <w:tr w:rsidR="005F72A0" w14:paraId="1F2D8D2F" w14:textId="77777777" w:rsidTr="00303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76982860" w14:textId="77777777" w:rsidR="005F72A0" w:rsidRDefault="005F72A0" w:rsidP="005F72A0">
            <w:pPr>
              <w:jc w:val="center"/>
            </w:pPr>
            <w:r>
              <w:t>População</w:t>
            </w:r>
          </w:p>
        </w:tc>
        <w:tc>
          <w:tcPr>
            <w:tcW w:w="2831" w:type="dxa"/>
          </w:tcPr>
          <w:p w14:paraId="4651F365" w14:textId="77777777" w:rsidR="005F72A0" w:rsidRDefault="005F72A0" w:rsidP="005F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 mil</w:t>
            </w:r>
          </w:p>
        </w:tc>
        <w:tc>
          <w:tcPr>
            <w:tcW w:w="2831" w:type="dxa"/>
          </w:tcPr>
          <w:p w14:paraId="50F341BB" w14:textId="77777777" w:rsidR="005F72A0" w:rsidRDefault="005F72A0" w:rsidP="005F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70,7 mil</w:t>
            </w:r>
          </w:p>
        </w:tc>
      </w:tr>
      <w:tr w:rsidR="00632D86" w14:paraId="19031429" w14:textId="77777777" w:rsidTr="0030328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18E0D48" w14:textId="77777777" w:rsidR="00632D86" w:rsidRDefault="00632D86" w:rsidP="005F72A0">
            <w:pPr>
              <w:jc w:val="center"/>
            </w:pPr>
            <w:r>
              <w:t>PIB</w:t>
            </w:r>
          </w:p>
        </w:tc>
        <w:tc>
          <w:tcPr>
            <w:tcW w:w="2831" w:type="dxa"/>
          </w:tcPr>
          <w:p w14:paraId="31A04864" w14:textId="77777777" w:rsidR="00632D86" w:rsidRDefault="00632D86" w:rsidP="005F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R$1,45 bi</w:t>
            </w:r>
          </w:p>
        </w:tc>
        <w:tc>
          <w:tcPr>
            <w:tcW w:w="2831" w:type="dxa"/>
          </w:tcPr>
          <w:p w14:paraId="6D05F7DF" w14:textId="77777777" w:rsidR="00632D86" w:rsidRDefault="00632D86" w:rsidP="005F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R$1,75 bi</w:t>
            </w:r>
          </w:p>
        </w:tc>
      </w:tr>
      <w:tr w:rsidR="005F72A0" w14:paraId="23D48314" w14:textId="77777777" w:rsidTr="00303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26291CF9" w14:textId="77777777" w:rsidR="005F72A0" w:rsidRDefault="005F72A0" w:rsidP="005F72A0">
            <w:pPr>
              <w:jc w:val="center"/>
            </w:pPr>
            <w:r>
              <w:t xml:space="preserve">PIB </w:t>
            </w:r>
            <w:r w:rsidRPr="005F72A0">
              <w:rPr>
                <w:i/>
              </w:rPr>
              <w:t>per capita</w:t>
            </w:r>
          </w:p>
        </w:tc>
        <w:tc>
          <w:tcPr>
            <w:tcW w:w="2831" w:type="dxa"/>
          </w:tcPr>
          <w:p w14:paraId="12493927" w14:textId="77777777" w:rsidR="005F72A0" w:rsidRDefault="005F72A0" w:rsidP="005F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R$14,1 mil</w:t>
            </w:r>
          </w:p>
        </w:tc>
        <w:tc>
          <w:tcPr>
            <w:tcW w:w="2831" w:type="dxa"/>
          </w:tcPr>
          <w:p w14:paraId="1E224597" w14:textId="77777777" w:rsidR="005F72A0" w:rsidRDefault="005F72A0" w:rsidP="005F72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R$24,4 mil</w:t>
            </w:r>
          </w:p>
        </w:tc>
      </w:tr>
      <w:tr w:rsidR="005F72A0" w14:paraId="6A0E3995" w14:textId="77777777" w:rsidTr="0030328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2AB56C36" w14:textId="77777777" w:rsidR="005F72A0" w:rsidRDefault="005F72A0" w:rsidP="005F72A0">
            <w:pPr>
              <w:jc w:val="center"/>
            </w:pPr>
            <w:r>
              <w:t>IDH</w:t>
            </w:r>
          </w:p>
        </w:tc>
        <w:tc>
          <w:tcPr>
            <w:tcW w:w="2831" w:type="dxa"/>
          </w:tcPr>
          <w:p w14:paraId="0D051435" w14:textId="77777777" w:rsidR="005F72A0" w:rsidRDefault="005F72A0" w:rsidP="005F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</w:t>
            </w:r>
          </w:p>
        </w:tc>
        <w:tc>
          <w:tcPr>
            <w:tcW w:w="2831" w:type="dxa"/>
          </w:tcPr>
          <w:p w14:paraId="16E4FEC3" w14:textId="77777777" w:rsidR="005F72A0" w:rsidRDefault="005F72A0" w:rsidP="005F72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</w:t>
            </w:r>
          </w:p>
        </w:tc>
      </w:tr>
    </w:tbl>
    <w:p w14:paraId="3EC3F28E" w14:textId="77777777" w:rsidR="00CE5CBB" w:rsidRPr="005F72A0" w:rsidRDefault="005F72A0" w:rsidP="00765503">
      <w:pPr>
        <w:jc w:val="both"/>
        <w:rPr>
          <w:sz w:val="18"/>
          <w:szCs w:val="18"/>
        </w:rPr>
      </w:pPr>
      <w:r w:rsidRPr="005F72A0">
        <w:rPr>
          <w:sz w:val="18"/>
          <w:szCs w:val="18"/>
        </w:rPr>
        <w:t>Fonte: Data Viva / IBGE</w:t>
      </w:r>
    </w:p>
    <w:p w14:paraId="7E3CFADD" w14:textId="77777777" w:rsidR="00C025D0" w:rsidRDefault="00C025D0" w:rsidP="00765503">
      <w:pPr>
        <w:jc w:val="both"/>
      </w:pPr>
      <w:r>
        <w:t xml:space="preserve">Se </w:t>
      </w:r>
      <w:r w:rsidR="007F3E2F">
        <w:t>pensarmos</w:t>
      </w:r>
      <w:r w:rsidR="00632D86">
        <w:t xml:space="preserve"> o Espaço de Produtos de </w:t>
      </w:r>
      <w:r>
        <w:t>Caçador</w:t>
      </w:r>
      <w:r w:rsidR="005208D2">
        <w:t xml:space="preserve"> (SC)</w:t>
      </w:r>
      <w:r>
        <w:t xml:space="preserve"> como um </w:t>
      </w:r>
      <w:r w:rsidRPr="00C025D0">
        <w:rPr>
          <w:i/>
        </w:rPr>
        <w:t>benchmark</w:t>
      </w:r>
      <w:r w:rsidR="001F5426">
        <w:rPr>
          <w:i/>
        </w:rPr>
        <w:t xml:space="preserve"> </w:t>
      </w:r>
      <w:r w:rsidR="001F5426">
        <w:t>em termos de diversificação econômica</w:t>
      </w:r>
      <w:r w:rsidR="00632D86">
        <w:t xml:space="preserve"> para Ubá</w:t>
      </w:r>
      <w:r>
        <w:t xml:space="preserve">, </w:t>
      </w:r>
      <w:r w:rsidR="00AA2AD5">
        <w:t>em</w:t>
      </w:r>
      <w:r>
        <w:t xml:space="preserve"> qual direção deveria se concentrar esforços para promover o desenvolvimento do Arranjo Produtivo</w:t>
      </w:r>
      <w:r w:rsidR="00AA2AD5">
        <w:t xml:space="preserve"> Moveleiro de Ubá</w:t>
      </w:r>
      <w:r>
        <w:t>?</w:t>
      </w:r>
      <w:r w:rsidR="00AA2AD5">
        <w:t xml:space="preserve"> </w:t>
      </w:r>
      <w:r w:rsidR="00632D86">
        <w:t>Qual seria uma estratégia interessante no sentido de adensar a cadeia produtiva do Arranjo Produtivo e ao mesmo tempo desenvolver um novo produto que possa agregar maior valor à econômica local?</w:t>
      </w:r>
    </w:p>
    <w:p w14:paraId="0470E2DB" w14:textId="77777777" w:rsidR="00115EEA" w:rsidRDefault="00E10F47" w:rsidP="00115EEA">
      <w:pPr>
        <w:jc w:val="both"/>
      </w:pPr>
      <w:r>
        <w:lastRenderedPageBreak/>
        <w:t xml:space="preserve">Para Ubá </w:t>
      </w:r>
      <w:r w:rsidR="00F66CEB">
        <w:t xml:space="preserve">evoluir </w:t>
      </w:r>
      <w:r>
        <w:t xml:space="preserve">no Espaço de Produtos a partir da sua atual realidade produtiva, tendo </w:t>
      </w:r>
      <w:r w:rsidR="00F66CEB">
        <w:t xml:space="preserve">o município de </w:t>
      </w:r>
      <w:r>
        <w:t>Caçador</w:t>
      </w:r>
      <w:r w:rsidR="00F66CEB">
        <w:t xml:space="preserve"> como</w:t>
      </w:r>
      <w:r>
        <w:t xml:space="preserve"> uma referência,</w:t>
      </w:r>
      <w:r w:rsidR="00401D49">
        <w:t xml:space="preserve"> uma possibilidade seria </w:t>
      </w:r>
      <w:r w:rsidR="00115EEA">
        <w:t xml:space="preserve">o esforço em </w:t>
      </w:r>
      <w:r w:rsidR="00401D49">
        <w:t xml:space="preserve">incorporar </w:t>
      </w:r>
      <w:r w:rsidR="007F3E2F">
        <w:t>na sua cesta de produtos</w:t>
      </w:r>
      <w:r w:rsidR="00401D49">
        <w:t xml:space="preserve"> </w:t>
      </w:r>
      <w:r w:rsidR="00115EEA">
        <w:t xml:space="preserve">aqueles que já existem na estrutura produtiva de Caçador que há boa probabilidade de serem </w:t>
      </w:r>
      <w:proofErr w:type="spellStart"/>
      <w:r w:rsidR="00115EEA">
        <w:t>co-exportados</w:t>
      </w:r>
      <w:proofErr w:type="spellEnd"/>
      <w:r w:rsidR="00115EEA">
        <w:t xml:space="preserve"> com Outros Artigos do Imobiliário. </w:t>
      </w:r>
      <w:r>
        <w:t xml:space="preserve"> </w:t>
      </w:r>
      <w:r w:rsidR="00115EEA">
        <w:t>Se Caçador já exporta aqueles produtos e Ubá não, significa que Ubá precisa desenvolver capacidades já existentes em Caçador. Uma variável que pode dar</w:t>
      </w:r>
      <w:r w:rsidR="00115EEA" w:rsidRPr="00115EEA">
        <w:rPr>
          <w:i/>
        </w:rPr>
        <w:t xml:space="preserve"> insights</w:t>
      </w:r>
      <w:r w:rsidR="00115EEA">
        <w:t xml:space="preserve"> a respeito dessas capacidades é o perfil da mão de obra </w:t>
      </w:r>
      <w:r w:rsidR="007E66D8">
        <w:t>nesses municípios</w:t>
      </w:r>
      <w:r w:rsidR="001819D6">
        <w:t xml:space="preserve"> (FIG.5)</w:t>
      </w:r>
      <w:r w:rsidR="00115EEA">
        <w:t xml:space="preserve">. </w:t>
      </w:r>
    </w:p>
    <w:p w14:paraId="79BB94B1" w14:textId="69DE3D31" w:rsidR="00A83DA4" w:rsidRDefault="00CF6A08" w:rsidP="001819D6">
      <w:pPr>
        <w:spacing w:before="240"/>
        <w:jc w:val="both"/>
      </w:pPr>
      <w:r>
        <w:t xml:space="preserve">O que mais chama atenção </w:t>
      </w:r>
      <w:r w:rsidR="007F3E2F">
        <w:t>na diferença entre</w:t>
      </w:r>
      <w:r>
        <w:t xml:space="preserve"> estrutura de ocupação </w:t>
      </w:r>
      <w:r w:rsidR="007F3E2F">
        <w:t>dos</w:t>
      </w:r>
      <w:r>
        <w:t xml:space="preserve"> dois municípios é a maior proporção entre Profissionais Das Ciências e Das Artes e de Dirigentes no município de Caçador</w:t>
      </w:r>
      <w:r w:rsidR="0006416F">
        <w:t xml:space="preserve"> (3,21 mil no total) em comparação com Ubá (2,26 mil no total)</w:t>
      </w:r>
      <w:r>
        <w:t>. Este fato chama atenção porque são essas ocupações que normalmente estão alocados os profissionais com maior nível de escolaridade</w:t>
      </w:r>
      <w:r w:rsidR="001819D6">
        <w:t>, como engenheiros, arquitetos, economistas, professores, dentre outros</w:t>
      </w:r>
      <w:r w:rsidR="004E7ACD">
        <w:t>, que em média, são trabalhadores com maior produtividade.</w:t>
      </w:r>
      <w:r w:rsidR="001819D6">
        <w:t xml:space="preserve"> </w:t>
      </w:r>
      <w:r>
        <w:t>(FIG.5</w:t>
      </w:r>
      <w:r w:rsidR="0023698C">
        <w:t>a, b</w:t>
      </w:r>
      <w:r>
        <w:t xml:space="preserve">).  </w:t>
      </w:r>
      <w:r w:rsidR="00A83DA4">
        <w:t>Ao observar quais atividades econômicas empregam esse tipo de mão-de-obra, também notamos diferença entre os municípios, enquanto em Ubá há uma alta proporção desse tipo de mão de obra em Educação, Administração Pública e Saúde e Serviços Sociais</w:t>
      </w:r>
      <w:r w:rsidR="001819D6">
        <w:t xml:space="preserve"> (FIG.5c)</w:t>
      </w:r>
      <w:r w:rsidR="00A83DA4">
        <w:t>, em Caçadores essa mão de obra está majoritariamente empregada na Administração Pública, seguida por Educação e Indústria de Transformação</w:t>
      </w:r>
      <w:r w:rsidR="001819D6">
        <w:t xml:space="preserve"> (FIG. 5</w:t>
      </w:r>
      <w:r w:rsidR="007832D8">
        <w:t>d)</w:t>
      </w:r>
      <w:r w:rsidR="00A83DA4">
        <w:t xml:space="preserve">.  </w:t>
      </w:r>
    </w:p>
    <w:p w14:paraId="2C443FCA" w14:textId="4B001B97" w:rsidR="005208D2" w:rsidRDefault="005208D2" w:rsidP="001819D6">
      <w:pPr>
        <w:spacing w:before="240"/>
        <w:jc w:val="both"/>
      </w:pPr>
      <w:r>
        <w:t xml:space="preserve">Por fim, observando apenas a atividade de transformação dos dois municípios podemos extrair algumas informações </w:t>
      </w:r>
      <w:r w:rsidR="004E7ACD">
        <w:t>que valem a pena destacar</w:t>
      </w:r>
      <w:r>
        <w:t>.  A primeira constatação é a maior diversidade de atividades industriais em Caçador quando comparado com Ubá, embora Ubá possua um número significativamente maior de estabelecimentos (527) e</w:t>
      </w:r>
      <w:r w:rsidR="0023698C">
        <w:t xml:space="preserve">m relação à Caçador (219) (FIG.5e, f). </w:t>
      </w:r>
      <w:r>
        <w:t xml:space="preserve"> </w:t>
      </w:r>
      <w:r w:rsidR="0023698C">
        <w:t>Outro aspecto a ser levado em consideração é o tamanho dos estabelecimentos, enquanto o número médio de empregados por estabelecimento em Ubá é cinco</w:t>
      </w:r>
      <w:r w:rsidR="004E7ACD">
        <w:t>,</w:t>
      </w:r>
      <w:r w:rsidR="0023698C">
        <w:t xml:space="preserve"> em Caçador é 15. Não obstante</w:t>
      </w:r>
      <w:r w:rsidR="004E7ACD">
        <w:t>,</w:t>
      </w:r>
      <w:r w:rsidR="0023698C">
        <w:t xml:space="preserve"> o salário médio neste setor em Caçador é R$1.800,00 enquanto em Ubá é de R$1.340,00 uma diferença de quase 40%. Ao mesmo tempo, a renda total</w:t>
      </w:r>
      <w:r w:rsidR="004E7ACD">
        <w:t xml:space="preserve"> dos trabalhadores</w:t>
      </w:r>
      <w:r w:rsidR="0023698C">
        <w:t xml:space="preserve"> no ano de 2014 em Caçador foi de R$ 21 milhões enquanto em Ubá foi de R$18 milhões. </w:t>
      </w:r>
      <w:r w:rsidR="00775DF2">
        <w:t xml:space="preserve">Essas informações sugerem que em Caçador há trabalhadores mais produtivos do que em Ubá, visto </w:t>
      </w:r>
      <w:r w:rsidR="004E7ACD">
        <w:t xml:space="preserve">os </w:t>
      </w:r>
      <w:r w:rsidR="00775DF2">
        <w:t xml:space="preserve">maiores </w:t>
      </w:r>
      <w:r w:rsidR="004E7ACD">
        <w:t>rendimentos</w:t>
      </w:r>
      <w:r w:rsidR="00775DF2">
        <w:t xml:space="preserve">, ao mesmo tempo </w:t>
      </w:r>
      <w:r w:rsidR="004E7ACD">
        <w:t xml:space="preserve">que </w:t>
      </w:r>
      <w:r w:rsidR="00775DF2">
        <w:t xml:space="preserve">os estabelecimentos são maiores e provavelmente obtém maior ganho de escala na produção. </w:t>
      </w:r>
    </w:p>
    <w:p w14:paraId="10547145" w14:textId="77777777" w:rsidR="0053028B" w:rsidRDefault="0053028B" w:rsidP="001819D6">
      <w:pPr>
        <w:spacing w:before="240"/>
        <w:jc w:val="both"/>
      </w:pPr>
    </w:p>
    <w:p w14:paraId="128A27F4" w14:textId="77777777" w:rsidR="0053028B" w:rsidRDefault="0053028B" w:rsidP="001819D6">
      <w:pPr>
        <w:spacing w:before="240"/>
        <w:jc w:val="both"/>
      </w:pPr>
    </w:p>
    <w:p w14:paraId="514FFB07" w14:textId="77777777" w:rsidR="00420C9F" w:rsidRDefault="00420C9F" w:rsidP="001819D6">
      <w:pPr>
        <w:spacing w:before="240"/>
        <w:jc w:val="both"/>
      </w:pPr>
    </w:p>
    <w:p w14:paraId="045E22CC" w14:textId="77777777" w:rsidR="00420C9F" w:rsidRDefault="00420C9F" w:rsidP="001819D6">
      <w:pPr>
        <w:spacing w:before="240"/>
        <w:jc w:val="both"/>
      </w:pPr>
    </w:p>
    <w:p w14:paraId="2A69AB20" w14:textId="77777777" w:rsidR="00420C9F" w:rsidRDefault="00420C9F" w:rsidP="001819D6">
      <w:pPr>
        <w:spacing w:before="240"/>
        <w:jc w:val="both"/>
      </w:pPr>
    </w:p>
    <w:p w14:paraId="32D6BB40" w14:textId="77777777" w:rsidR="00420C9F" w:rsidRDefault="00420C9F" w:rsidP="001819D6">
      <w:pPr>
        <w:spacing w:before="240"/>
        <w:jc w:val="both"/>
      </w:pPr>
    </w:p>
    <w:p w14:paraId="72DA4ACE" w14:textId="77777777" w:rsidR="00420C9F" w:rsidRDefault="00420C9F" w:rsidP="001819D6">
      <w:pPr>
        <w:spacing w:before="240"/>
        <w:jc w:val="both"/>
      </w:pPr>
    </w:p>
    <w:p w14:paraId="3B74C8C2" w14:textId="77777777" w:rsidR="00420C9F" w:rsidRDefault="00420C9F" w:rsidP="001819D6">
      <w:pPr>
        <w:spacing w:before="240"/>
        <w:jc w:val="both"/>
      </w:pPr>
    </w:p>
    <w:p w14:paraId="0A468123" w14:textId="77777777" w:rsidR="00420C9F" w:rsidRDefault="00420C9F" w:rsidP="001819D6">
      <w:pPr>
        <w:spacing w:before="240"/>
        <w:jc w:val="both"/>
      </w:pPr>
    </w:p>
    <w:p w14:paraId="4DD4DA34" w14:textId="77777777" w:rsidR="00420C9F" w:rsidRDefault="00420C9F" w:rsidP="001819D6">
      <w:pPr>
        <w:spacing w:before="240"/>
        <w:jc w:val="both"/>
      </w:pPr>
    </w:p>
    <w:p w14:paraId="2F69D805" w14:textId="77777777" w:rsidR="00420C9F" w:rsidRPr="00420C9F" w:rsidRDefault="00420C9F" w:rsidP="00420C9F">
      <w:pPr>
        <w:spacing w:before="240"/>
        <w:jc w:val="center"/>
        <w:rPr>
          <w:b/>
        </w:rPr>
      </w:pPr>
      <w:r w:rsidRPr="00420C9F">
        <w:rPr>
          <w:b/>
        </w:rPr>
        <w:lastRenderedPageBreak/>
        <w:t xml:space="preserve">Figura 5. Ubá </w:t>
      </w:r>
      <w:proofErr w:type="gramStart"/>
      <w:r w:rsidRPr="00420C9F">
        <w:rPr>
          <w:b/>
        </w:rPr>
        <w:t>x</w:t>
      </w:r>
      <w:proofErr w:type="gramEnd"/>
      <w:r w:rsidRPr="00420C9F">
        <w:rPr>
          <w:b/>
        </w:rPr>
        <w:t xml:space="preserve"> Caçador</w:t>
      </w:r>
    </w:p>
    <w:tbl>
      <w:tblPr>
        <w:tblStyle w:val="Tabelacomgrade"/>
        <w:tblW w:w="1087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436"/>
      </w:tblGrid>
      <w:tr w:rsidR="00CF6A08" w14:paraId="7721E752" w14:textId="77777777" w:rsidTr="008C13C7">
        <w:trPr>
          <w:jc w:val="center"/>
        </w:trPr>
        <w:tc>
          <w:tcPr>
            <w:tcW w:w="5441" w:type="dxa"/>
          </w:tcPr>
          <w:p w14:paraId="0A910C7D" w14:textId="77777777" w:rsidR="00CF36C6" w:rsidRDefault="00CF36C6" w:rsidP="00CF36C6">
            <w:pPr>
              <w:ind w:left="-113"/>
            </w:pPr>
            <w:r>
              <w:rPr>
                <w:noProof/>
                <w:lang w:eastAsia="pt-BR"/>
              </w:rPr>
              <w:drawing>
                <wp:inline distT="0" distB="0" distL="0" distR="0" wp14:anchorId="7A131778" wp14:editId="497860B0">
                  <wp:extent cx="3320403" cy="2160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ocup Ub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03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6" w:type="dxa"/>
          </w:tcPr>
          <w:p w14:paraId="7998D4A0" w14:textId="77777777" w:rsidR="00CF36C6" w:rsidRDefault="00CF6A08" w:rsidP="00CF6A08">
            <w:pPr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 wp14:anchorId="2A2210C9" wp14:editId="77EAC87B">
                  <wp:extent cx="3299606" cy="2160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ocup caç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606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DA4" w14:paraId="534384DC" w14:textId="77777777" w:rsidTr="008C13C7">
        <w:trPr>
          <w:jc w:val="center"/>
        </w:trPr>
        <w:tc>
          <w:tcPr>
            <w:tcW w:w="5441" w:type="dxa"/>
          </w:tcPr>
          <w:p w14:paraId="6AB435E3" w14:textId="77777777" w:rsidR="00A83DA4" w:rsidRDefault="007832D8" w:rsidP="007832D8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a.</w:t>
            </w:r>
          </w:p>
        </w:tc>
        <w:tc>
          <w:tcPr>
            <w:tcW w:w="5436" w:type="dxa"/>
          </w:tcPr>
          <w:p w14:paraId="1E844478" w14:textId="77777777" w:rsidR="00A83DA4" w:rsidRDefault="00A83DA4" w:rsidP="00A83DA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</w:t>
            </w:r>
            <w:r w:rsidR="007832D8">
              <w:rPr>
                <w:noProof/>
                <w:lang w:eastAsia="pt-BR"/>
              </w:rPr>
              <w:t>.</w:t>
            </w:r>
          </w:p>
        </w:tc>
      </w:tr>
      <w:tr w:rsidR="00A83DA4" w14:paraId="63E3D1DC" w14:textId="77777777" w:rsidTr="008C13C7">
        <w:trPr>
          <w:trHeight w:val="3985"/>
          <w:jc w:val="center"/>
        </w:trPr>
        <w:tc>
          <w:tcPr>
            <w:tcW w:w="5441" w:type="dxa"/>
          </w:tcPr>
          <w:p w14:paraId="604CE0E2" w14:textId="77777777" w:rsidR="00A83DA4" w:rsidRDefault="00A83DA4" w:rsidP="00A83DA4">
            <w:pPr>
              <w:ind w:left="-113" w:firstLine="5"/>
            </w:pPr>
            <w:r>
              <w:rPr>
                <w:noProof/>
                <w:lang w:eastAsia="pt-BR"/>
              </w:rPr>
              <w:drawing>
                <wp:inline distT="0" distB="0" distL="0" distR="0" wp14:anchorId="051A123F" wp14:editId="543A9C3B">
                  <wp:extent cx="3286707" cy="2160000"/>
                  <wp:effectExtent l="0" t="0" r="952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tivid x Cienc e Art_Ub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7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C2CB3" w14:textId="77777777" w:rsidR="00A83DA4" w:rsidRDefault="007832D8" w:rsidP="00A83DA4">
            <w:pPr>
              <w:ind w:left="-113" w:firstLine="5"/>
            </w:pPr>
            <w:r>
              <w:t>c.</w:t>
            </w:r>
          </w:p>
        </w:tc>
        <w:tc>
          <w:tcPr>
            <w:tcW w:w="5436" w:type="dxa"/>
          </w:tcPr>
          <w:p w14:paraId="6B2B8666" w14:textId="77777777" w:rsidR="007832D8" w:rsidRDefault="00A83DA4" w:rsidP="00A83DA4">
            <w:r>
              <w:rPr>
                <w:noProof/>
                <w:lang w:eastAsia="pt-BR"/>
              </w:rPr>
              <w:drawing>
                <wp:inline distT="0" distB="0" distL="0" distR="0" wp14:anchorId="678856C0" wp14:editId="7475035A">
                  <wp:extent cx="3301200" cy="2156314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tivid x Cienc e Art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200" cy="2156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FD9CF" w14:textId="77777777" w:rsidR="00A83DA4" w:rsidRPr="007832D8" w:rsidRDefault="007832D8" w:rsidP="007832D8">
            <w:r>
              <w:t>d.</w:t>
            </w:r>
          </w:p>
        </w:tc>
      </w:tr>
      <w:tr w:rsidR="007832D8" w14:paraId="0DC9D666" w14:textId="77777777" w:rsidTr="008C13C7">
        <w:trPr>
          <w:trHeight w:val="3985"/>
          <w:jc w:val="center"/>
        </w:trPr>
        <w:tc>
          <w:tcPr>
            <w:tcW w:w="5441" w:type="dxa"/>
          </w:tcPr>
          <w:p w14:paraId="35F6C1E9" w14:textId="77777777" w:rsidR="007832D8" w:rsidRDefault="00420C9F" w:rsidP="00A83DA4">
            <w:pPr>
              <w:ind w:left="-113" w:firstLine="5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80E7A59" wp14:editId="6E787C79">
                  <wp:extent cx="3305804" cy="2160000"/>
                  <wp:effectExtent l="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stab indtrans uba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804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9CB14" w14:textId="77777777" w:rsidR="00420C9F" w:rsidRDefault="00420C9F" w:rsidP="00A83DA4">
            <w:pPr>
              <w:ind w:left="-113" w:firstLine="5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e.</w:t>
            </w:r>
          </w:p>
        </w:tc>
        <w:tc>
          <w:tcPr>
            <w:tcW w:w="5436" w:type="dxa"/>
          </w:tcPr>
          <w:p w14:paraId="1970AA64" w14:textId="77777777" w:rsidR="007832D8" w:rsidRDefault="00420C9F" w:rsidP="00A83DA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F4C2D7D" wp14:editId="4879CDE1">
                  <wp:extent cx="3298552" cy="216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stab indtrans caç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552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575EE" w14:textId="77777777" w:rsidR="00420C9F" w:rsidRDefault="00420C9F" w:rsidP="00A83DA4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f.</w:t>
            </w:r>
          </w:p>
        </w:tc>
      </w:tr>
    </w:tbl>
    <w:p w14:paraId="0C3AE0DC" w14:textId="77777777" w:rsidR="00DB42CD" w:rsidRDefault="00DB42CD">
      <w:r>
        <w:br w:type="page"/>
      </w:r>
    </w:p>
    <w:p w14:paraId="7D35F891" w14:textId="1DA8623D" w:rsidR="00115EEA" w:rsidRDefault="00DB42CD" w:rsidP="004E7A5F">
      <w:pPr>
        <w:pStyle w:val="Ttulo1"/>
      </w:pPr>
      <w:r>
        <w:lastRenderedPageBreak/>
        <w:t xml:space="preserve">Conclusão </w:t>
      </w:r>
    </w:p>
    <w:p w14:paraId="115C2FCF" w14:textId="75861016" w:rsidR="00440D38" w:rsidRDefault="00440D38" w:rsidP="00440D38">
      <w:pPr>
        <w:jc w:val="both"/>
      </w:pPr>
      <w:r>
        <w:t xml:space="preserve">O Data Viva oferece a visualização do Espaço de Produtos para todo o Brasil </w:t>
      </w:r>
      <w:bookmarkStart w:id="0" w:name="_GoBack"/>
      <w:bookmarkEnd w:id="0"/>
      <w:r w:rsidR="00F63D11">
        <w:t>e, portanto,</w:t>
      </w:r>
      <w:r>
        <w:t xml:space="preserve"> a possibilidade de se pensar quais produtos temos maio</w:t>
      </w:r>
      <w:r w:rsidR="004E7A5F">
        <w:t>r</w:t>
      </w:r>
      <w:r>
        <w:t xml:space="preserve"> probabilidade de produzirmos com sucesso, onde e como. A ideia deste documento foi, além de apresentar alguns conceitos desenvolvidos por </w:t>
      </w:r>
      <w:proofErr w:type="spellStart"/>
      <w:r>
        <w:t>Hausmann</w:t>
      </w:r>
      <w:proofErr w:type="spellEnd"/>
      <w:r>
        <w:t xml:space="preserve"> e Hidalgo de forma aplicada, mostrar a possibilidade de combinar a teoria do </w:t>
      </w:r>
      <w:proofErr w:type="spellStart"/>
      <w:r w:rsidRPr="00440D38">
        <w:rPr>
          <w:i/>
        </w:rPr>
        <w:t>Product</w:t>
      </w:r>
      <w:proofErr w:type="spellEnd"/>
      <w:r w:rsidRPr="00440D38">
        <w:rPr>
          <w:i/>
        </w:rPr>
        <w:t xml:space="preserve"> Space</w:t>
      </w:r>
      <w:r>
        <w:t xml:space="preserve"> com outras políticas de desenvolvimento regional já existentes no país. </w:t>
      </w:r>
    </w:p>
    <w:p w14:paraId="2A07A401" w14:textId="04ED2719" w:rsidR="004E7A5F" w:rsidRDefault="00440D38" w:rsidP="00440D38">
      <w:pPr>
        <w:jc w:val="both"/>
      </w:pPr>
      <w:r>
        <w:t>Neste caso, trabalhou-se com o Arranjo Produtivo Local que é um instrumento de política de desenvolvimento amplamente utilizado no país. Somado a isso, o Brasil oferece outros bancos de dados</w:t>
      </w:r>
      <w:r w:rsidR="004E7A5F">
        <w:t xml:space="preserve"> que</w:t>
      </w:r>
      <w:r>
        <w:t xml:space="preserve"> podem ser explorados </w:t>
      </w:r>
      <w:r w:rsidR="004E7A5F">
        <w:t>e combinados</w:t>
      </w:r>
      <w:r>
        <w:t xml:space="preserve"> </w:t>
      </w:r>
      <w:r w:rsidR="004E7A5F">
        <w:t xml:space="preserve">formando um </w:t>
      </w:r>
      <w:r>
        <w:t>conjunto de informações que pode auxiliar tanto empreendedores, agentes de desenvolvimento, pesquisadores a pensar estratégias de des</w:t>
      </w:r>
      <w:r w:rsidR="004E7A5F">
        <w:t xml:space="preserve">envolvimento e de sucesso produtivo. </w:t>
      </w:r>
    </w:p>
    <w:p w14:paraId="5FCD6E7D" w14:textId="7D7CAD86" w:rsidR="00DB42CD" w:rsidRDefault="004E7A5F" w:rsidP="00440D38">
      <w:pPr>
        <w:jc w:val="both"/>
      </w:pPr>
      <w:r>
        <w:t xml:space="preserve">Não se pretendeu em nenhum momento esgotar as possibilidades de Ubá como APL e qual caminho deve ser seguindo, mas sim mostrar que o </w:t>
      </w:r>
      <w:proofErr w:type="spellStart"/>
      <w:r w:rsidRPr="004E7A5F">
        <w:rPr>
          <w:i/>
        </w:rPr>
        <w:t>Product</w:t>
      </w:r>
      <w:proofErr w:type="spellEnd"/>
      <w:r w:rsidRPr="004E7A5F">
        <w:rPr>
          <w:i/>
        </w:rPr>
        <w:t xml:space="preserve"> Space</w:t>
      </w:r>
      <w:r>
        <w:t xml:space="preserve"> pode ser bastante útil para se pensar estratégias de desenvolvimento e é potencializado quando combinado com outros instrumentos de desenvolvimento já estabelecidos e consolidados no país.     </w:t>
      </w:r>
      <w:r w:rsidR="00440D38">
        <w:t xml:space="preserve">  </w:t>
      </w:r>
    </w:p>
    <w:p w14:paraId="49D10A80" w14:textId="77777777" w:rsidR="00DB42CD" w:rsidRDefault="00DB42CD" w:rsidP="00A83DA4"/>
    <w:sectPr w:rsidR="00DB42CD" w:rsidSect="00CF36C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B3FC1" w14:textId="77777777" w:rsidR="00FA5F0C" w:rsidRDefault="00FA5F0C" w:rsidP="00765503">
      <w:pPr>
        <w:spacing w:after="0" w:line="240" w:lineRule="auto"/>
      </w:pPr>
      <w:r>
        <w:separator/>
      </w:r>
    </w:p>
  </w:endnote>
  <w:endnote w:type="continuationSeparator" w:id="0">
    <w:p w14:paraId="5ECC864D" w14:textId="77777777" w:rsidR="00FA5F0C" w:rsidRDefault="00FA5F0C" w:rsidP="0076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0F7EF" w14:textId="77777777" w:rsidR="00FA5F0C" w:rsidRDefault="00FA5F0C" w:rsidP="00765503">
      <w:pPr>
        <w:spacing w:after="0" w:line="240" w:lineRule="auto"/>
      </w:pPr>
      <w:r>
        <w:separator/>
      </w:r>
    </w:p>
  </w:footnote>
  <w:footnote w:type="continuationSeparator" w:id="0">
    <w:p w14:paraId="7D70C040" w14:textId="77777777" w:rsidR="00FA5F0C" w:rsidRDefault="00FA5F0C" w:rsidP="00765503">
      <w:pPr>
        <w:spacing w:after="0" w:line="240" w:lineRule="auto"/>
      </w:pPr>
      <w:r>
        <w:continuationSeparator/>
      </w:r>
    </w:p>
  </w:footnote>
  <w:footnote w:id="1">
    <w:p w14:paraId="0D17EEA7" w14:textId="77777777" w:rsidR="00FD013A" w:rsidRPr="00765503" w:rsidRDefault="00FD013A" w:rsidP="00FD013A">
      <w:pPr>
        <w:pStyle w:val="Textodenotaderodap"/>
        <w:jc w:val="both"/>
        <w:rPr>
          <w:lang w:val="en-US"/>
        </w:rPr>
      </w:pPr>
      <w:r>
        <w:rPr>
          <w:rStyle w:val="Refdenotaderodap"/>
        </w:rPr>
        <w:footnoteRef/>
      </w:r>
      <w:r w:rsidRPr="00765503">
        <w:rPr>
          <w:lang w:val="en-US"/>
        </w:rPr>
        <w:t xml:space="preserve"> </w:t>
      </w:r>
      <w:r w:rsidRPr="00765503">
        <w:rPr>
          <w:rFonts w:cs="Arial"/>
          <w:color w:val="252525"/>
          <w:sz w:val="18"/>
          <w:szCs w:val="18"/>
          <w:shd w:val="clear" w:color="auto" w:fill="FFFFFF"/>
          <w:lang w:val="en-US"/>
        </w:rPr>
        <w:t>Director of the</w:t>
      </w:r>
      <w:r w:rsidRPr="00765503">
        <w:rPr>
          <w:rStyle w:val="apple-converted-space"/>
          <w:rFonts w:cs="Arial"/>
          <w:color w:val="252525"/>
          <w:sz w:val="18"/>
          <w:szCs w:val="18"/>
          <w:shd w:val="clear" w:color="auto" w:fill="FFFFFF"/>
          <w:lang w:val="en-US"/>
        </w:rPr>
        <w:t> </w:t>
      </w:r>
      <w:r w:rsidRPr="00765503">
        <w:rPr>
          <w:rFonts w:cs="Arial"/>
          <w:sz w:val="18"/>
          <w:szCs w:val="18"/>
          <w:shd w:val="clear" w:color="auto" w:fill="FFFFFF"/>
          <w:lang w:val="en-US"/>
        </w:rPr>
        <w:t>Center for International Development</w:t>
      </w:r>
      <w:r w:rsidRPr="00765503">
        <w:rPr>
          <w:rStyle w:val="apple-converted-space"/>
          <w:rFonts w:cs="Arial"/>
          <w:color w:val="252525"/>
          <w:sz w:val="18"/>
          <w:szCs w:val="18"/>
          <w:shd w:val="clear" w:color="auto" w:fill="FFFFFF"/>
          <w:lang w:val="en-US"/>
        </w:rPr>
        <w:t> </w:t>
      </w:r>
      <w:r w:rsidRPr="00765503">
        <w:rPr>
          <w:rFonts w:cs="Arial"/>
          <w:color w:val="252525"/>
          <w:sz w:val="18"/>
          <w:szCs w:val="18"/>
          <w:shd w:val="clear" w:color="auto" w:fill="FFFFFF"/>
          <w:lang w:val="en-US"/>
        </w:rPr>
        <w:t>and a Professor of the Practice of Economic Development at the</w:t>
      </w:r>
      <w:r w:rsidRPr="00765503">
        <w:rPr>
          <w:rStyle w:val="apple-converted-space"/>
          <w:rFonts w:cs="Arial"/>
          <w:color w:val="252525"/>
          <w:sz w:val="18"/>
          <w:szCs w:val="18"/>
          <w:shd w:val="clear" w:color="auto" w:fill="FFFFFF"/>
          <w:lang w:val="en-US"/>
        </w:rPr>
        <w:t> </w:t>
      </w:r>
      <w:r w:rsidRPr="00765503">
        <w:rPr>
          <w:rFonts w:cs="Arial"/>
          <w:sz w:val="18"/>
          <w:szCs w:val="18"/>
          <w:shd w:val="clear" w:color="auto" w:fill="FFFFFF"/>
          <w:lang w:val="en-US"/>
        </w:rPr>
        <w:t>John F. Kennedy School of Government</w:t>
      </w:r>
      <w:r w:rsidRPr="00765503">
        <w:rPr>
          <w:rStyle w:val="apple-converted-space"/>
          <w:rFonts w:cs="Arial"/>
          <w:color w:val="252525"/>
          <w:sz w:val="18"/>
          <w:szCs w:val="18"/>
          <w:shd w:val="clear" w:color="auto" w:fill="FFFFFF"/>
          <w:lang w:val="en-US"/>
        </w:rPr>
        <w:t> </w:t>
      </w:r>
      <w:r w:rsidRPr="00765503">
        <w:rPr>
          <w:rFonts w:cs="Arial"/>
          <w:color w:val="252525"/>
          <w:sz w:val="18"/>
          <w:szCs w:val="18"/>
          <w:shd w:val="clear" w:color="auto" w:fill="FFFFFF"/>
          <w:lang w:val="en-US"/>
        </w:rPr>
        <w:t>at</w:t>
      </w:r>
      <w:r w:rsidRPr="00765503">
        <w:rPr>
          <w:rStyle w:val="apple-converted-space"/>
          <w:rFonts w:cs="Arial"/>
          <w:color w:val="252525"/>
          <w:sz w:val="18"/>
          <w:szCs w:val="18"/>
          <w:shd w:val="clear" w:color="auto" w:fill="FFFFFF"/>
          <w:lang w:val="en-US"/>
        </w:rPr>
        <w:t> </w:t>
      </w:r>
      <w:r w:rsidRPr="00765503">
        <w:rPr>
          <w:rFonts w:cs="Arial"/>
          <w:sz w:val="18"/>
          <w:szCs w:val="18"/>
          <w:shd w:val="clear" w:color="auto" w:fill="FFFFFF"/>
          <w:lang w:val="en-US"/>
        </w:rPr>
        <w:t>Harvard University</w:t>
      </w:r>
      <w:r>
        <w:rPr>
          <w:rFonts w:cs="Arial"/>
          <w:sz w:val="18"/>
          <w:szCs w:val="18"/>
          <w:shd w:val="clear" w:color="auto" w:fill="FFFFFF"/>
          <w:lang w:val="en-US"/>
        </w:rPr>
        <w:t>.</w:t>
      </w:r>
    </w:p>
  </w:footnote>
  <w:footnote w:id="2">
    <w:p w14:paraId="432AA7D8" w14:textId="77777777" w:rsidR="00FD013A" w:rsidRPr="00765503" w:rsidRDefault="00FD013A" w:rsidP="00FD013A">
      <w:pPr>
        <w:pStyle w:val="Textodenotaderodap"/>
        <w:jc w:val="both"/>
        <w:rPr>
          <w:lang w:val="en-US"/>
        </w:rPr>
      </w:pPr>
      <w:r>
        <w:rPr>
          <w:rStyle w:val="Refdenotaderodap"/>
        </w:rPr>
        <w:footnoteRef/>
      </w:r>
      <w:r w:rsidRPr="00765503">
        <w:rPr>
          <w:lang w:val="en-US"/>
        </w:rPr>
        <w:t xml:space="preserve"> </w:t>
      </w:r>
      <w:r w:rsidRPr="00765503">
        <w:rPr>
          <w:rFonts w:cs="Arial"/>
          <w:color w:val="252525"/>
          <w:sz w:val="18"/>
          <w:szCs w:val="18"/>
          <w:shd w:val="clear" w:color="auto" w:fill="FFFFFF"/>
          <w:lang w:val="en-US"/>
        </w:rPr>
        <w:t>Associate Professor of Media Arts and Sciences at</w:t>
      </w:r>
      <w:r w:rsidRPr="00765503">
        <w:rPr>
          <w:sz w:val="18"/>
          <w:szCs w:val="18"/>
          <w:lang w:val="en-US"/>
        </w:rPr>
        <w:t> </w:t>
      </w:r>
      <w:hyperlink r:id="rId1" w:tooltip="MIT" w:history="1">
        <w:r w:rsidRPr="00765503">
          <w:rPr>
            <w:color w:val="252525"/>
            <w:sz w:val="18"/>
            <w:szCs w:val="18"/>
            <w:lang w:val="en-US"/>
          </w:rPr>
          <w:t>MIT</w:t>
        </w:r>
      </w:hyperlink>
      <w:r w:rsidRPr="00765503">
        <w:rPr>
          <w:sz w:val="18"/>
          <w:szCs w:val="18"/>
          <w:lang w:val="en-US"/>
        </w:rPr>
        <w:t> </w:t>
      </w:r>
      <w:r w:rsidRPr="00765503">
        <w:rPr>
          <w:rFonts w:cs="Arial"/>
          <w:color w:val="252525"/>
          <w:sz w:val="18"/>
          <w:szCs w:val="18"/>
          <w:shd w:val="clear" w:color="auto" w:fill="FFFFFF"/>
          <w:lang w:val="en-US"/>
        </w:rPr>
        <w:t>and the director of the Macro Connections group at The</w:t>
      </w:r>
      <w:r w:rsidRPr="00765503">
        <w:rPr>
          <w:sz w:val="18"/>
          <w:szCs w:val="18"/>
          <w:lang w:val="en-US"/>
        </w:rPr>
        <w:t> </w:t>
      </w:r>
      <w:hyperlink r:id="rId2" w:tooltip="MIT Media Lab" w:history="1">
        <w:r w:rsidRPr="00765503">
          <w:rPr>
            <w:color w:val="252525"/>
            <w:sz w:val="18"/>
            <w:szCs w:val="18"/>
            <w:lang w:val="en-US"/>
          </w:rPr>
          <w:t>MIT Media Lab</w:t>
        </w:r>
      </w:hyperlink>
      <w:r>
        <w:rPr>
          <w:rFonts w:cs="Arial"/>
          <w:color w:val="252525"/>
          <w:sz w:val="18"/>
          <w:szCs w:val="18"/>
          <w:shd w:val="clear" w:color="auto" w:fill="FFFFFF"/>
          <w:lang w:val="en-US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EA"/>
    <w:rsid w:val="00052686"/>
    <w:rsid w:val="0006416F"/>
    <w:rsid w:val="000B6B2B"/>
    <w:rsid w:val="000C75DC"/>
    <w:rsid w:val="00115EEA"/>
    <w:rsid w:val="001171E0"/>
    <w:rsid w:val="001819D6"/>
    <w:rsid w:val="001A7E47"/>
    <w:rsid w:val="001B25F5"/>
    <w:rsid w:val="001D1A7F"/>
    <w:rsid w:val="001F5426"/>
    <w:rsid w:val="0023698C"/>
    <w:rsid w:val="002E1831"/>
    <w:rsid w:val="00303280"/>
    <w:rsid w:val="00375F9B"/>
    <w:rsid w:val="003E46CD"/>
    <w:rsid w:val="00401D49"/>
    <w:rsid w:val="00420C9F"/>
    <w:rsid w:val="00440D38"/>
    <w:rsid w:val="00446CAF"/>
    <w:rsid w:val="00465715"/>
    <w:rsid w:val="00471B51"/>
    <w:rsid w:val="004E7A5F"/>
    <w:rsid w:val="004E7ACD"/>
    <w:rsid w:val="0050066A"/>
    <w:rsid w:val="00512905"/>
    <w:rsid w:val="005208D2"/>
    <w:rsid w:val="0052595C"/>
    <w:rsid w:val="0053028B"/>
    <w:rsid w:val="005361C6"/>
    <w:rsid w:val="00560576"/>
    <w:rsid w:val="005C7D72"/>
    <w:rsid w:val="005F72A0"/>
    <w:rsid w:val="00632D86"/>
    <w:rsid w:val="00633EB4"/>
    <w:rsid w:val="00640904"/>
    <w:rsid w:val="006854C6"/>
    <w:rsid w:val="00692649"/>
    <w:rsid w:val="00765503"/>
    <w:rsid w:val="00775DF2"/>
    <w:rsid w:val="007832D8"/>
    <w:rsid w:val="007E66D8"/>
    <w:rsid w:val="007F3E2F"/>
    <w:rsid w:val="00854149"/>
    <w:rsid w:val="0089149C"/>
    <w:rsid w:val="008C13C7"/>
    <w:rsid w:val="00906357"/>
    <w:rsid w:val="009E43B2"/>
    <w:rsid w:val="009F0590"/>
    <w:rsid w:val="00A619EA"/>
    <w:rsid w:val="00A8319D"/>
    <w:rsid w:val="00A83DA4"/>
    <w:rsid w:val="00AA2AD5"/>
    <w:rsid w:val="00AB1E6A"/>
    <w:rsid w:val="00AF7947"/>
    <w:rsid w:val="00B106FE"/>
    <w:rsid w:val="00B123E5"/>
    <w:rsid w:val="00B77FCF"/>
    <w:rsid w:val="00B919C4"/>
    <w:rsid w:val="00BE6D12"/>
    <w:rsid w:val="00C025D0"/>
    <w:rsid w:val="00C0299B"/>
    <w:rsid w:val="00C60A3C"/>
    <w:rsid w:val="00CA56C9"/>
    <w:rsid w:val="00CE5CBB"/>
    <w:rsid w:val="00CF36C6"/>
    <w:rsid w:val="00CF6A08"/>
    <w:rsid w:val="00DB42CD"/>
    <w:rsid w:val="00DF44DB"/>
    <w:rsid w:val="00E10F47"/>
    <w:rsid w:val="00E617D8"/>
    <w:rsid w:val="00F63D11"/>
    <w:rsid w:val="00F66CEB"/>
    <w:rsid w:val="00F97825"/>
    <w:rsid w:val="00FA5F0C"/>
    <w:rsid w:val="00F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3E8B"/>
  <w15:chartTrackingRefBased/>
  <w15:docId w15:val="{6C7E9132-6046-4A93-8C5C-307B075E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5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5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5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5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503"/>
    <w:rPr>
      <w:vertAlign w:val="superscript"/>
    </w:rPr>
  </w:style>
  <w:style w:type="character" w:customStyle="1" w:styleId="apple-converted-space">
    <w:name w:val="apple-converted-space"/>
    <w:basedOn w:val="Fontepargpadro"/>
    <w:rsid w:val="00765503"/>
  </w:style>
  <w:style w:type="character" w:styleId="Hyperlink">
    <w:name w:val="Hyperlink"/>
    <w:basedOn w:val="Fontepargpadro"/>
    <w:uiPriority w:val="99"/>
    <w:semiHidden/>
    <w:unhideWhenUsed/>
    <w:rsid w:val="00765503"/>
    <w:rPr>
      <w:color w:val="0000FF"/>
      <w:u w:val="single"/>
    </w:rPr>
  </w:style>
  <w:style w:type="table" w:styleId="Tabelacomgrade">
    <w:name w:val="Table Grid"/>
    <w:basedOn w:val="Tabelanormal"/>
    <w:uiPriority w:val="39"/>
    <w:rsid w:val="005F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5F72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C75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5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5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5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5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5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5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MIT_Media_Lab" TargetMode="External"/><Relationship Id="rId1" Type="http://schemas.openxmlformats.org/officeDocument/2006/relationships/hyperlink" Target="https://en.wikipedia.org/wiki/MI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20966-1CA7-44CC-A41B-0A0B7F13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FAPEMIG</Company>
  <LinksUpToDate>false</LinksUpToDate>
  <CharactersWithSpaces>12171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 Borges de Andrade</dc:creator>
  <cp:keywords/>
  <dc:description/>
  <cp:lastModifiedBy>Elton Eduardo Freitas</cp:lastModifiedBy>
  <cp:revision>2</cp:revision>
  <dcterms:created xsi:type="dcterms:W3CDTF">2016-08-24T11:59:00Z</dcterms:created>
  <dcterms:modified xsi:type="dcterms:W3CDTF">2016-08-24T11:59:00Z</dcterms:modified>
</cp:coreProperties>
</file>