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Boots Opticians — Insights &amp; Recommendations</w:t>
      </w:r>
    </w:p>
    <w:p>
      <w:pPr>
        <w:spacing w:after="60"/>
      </w:pPr>
      <w:r>
        <w:rPr>
          <w:b/>
          <w:bCs/>
        </w:rPr>
        <w:t xml:space="preserve">Project: </w:t>
      </w:r>
      <w:r>
        <w:t xml:space="preserve">Optical Retail Sales &amp; Service Analytics</w:t>
      </w:r>
    </w:p>
    <w:p>
      <w:pPr>
        <w:spacing w:after="300"/>
      </w:pPr>
      <w:r>
        <w:rPr>
          <w:b/>
          <w:bCs/>
        </w:rPr>
        <w:t xml:space="preserve">Scope: </w:t>
      </w:r>
      <w:r>
        <w:t xml:space="preserve">110,000 sales transactions and 55,000 appointments across 122 stores, Jan 2025–Dec 2026</w:t>
      </w:r>
    </w:p>
    <w:p>
      <w:pPr>
        <w:pStyle w:val="Heading2"/>
        <w:spacing w:after="120" w:before="300"/>
      </w:pPr>
      <w:r>
        <w:t xml:space="preserve">1. Regional and store performance is uniform — raw totals are misleading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Raw regional revenue looked uneven (Scotland £2.14M vs. London £1.13M), but this was entirely explained by store count — London has only 8 stores versus 12–15 in every other region. Once normalized per store, average revenue is consistent across all regions (£137.8K–£142.9K), and appointment volume per store normalizes the same way (443–456 per store).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Use per-store metrics, not regional totals, for any performance review or store-manager evaluation. Raw regional comparisons risk unfairly penalizing regions that simply have fewer stores.</w:t>
      </w:r>
    </w:p>
    <w:p>
      <w:pPr>
        <w:pStyle w:val="Heading2"/>
        <w:spacing w:after="120" w:before="300"/>
      </w:pPr>
      <w:r>
        <w:t xml:space="preserve">2. A small set of premium products drives disproportionate high-value revenue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2.82% of transactions were flagged as revenue outliers by IQR, but inspection showed these are legitimate — Quantity=3 purchases of premium Spectacle Frames and Prescription Lenses (£415–435 unit price), not data errors. A concentrated group of SKUs (e.g. P0092, P0214, P0286) recur disproportionately among these high-value sales.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Identify and actively promote this small set of high-margin, high-ticket SKUs — e.g. through staff upsell training or featured in-store placement — since they already show a natural customer pull toward higher spend.</w:t>
      </w:r>
    </w:p>
    <w:p>
      <w:pPr>
        <w:pStyle w:val="Heading2"/>
        <w:spacing w:after="120" w:before="300"/>
      </w:pPr>
      <w:r>
        <w:t xml:space="preserve">3. Prescription Lens and Spectacle Frame dominate category revenue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These two categories account for over 70% of total revenue (£6.6M and £5.1M respectively). Sunglasses contribute meaningfully (£4.2M) while Contact Lenses and Lens Care are minor categories.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Category strategy should protect and grow the core two categories first; Lens Care may be worth repositioning as a bundled add-on rather than a standalone push, given its negligible standalone revenue.</w:t>
      </w:r>
    </w:p>
    <w:p>
      <w:pPr>
        <w:pStyle w:val="Heading2"/>
        <w:spacing w:after="120" w:before="300"/>
      </w:pPr>
      <w:r>
        <w:t xml:space="preserve">4. Conversion is not service-dependent — it's completion-dependent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Conversion rate is flat across all 8 services (36.5%–38.4%), showing that no single service converts meaningfully better than another. Instead, conversion is entirely gated by appointment completion: 48% of Completed appointments convert to a sale, versus 0% for Cancelled, No-show, or Rescheduled appointments.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The highest-leverage action to grow conversions is reducing the ~22% of appointments lost to no-shows, cancellations, and reschedules — not promoting any particular service.</w:t>
      </w:r>
    </w:p>
    <w:p>
      <w:pPr>
        <w:pStyle w:val="Heading2"/>
        <w:spacing w:after="120" w:before="300"/>
      </w:pPr>
      <w:r>
        <w:t xml:space="preserve">5. No-show rates are a systemic issue, not a regional one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No-show rates are tight across every region (5.7%–6.5%), with no standout problem area. This means the issue is structural — likely tied to booking/reminder processes — rather than isolated to specific stores or regions.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Roll out interventions (SMS/email reminders, confirmation calls, deposit-on-booking) chain-wide rather than piloting in a single region, since the problem is evenly distributed.</w:t>
      </w:r>
    </w:p>
    <w:p>
      <w:pPr>
        <w:pStyle w:val="Heading2"/>
        <w:spacing w:after="120" w:before="300"/>
      </w:pPr>
      <w:r>
        <w:t xml:space="preserve">6. Online bookings show the widest spread of appointment outcomes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The stacked bar analysis of Booking_Channel by Appointment_Status shows Online bookings carry the most visible no-show and reschedule volume, while Phone bookings show the cleanest outcome distribution.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Investigate whether the online booking flow lacks a confirmation step that phone bookings naturally include. A lightweight confirmation email/SMS specifically for online bookings could close this gap.</w:t>
      </w:r>
    </w:p>
    <w:p>
      <w:pPr>
        <w:pStyle w:val="Heading2"/>
        <w:spacing w:after="120" w:before="300"/>
      </w:pPr>
      <w:r>
        <w:t xml:space="preserve">7. Discounting shows limited relationship to margin erosion at the category level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The scatter analysis of average discount % vs. average gross margin by category did not show a strong negative relationship — margins remained broadly stable across categories regardless of discount level, within the dataset's discount range (max 20%).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Current discount levels (capped at 20%) appear sustainable for margin. This is worth monitoring if higher discount tiers are considered in future promotions.</w:t>
      </w:r>
    </w:p>
    <w:p>
      <w:pPr>
        <w:pStyle w:val="Heading2"/>
        <w:spacing w:after="120" w:before="300"/>
      </w:pPr>
      <w:r>
        <w:t xml:space="preserve">8. Data quality was strong, with a few explainable exceptions</w:t>
      </w:r>
    </w:p>
    <w:p>
      <w:pPr>
        <w:spacing w:after="100"/>
      </w:pPr>
      <w:r>
        <w:rPr>
          <w:b/>
          <w:bCs/>
        </w:rPr>
        <w:t xml:space="preserve">Finding: </w:t>
      </w:r>
      <w:r>
        <w:t xml:space="preserve">25 exact duplicate Sale_IDs were found, located entirely in the final rows of the raw file (mirroring the first 25 rows) — consistent with a deliberate test case rather than a genuine system error. Missing values were minimal (Payment_Method: 40, Booking_Channel: 30, both &lt;0.1% of rows).</w:t>
      </w:r>
    </w:p>
    <w:p>
      <w:pPr>
        <w:spacing w:after="200"/>
      </w:pPr>
      <w:r>
        <w:rPr>
          <w:b/>
          <w:bCs/>
        </w:rPr>
        <w:t xml:space="preserve">Recommendation: </w:t>
      </w:r>
      <w:r>
        <w:t xml:space="preserve">No systemic data quality concerns for reporting purposes; the cleaning steps applied (deduplication, null-filling as "Unknown") are sufficient and documented in the project's Python notebook.</w:t>
      </w:r>
    </w:p>
    <w:p>
      <w:pPr>
        <w:pStyle w:val="Heading1"/>
        <w:spacing w:after="150" w:before="400"/>
      </w:pPr>
      <w:r>
        <w:t xml:space="preserve">Summary of Priority Actions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3600"/>
      </w:tblGrid>
      <w:tr>
        <w:tc>
          <w:tcPr>
            <w:tcW w:type="dxa" w:w="1600"/>
            <w:shd w:fill="D9E6F5" w:color="auto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5200"/>
            <w:shd w:fill="D9E6F5" w:color="auto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600"/>
            <w:shd w:fill="D9E6F5" w:color="auto" w:val="clear"/>
          </w:tcPr>
          <w:p>
            <w:r>
              <w:rPr>
                <w:b/>
                <w:bCs/>
              </w:rPr>
              <w:t xml:space="preserve">Expected impact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Reduce no-shows/cancellations/reschedules chain-wide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Directly increases conversion rate (currently capped by the 48% ceiling on Completed appointments)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Investigate Online booking channel's higher no-show/reschedule rate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Could close the gap seen vs. Phone bookings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Promote top-performing premium SKUs identified in outlier analysis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Grows high-margin, high-ticket revenue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Evaluate Lens Care as a bundled add-on rather than standalone category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Improves category-level ROI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Continue monitoring discount-margin relationship if promotional tiers increase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Protects margin at scale</w:t>
            </w:r>
          </w:p>
        </w:tc>
      </w:tr>
    </w:tbl>
    <w:p>
      <w:pPr>
        <w:spacing w:before="300"/>
      </w:pPr>
      <w:r>
        <w:rPr>
          <w:i/>
          <w:iCs/>
          <w:sz w:val="20"/>
          <w:szCs w:val="20"/>
        </w:rPr>
        <w:t xml:space="preserve">Insights derived from Python EDA (Pandas/NumPy), SQL analysis (SQL Server), and the Power BI dashboard (Executive Overview, Sales &amp; Product/Store Performance, Appointments &amp; Service Analytics).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2026-09-11T06:42:41.007Z</dcterms:created>
  <dcterms:modified xsi:type="dcterms:W3CDTF">2026-09-11T06:42:41.017Z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