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</w:p>
    <w:p w:rsidR="002B7A8C" w:rsidRPr="00EE72A7" w:rsidRDefault="002B7A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</w:p>
    <w:p w:rsidR="00110104" w:rsidRPr="00EE72A7" w:rsidRDefault="00CD35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b/>
          <w:sz w:val="28"/>
          <w:szCs w:val="28"/>
        </w:rPr>
        <w:t>논문번호</w:t>
      </w:r>
      <w:r w:rsidR="007A35D0" w:rsidRPr="00EE72A7">
        <w:rPr>
          <w:b/>
          <w:sz w:val="28"/>
          <w:szCs w:val="28"/>
        </w:rPr>
        <w:t>:</w:t>
      </w:r>
      <w:r w:rsidR="007A35D0" w:rsidRPr="00EE72A7">
        <w:rPr>
          <w:sz w:val="28"/>
          <w:szCs w:val="28"/>
        </w:rPr>
        <w:t xml:space="preserve"> </w:t>
      </w:r>
      <w:r w:rsidRPr="00EE72A7">
        <w:rPr>
          <w:sz w:val="28"/>
          <w:szCs w:val="28"/>
        </w:rPr>
        <w:t>J1_202500001</w:t>
      </w: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:rsidR="00110104" w:rsidRPr="00EE72A7" w:rsidRDefault="00FA1F5D" w:rsidP="00514F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b/>
          <w:sz w:val="28"/>
          <w:szCs w:val="28"/>
        </w:rPr>
        <w:t>원논문 제목</w:t>
      </w:r>
      <w:r w:rsidR="007A35D0" w:rsidRPr="00EE72A7">
        <w:rPr>
          <w:b/>
          <w:sz w:val="28"/>
          <w:szCs w:val="28"/>
        </w:rPr>
        <w:t>:</w:t>
      </w:r>
      <w:r w:rsidR="007A35D0" w:rsidRPr="00EE72A7">
        <w:rPr>
          <w:sz w:val="28"/>
          <w:szCs w:val="28"/>
        </w:rPr>
        <w:t xml:space="preserve"> “</w:t>
      </w:r>
      <w:r w:rsidRPr="00EE72A7">
        <w:rPr>
          <w:sz w:val="28"/>
          <w:szCs w:val="28"/>
        </w:rPr>
        <w:t>2025년도 KTX 수요 예측 및 정책적 의사결정 : XAI 기반 실증적 예측연구</w:t>
      </w:r>
      <w:r w:rsidR="00514F2C" w:rsidRPr="00EE72A7">
        <w:rPr>
          <w:rFonts w:hint="eastAsia"/>
          <w:sz w:val="28"/>
          <w:szCs w:val="28"/>
        </w:rPr>
        <w:t>(</w:t>
      </w:r>
      <w:r w:rsidR="00514F2C" w:rsidRPr="00EE72A7">
        <w:rPr>
          <w:sz w:val="28"/>
          <w:szCs w:val="28"/>
        </w:rPr>
        <w:t>Demand Forecast and Policy Decisions for KTX in 2025: An Empirical Forecasting Study based on XAI</w:t>
      </w:r>
      <w:r w:rsidR="00514F2C" w:rsidRPr="00EE72A7">
        <w:rPr>
          <w:rFonts w:hint="eastAsia"/>
          <w:sz w:val="28"/>
          <w:szCs w:val="28"/>
        </w:rPr>
        <w:t>)</w:t>
      </w:r>
      <w:r w:rsidR="007A35D0" w:rsidRPr="00EE72A7">
        <w:rPr>
          <w:sz w:val="28"/>
          <w:szCs w:val="28"/>
        </w:rPr>
        <w:t>”</w:t>
      </w: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  <w:r w:rsidRPr="00EE72A7">
        <w:rPr>
          <w:rFonts w:hint="eastAsia"/>
          <w:b/>
          <w:bCs/>
          <w:sz w:val="28"/>
          <w:szCs w:val="28"/>
        </w:rPr>
        <w:t xml:space="preserve">안녕하십니까 </w:t>
      </w:r>
      <w:r w:rsidRPr="00EE72A7">
        <w:rPr>
          <w:rFonts w:hint="eastAsia"/>
          <w:b/>
          <w:bCs/>
          <w:sz w:val="28"/>
          <w:szCs w:val="28"/>
          <w:u w:val="single"/>
        </w:rPr>
        <w:t>한국빅데이터학회 학회지</w:t>
      </w:r>
      <w:r w:rsidRPr="00EE72A7">
        <w:rPr>
          <w:rFonts w:hint="eastAsia"/>
          <w:b/>
          <w:bCs/>
          <w:sz w:val="28"/>
          <w:szCs w:val="28"/>
        </w:rPr>
        <w:t xml:space="preserve"> 에디터님,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원고의</w:t>
      </w:r>
      <w:r w:rsidRPr="00EE72A7">
        <w:rPr>
          <w:sz w:val="28"/>
          <w:szCs w:val="28"/>
        </w:rPr>
        <w:t xml:space="preserve"> 재제출</w:t>
      </w:r>
      <w:r w:rsidRPr="00EE72A7">
        <w:rPr>
          <w:rFonts w:hint="eastAsia"/>
          <w:sz w:val="28"/>
          <w:szCs w:val="28"/>
        </w:rPr>
        <w:t>과</w:t>
      </w:r>
      <w:r w:rsidRPr="00EE72A7">
        <w:rPr>
          <w:sz w:val="28"/>
          <w:szCs w:val="28"/>
        </w:rPr>
        <w:t xml:space="preserve"> 심사자의 의견에 대해 답변할 수 있는 기회</w:t>
      </w:r>
      <w:r w:rsidRPr="00EE72A7">
        <w:rPr>
          <w:rFonts w:hint="eastAsia"/>
          <w:sz w:val="28"/>
          <w:szCs w:val="28"/>
        </w:rPr>
        <w:t>를 주셔서 감사합니다.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요청해주신 바와 같이 아래에 심사자별 코멘트에 대한 답변을 포함하였습니다.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심사자분들께서</w:t>
      </w:r>
      <w:r w:rsidRPr="00EE72A7">
        <w:rPr>
          <w:sz w:val="28"/>
          <w:szCs w:val="28"/>
        </w:rPr>
        <w:t xml:space="preserve"> 지적해 주신 내용 외에도 일부 업데이트 사항을 반영</w:t>
      </w:r>
      <w:r w:rsidRPr="00EE72A7">
        <w:rPr>
          <w:rFonts w:hint="eastAsia"/>
          <w:sz w:val="28"/>
          <w:szCs w:val="28"/>
        </w:rPr>
        <w:t xml:space="preserve"> 및 표시</w:t>
      </w:r>
      <w:r w:rsidRPr="00EE72A7">
        <w:rPr>
          <w:sz w:val="28"/>
          <w:szCs w:val="28"/>
        </w:rPr>
        <w:t>하여 논문을 개선</w:t>
      </w:r>
      <w:r w:rsidRPr="00EE72A7">
        <w:rPr>
          <w:rFonts w:hint="eastAsia"/>
          <w:sz w:val="28"/>
          <w:szCs w:val="28"/>
        </w:rPr>
        <w:t>하였습니다</w:t>
      </w:r>
      <w:r w:rsidRPr="00EE72A7">
        <w:rPr>
          <w:sz w:val="28"/>
          <w:szCs w:val="28"/>
        </w:rPr>
        <w:t>.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감사합니다</w:t>
      </w:r>
      <w:r w:rsidRPr="00EE72A7">
        <w:rPr>
          <w:sz w:val="28"/>
          <w:szCs w:val="28"/>
        </w:rPr>
        <w:t>,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8A1162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차명주, 오영택, 이승연, 김경원</w:t>
      </w: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sectPr w:rsidR="00110104" w:rsidRPr="00EE72A7">
          <w:pgSz w:w="11906" w:h="16838"/>
          <w:pgMar w:top="1134" w:right="1134" w:bottom="1134" w:left="1134" w:header="283" w:footer="283" w:gutter="0"/>
          <w:pgNumType w:start="1"/>
          <w:cols w:space="720"/>
        </w:sectPr>
      </w:pPr>
    </w:p>
    <w:p w:rsidR="00110104" w:rsidRPr="00EE72A7" w:rsidRDefault="008A1162">
      <w:pPr>
        <w:pStyle w:val="2"/>
        <w:spacing w:after="0" w:line="240" w:lineRule="auto"/>
      </w:pPr>
      <w:bookmarkStart w:id="0" w:name="_heading=h.xpuh4p9bgk0z" w:colFirst="0" w:colLast="0"/>
      <w:bookmarkEnd w:id="0"/>
      <w:r w:rsidRPr="00EE72A7">
        <w:rPr>
          <w:rFonts w:hint="eastAsia"/>
        </w:rPr>
        <w:lastRenderedPageBreak/>
        <w:t>심사자</w:t>
      </w:r>
      <w:r w:rsidR="007A35D0" w:rsidRPr="00EE72A7">
        <w:t xml:space="preserve"> #1</w:t>
      </w:r>
    </w:p>
    <w:p w:rsidR="00110104" w:rsidRPr="00EE72A7" w:rsidRDefault="00812F4F">
      <w:pPr>
        <w:pStyle w:val="3"/>
        <w:spacing w:after="0" w:line="240" w:lineRule="auto"/>
      </w:pPr>
      <w:bookmarkStart w:id="1" w:name="_heading=h.u1nk9c3pydpy" w:colFirst="0" w:colLast="0"/>
      <w:bookmarkEnd w:id="1"/>
      <w:r w:rsidRPr="00EE72A7">
        <w:rPr>
          <w:rFonts w:hint="eastAsia"/>
        </w:rPr>
        <w:t xml:space="preserve">심사자 #1, </w:t>
      </w:r>
      <w:r w:rsidR="00133E5E" w:rsidRPr="00EE72A7">
        <w:rPr>
          <w:rFonts w:hint="eastAsia"/>
        </w:rPr>
        <w:t>심사내용</w:t>
      </w:r>
      <w:r w:rsidR="007A35D0" w:rsidRPr="00EE72A7">
        <w:t xml:space="preserve"> #1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110104" w:rsidRPr="00EE72A7">
        <w:tc>
          <w:tcPr>
            <w:tcW w:w="9628" w:type="dxa"/>
          </w:tcPr>
          <w:p w:rsidR="00110104" w:rsidRPr="00EE72A7" w:rsidRDefault="00133E5E">
            <w:r w:rsidRPr="00EE72A7">
              <w:rPr>
                <w:b/>
              </w:rPr>
              <w:t>1. 정확한 의미 전달을 위해 영어 약어(KTX, TGV, HSR 등)는 첫 언급 시 전체 명칭(예: Korea Train Express)을 함께 표기해 주시기 바랍니다.</w:t>
            </w:r>
          </w:p>
        </w:tc>
      </w:tr>
    </w:tbl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110104" w:rsidRPr="00EE72A7" w:rsidRDefault="00407E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저자답변</w:t>
      </w:r>
      <w:r w:rsidR="007A35D0" w:rsidRPr="00EE72A7">
        <w:rPr>
          <w:b/>
        </w:rPr>
        <w:t>:</w:t>
      </w:r>
      <w:r w:rsidRPr="00EE72A7">
        <w:rPr>
          <w:rFonts w:hint="eastAsia"/>
          <w:bCs/>
        </w:rPr>
        <w:t xml:space="preserve"> 영어 약어 표현을 신경 쓰지 못했는데 검토를 해주셔서 감사합니다. 모든 처음 등장하는 영어 약어를 전체 명칭</w:t>
      </w:r>
      <w:r w:rsidR="00CB2C67" w:rsidRPr="00EE72A7">
        <w:rPr>
          <w:rFonts w:hint="eastAsia"/>
          <w:bCs/>
        </w:rPr>
        <w:t>을 반영</w:t>
      </w:r>
      <w:r w:rsidRPr="00EE72A7">
        <w:rPr>
          <w:rFonts w:hint="eastAsia"/>
          <w:bCs/>
        </w:rPr>
        <w:t>하였</w:t>
      </w:r>
      <w:r w:rsidR="00CB2C67" w:rsidRPr="00EE72A7">
        <w:rPr>
          <w:rFonts w:hint="eastAsia"/>
          <w:bCs/>
        </w:rPr>
        <w:t>으며 두번째로 등장하는 영어 약어에는 전체 명칭을 삭제하였습니다.</w:t>
      </w: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110104" w:rsidRPr="00EE72A7" w:rsidRDefault="001E5E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수정사항</w:t>
      </w:r>
      <w:r w:rsidR="007A35D0" w:rsidRPr="00EE72A7">
        <w:rPr>
          <w:b/>
        </w:rPr>
        <w:t xml:space="preserve">: </w:t>
      </w:r>
    </w:p>
    <w:p w:rsidR="0002309C" w:rsidRPr="0012399B" w:rsidRDefault="0002309C" w:rsidP="00020960">
      <w:pPr>
        <w:pStyle w:val="afffffff6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70C0"/>
        </w:rPr>
      </w:pP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KTX(Korea Train eXpress)는 프랑스의 TGV(Train 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>à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 Grande Vitesse), 일본의 신칸센(Shinkansen), 중국의 HSR(High-Speed Rail)</w:t>
      </w:r>
    </w:p>
    <w:p w:rsidR="0002309C" w:rsidRPr="0012399B" w:rsidRDefault="0002309C" w:rsidP="0002309C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ARIMA(Autoregressive Integrated Moving Average)</w:t>
      </w:r>
    </w:p>
    <w:p w:rsidR="0002309C" w:rsidRPr="0012399B" w:rsidRDefault="0002309C" w:rsidP="0002309C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LSTM(Long Short-Term Memory)과 XGBoost(eXtreme Gradient Boosting)</w:t>
      </w:r>
    </w:p>
    <w:p w:rsidR="0002309C" w:rsidRPr="0012399B" w:rsidRDefault="0002309C" w:rsidP="0002309C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(eXplainable Artificial Intelligence, XAI)</w:t>
      </w:r>
    </w:p>
    <w:p w:rsidR="0002309C" w:rsidRPr="0012399B" w:rsidRDefault="0002309C" w:rsidP="0002309C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LIME(Local Interpretable Model-agnostic Explanations)</w:t>
      </w:r>
    </w:p>
    <w:p w:rsidR="00CB2C67" w:rsidRPr="0012399B" w:rsidRDefault="00CB2C67" w:rsidP="00CB2C67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Bagging(Bootstrap aggregating)</w:t>
      </w:r>
    </w:p>
    <w:p w:rsidR="00CB2C67" w:rsidRPr="0012399B" w:rsidRDefault="00CB2C67" w:rsidP="00CB2C67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LightGBM(Light Gradient Boosting Machine), 그리고 CatBoost(Categorical Boosting)</w:t>
      </w:r>
    </w:p>
    <w:p w:rsidR="00560674" w:rsidRPr="0012399B" w:rsidRDefault="00560674" w:rsidP="00560674">
      <w:pPr>
        <w:pStyle w:val="afffffff7"/>
        <w:numPr>
          <w:ilvl w:val="0"/>
          <w:numId w:val="5"/>
        </w:numPr>
        <w:snapToGrid/>
        <w:spacing w:line="384" w:lineRule="auto"/>
        <w:rPr>
          <w:color w:val="0070C0"/>
        </w:rPr>
      </w:pPr>
      <w:r w:rsidRPr="0012399B">
        <w:rPr>
          <w:rFonts w:eastAsia="한양신명조"/>
          <w:color w:val="0070C0"/>
          <w:spacing w:val="-10"/>
          <w:w w:val="95"/>
        </w:rPr>
        <w:t>LSTM</w:t>
      </w:r>
    </w:p>
    <w:p w:rsidR="00560674" w:rsidRPr="0012399B" w:rsidRDefault="00560674" w:rsidP="00560674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RMSE(Root Mean Squared Error), MSPE(Mean Squared Percentage Error), MAE(Mean Absolute Error), MAPE(Mean Absolute Percentage Error), MedAE(Median Absolute Error), MedAPE(Median Absolute Percentage Error)</w:t>
      </w:r>
    </w:p>
    <w:p w:rsidR="00110104" w:rsidRPr="00EE72A7" w:rsidRDefault="00110104" w:rsidP="00812F4F">
      <w:pPr>
        <w:pStyle w:val="a4"/>
      </w:pPr>
      <w:bookmarkStart w:id="2" w:name="_heading=h.bctq1eg667x8" w:colFirst="0" w:colLast="0"/>
      <w:bookmarkEnd w:id="2"/>
    </w:p>
    <w:p w:rsidR="00110104" w:rsidRPr="00EE72A7" w:rsidRDefault="00812F4F">
      <w:pPr>
        <w:pStyle w:val="3"/>
        <w:spacing w:after="0" w:line="240" w:lineRule="auto"/>
      </w:pPr>
      <w:bookmarkStart w:id="3" w:name="_heading=h.9o8xz6492bb5" w:colFirst="0" w:colLast="0"/>
      <w:bookmarkEnd w:id="3"/>
      <w:r w:rsidRPr="00EE72A7">
        <w:rPr>
          <w:rFonts w:hint="eastAsia"/>
        </w:rPr>
        <w:t xml:space="preserve">심사자 #1, </w:t>
      </w:r>
      <w:r w:rsidR="00A33537" w:rsidRPr="00EE72A7">
        <w:rPr>
          <w:rFonts w:hint="eastAsia"/>
        </w:rPr>
        <w:t>심사내용</w:t>
      </w:r>
      <w:r w:rsidR="007A35D0" w:rsidRPr="00EE72A7">
        <w:t xml:space="preserve"> #2</w:t>
      </w:r>
    </w:p>
    <w:tbl>
      <w:tblPr>
        <w:tblStyle w:val="affffffc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110104" w:rsidRPr="00EE72A7">
        <w:trPr>
          <w:trHeight w:val="675"/>
        </w:trPr>
        <w:tc>
          <w:tcPr>
            <w:tcW w:w="9628" w:type="dxa"/>
          </w:tcPr>
          <w:p w:rsidR="00110104" w:rsidRPr="00EE72A7" w:rsidRDefault="00A33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E72A7">
              <w:rPr>
                <w:b/>
              </w:rPr>
              <w:t>2. &lt;표 2&gt;에서는 각 수치마다 ‘%’ 기호를 반복 표기하기보다는, 열 제목 또는 표 하단에 단위를 일괄 표기하는 방식이 가독성에 더 효과적입니다. 또한 &lt;그림 3&gt;과 유사한 형식의 시각화로 제공할 것을 권장합니다.</w:t>
            </w:r>
          </w:p>
        </w:tc>
      </w:tr>
    </w:tbl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110104" w:rsidRPr="00EE72A7" w:rsidRDefault="00F33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hint="eastAsia"/>
        </w:rPr>
      </w:pPr>
      <w:r w:rsidRPr="00EE72A7">
        <w:rPr>
          <w:rFonts w:hint="eastAsia"/>
          <w:b/>
        </w:rPr>
        <w:t>저자답변</w:t>
      </w:r>
      <w:r w:rsidR="007A35D0" w:rsidRPr="00EE72A7">
        <w:rPr>
          <w:b/>
        </w:rPr>
        <w:t>:</w:t>
      </w:r>
      <w:r w:rsidR="007A35D0" w:rsidRPr="00EE72A7">
        <w:t xml:space="preserve"> </w:t>
      </w:r>
      <w:r w:rsidR="00045DDA" w:rsidRPr="00EE72A7">
        <w:rPr>
          <w:rFonts w:hint="eastAsia"/>
        </w:rPr>
        <w:t>심사내용의 업데이트를 통해 표2</w:t>
      </w:r>
      <w:r w:rsidR="00210BC9" w:rsidRPr="00EE72A7">
        <w:rPr>
          <w:rFonts w:hint="eastAsia"/>
        </w:rPr>
        <w:t xml:space="preserve">의 기호반복을 정리하였으며, 일관성을 위해 %로 표현된 검증지표 3가지를 선그래프를 </w:t>
      </w:r>
      <w:r w:rsidR="006979FA" w:rsidRPr="00EE72A7">
        <w:rPr>
          <w:rFonts w:hint="eastAsia"/>
        </w:rPr>
        <w:t>추가적으로</w:t>
      </w:r>
      <w:r w:rsidR="00210BC9" w:rsidRPr="00EE72A7">
        <w:rPr>
          <w:rFonts w:hint="eastAsia"/>
        </w:rPr>
        <w:t xml:space="preserve"> 제공함으로써 이해도를 높일 수 있었습니다 감사합니다.</w:t>
      </w:r>
      <w:r w:rsidR="008C0AB3">
        <w:rPr>
          <w:rFonts w:hint="eastAsia"/>
        </w:rPr>
        <w:t xml:space="preserve"> 아울러 표3과 표4에도 가독성을 위해 %기호를 변경하였으니 참고하시기 바랍니다.</w:t>
      </w: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110104" w:rsidRPr="00EE72A7" w:rsidRDefault="00F33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수정사항</w:t>
      </w:r>
      <w:r w:rsidR="007A35D0" w:rsidRPr="00EE72A7">
        <w:rPr>
          <w:b/>
        </w:rPr>
        <w:t>:</w:t>
      </w:r>
      <w:r w:rsidR="00C03967" w:rsidRPr="00EE72A7">
        <w:rPr>
          <w:rFonts w:hint="eastAsia"/>
          <w:b/>
        </w:rPr>
        <w:t xml:space="preserve"> </w:t>
      </w:r>
      <w:r w:rsidR="00C03967" w:rsidRPr="00EE72A7">
        <w:rPr>
          <w:rFonts w:hint="eastAsia"/>
          <w:bCs/>
        </w:rPr>
        <w:t>심사자님의 이해를 위해 표 2가 수정되고 그림이 추가되었음을 근거로 첨부합니다.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EE72A7" w:rsidRPr="00EE72A7" w:rsidTr="00763075">
        <w:tc>
          <w:tcPr>
            <w:tcW w:w="4815" w:type="dxa"/>
          </w:tcPr>
          <w:p w:rsidR="00240E79" w:rsidRPr="00EE72A7" w:rsidRDefault="00240E79" w:rsidP="00240E79">
            <w:pPr>
              <w:spacing w:before="115"/>
              <w:jc w:val="left"/>
              <w:rPr>
                <w:rFonts w:ascii="Arial" w:eastAsiaTheme="minorEastAsia" w:hAnsi="Arial" w:cs="Arial"/>
                <w:b/>
                <w:sz w:val="19"/>
                <w:szCs w:val="19"/>
              </w:rPr>
            </w:pPr>
            <w:r w:rsidRPr="00EE72A7">
              <w:rPr>
                <w:noProof/>
              </w:rPr>
              <w:lastRenderedPageBreak/>
              <w:drawing>
                <wp:inline distT="0" distB="0" distL="0" distR="0" wp14:anchorId="6F6CE827" wp14:editId="6D002BEA">
                  <wp:extent cx="2899675" cy="3179549"/>
                  <wp:effectExtent l="0" t="0" r="0" b="1905"/>
                  <wp:docPr id="12360142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0142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702" cy="3210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3" w:type="dxa"/>
          </w:tcPr>
          <w:p w:rsidR="009059E2" w:rsidRPr="009059E2" w:rsidRDefault="009059E2" w:rsidP="009059E2">
            <w:pPr>
              <w:tabs>
                <w:tab w:val="left" w:pos="1856"/>
              </w:tabs>
              <w:rPr>
                <w:rFonts w:ascii="Arial" w:eastAsiaTheme="minorEastAsia" w:hAnsi="Arial" w:cs="Arial"/>
                <w:sz w:val="19"/>
                <w:szCs w:val="19"/>
              </w:rPr>
            </w:pPr>
            <w:r w:rsidRPr="00EE72A7">
              <w:rPr>
                <w:rFonts w:ascii="Arial" w:eastAsiaTheme="minorEastAsia" w:hAnsi="Arial" w:cs="Arial"/>
                <w:noProof/>
                <w:sz w:val="19"/>
                <w:szCs w:val="19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line">
                    <wp:posOffset>76835</wp:posOffset>
                  </wp:positionV>
                  <wp:extent cx="2948940" cy="1444625"/>
                  <wp:effectExtent l="0" t="0" r="3810" b="3175"/>
                  <wp:wrapTopAndBottom/>
                  <wp:docPr id="1787878842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0815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940" cy="1444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4562A" w:rsidRPr="00EE72A7" w:rsidRDefault="00D4562A" w:rsidP="009059E2">
            <w:pPr>
              <w:tabs>
                <w:tab w:val="left" w:pos="1856"/>
              </w:tabs>
              <w:rPr>
                <w:rFonts w:ascii="Arial" w:eastAsiaTheme="minorEastAsia" w:hAnsi="Arial" w:cs="Arial"/>
                <w:sz w:val="19"/>
                <w:szCs w:val="19"/>
              </w:rPr>
            </w:pPr>
          </w:p>
        </w:tc>
      </w:tr>
    </w:tbl>
    <w:p w:rsidR="00110104" w:rsidRPr="00EE72A7" w:rsidRDefault="00110104" w:rsidP="00440656"/>
    <w:p w:rsidR="00110104" w:rsidRPr="00EE72A7" w:rsidRDefault="00553F52">
      <w:pPr>
        <w:pStyle w:val="3"/>
        <w:spacing w:after="0" w:line="240" w:lineRule="auto"/>
      </w:pPr>
      <w:bookmarkStart w:id="4" w:name="_heading=h.acpbetq9xpdq" w:colFirst="0" w:colLast="0"/>
      <w:bookmarkEnd w:id="4"/>
      <w:r w:rsidRPr="00EE72A7">
        <w:rPr>
          <w:rFonts w:hint="eastAsia"/>
        </w:rPr>
        <w:t xml:space="preserve">심사자 #1, </w:t>
      </w:r>
      <w:r w:rsidR="00563A18" w:rsidRPr="00EE72A7">
        <w:rPr>
          <w:rFonts w:hint="eastAsia"/>
        </w:rPr>
        <w:t>심사내용</w:t>
      </w:r>
      <w:r w:rsidR="007A35D0" w:rsidRPr="00EE72A7">
        <w:t xml:space="preserve"> #3</w:t>
      </w:r>
    </w:p>
    <w:tbl>
      <w:tblPr>
        <w:tblStyle w:val="affffffd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110104" w:rsidRPr="00EE72A7" w:rsidTr="009908F6">
        <w:trPr>
          <w:trHeight w:val="50"/>
        </w:trPr>
        <w:tc>
          <w:tcPr>
            <w:tcW w:w="9628" w:type="dxa"/>
          </w:tcPr>
          <w:p w:rsidR="009908F6" w:rsidRPr="00EE72A7" w:rsidRDefault="00990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EE72A7">
              <w:rPr>
                <w:b/>
              </w:rPr>
              <w:t>3. &lt;그림 3(나)&gt;, &lt;그림 4&gt; 등 다수의 그래프에서 x축과 y축 라벨이 단순히 'index', 'y'로 표기되어 있습니다. 보다 직관적인 변수명으로 수정하여 정보 전달력을 높여주시기 바랍니다.</w:t>
            </w:r>
          </w:p>
        </w:tc>
      </w:tr>
    </w:tbl>
    <w:p w:rsidR="00110104" w:rsidRPr="00EE72A7" w:rsidRDefault="00110104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110104" w:rsidRPr="00EE72A7" w:rsidRDefault="00664A12" w:rsidP="001321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00" w:hangingChars="100" w:hanging="200"/>
      </w:pPr>
      <w:r w:rsidRPr="00EE72A7">
        <w:rPr>
          <w:rFonts w:hint="eastAsia"/>
          <w:b/>
        </w:rPr>
        <w:t>저자답변</w:t>
      </w:r>
      <w:r w:rsidR="007A35D0" w:rsidRPr="00EE72A7">
        <w:rPr>
          <w:b/>
        </w:rPr>
        <w:t>:</w:t>
      </w:r>
      <w:r w:rsidR="007A35D0" w:rsidRPr="00EE72A7">
        <w:t xml:space="preserve"> </w:t>
      </w:r>
      <w:r w:rsidR="001321B4" w:rsidRPr="00EE72A7">
        <w:rPr>
          <w:rFonts w:hint="eastAsia"/>
        </w:rPr>
        <w:t>심사자 #2분께서도 마찬가지로 그림의 가독성에 대해서 의견을 주셨습니다. 따라서 X축과 Y축의라벨 그리고 Y축 수치의 콤마 반영 등의 방법을 통해 정보 전달력을 높이기 위해 그림 3과 그림 4를 모두 수정하였습니다. 감사합니다.</w:t>
      </w:r>
    </w:p>
    <w:p w:rsidR="00110104" w:rsidRPr="00EE72A7" w:rsidRDefault="00110104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107A5F" w:rsidRPr="00EE72A7" w:rsidRDefault="00107A5F" w:rsidP="00107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심사자님의 이해를 위해 그림 3</w:t>
      </w:r>
      <w:r w:rsidR="00C0704B" w:rsidRPr="00EE72A7">
        <w:rPr>
          <w:rFonts w:hint="eastAsia"/>
          <w:bCs/>
        </w:rPr>
        <w:t>(그림 4로 변경)</w:t>
      </w:r>
      <w:r w:rsidRPr="00EE72A7">
        <w:rPr>
          <w:rFonts w:hint="eastAsia"/>
          <w:bCs/>
        </w:rPr>
        <w:t>과 그림 4</w:t>
      </w:r>
      <w:r w:rsidR="00AE55D1" w:rsidRPr="00EE72A7">
        <w:rPr>
          <w:rFonts w:hint="eastAsia"/>
          <w:bCs/>
        </w:rPr>
        <w:t>(그림 6로 변경)</w:t>
      </w:r>
      <w:r w:rsidRPr="00EE72A7">
        <w:rPr>
          <w:rFonts w:hint="eastAsia"/>
          <w:bCs/>
        </w:rPr>
        <w:t>가 아래와 같이 변경하였음을 근거로 첨부합니다.</w:t>
      </w:r>
      <w:r w:rsidR="00CD2EF5" w:rsidRPr="00EE72A7">
        <w:rPr>
          <w:rFonts w:hint="eastAsia"/>
          <w:bCs/>
        </w:rPr>
        <w:t xml:space="preserve"> Revision을 통해 그림이 3개가 추가됨으로써 그림의 넘버는 본문에는 변경되었으니 참고하시기 바랍니다.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E72A7" w:rsidRPr="00EE72A7" w:rsidTr="00D20742">
        <w:tc>
          <w:tcPr>
            <w:tcW w:w="9628" w:type="dxa"/>
          </w:tcPr>
          <w:p w:rsidR="00D20742" w:rsidRPr="00EE72A7" w:rsidRDefault="00D20742" w:rsidP="00D20742">
            <w:pPr>
              <w:pStyle w:val="a4"/>
              <w:jc w:val="center"/>
            </w:pPr>
            <w:r w:rsidRPr="00EE72A7">
              <w:rPr>
                <w:rFonts w:hint="eastAsia"/>
              </w:rPr>
              <w:t>[그림 3]</w:t>
            </w:r>
          </w:p>
          <w:p w:rsidR="00D20742" w:rsidRPr="00EE72A7" w:rsidRDefault="00D20742" w:rsidP="00D20742">
            <w:pPr>
              <w:pStyle w:val="a4"/>
              <w:jc w:val="center"/>
            </w:pPr>
            <w:r w:rsidRPr="00EE72A7">
              <w:rPr>
                <w:noProof/>
              </w:rPr>
              <w:drawing>
                <wp:inline distT="0" distB="0" distL="0" distR="0">
                  <wp:extent cx="4318000" cy="1257300"/>
                  <wp:effectExtent l="0" t="0" r="6350" b="0"/>
                  <wp:docPr id="1600114621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40756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2A7" w:rsidRPr="00EE72A7" w:rsidTr="00D20742">
        <w:tc>
          <w:tcPr>
            <w:tcW w:w="9628" w:type="dxa"/>
          </w:tcPr>
          <w:p w:rsidR="00D20742" w:rsidRPr="00EE72A7" w:rsidRDefault="00D20742" w:rsidP="00D20742">
            <w:pPr>
              <w:pStyle w:val="a4"/>
              <w:jc w:val="center"/>
            </w:pPr>
            <w:r w:rsidRPr="00EE72A7">
              <w:rPr>
                <w:rFonts w:hint="eastAsia"/>
              </w:rPr>
              <w:t>[그림 4]</w:t>
            </w:r>
          </w:p>
          <w:p w:rsidR="00D20742" w:rsidRPr="00EE72A7" w:rsidRDefault="00D20742" w:rsidP="00D20742">
            <w:pPr>
              <w:pStyle w:val="a4"/>
              <w:jc w:val="center"/>
            </w:pPr>
            <w:r w:rsidRPr="00EE72A7">
              <w:rPr>
                <w:noProof/>
              </w:rPr>
              <w:drawing>
                <wp:inline distT="0" distB="0" distL="0" distR="0">
                  <wp:extent cx="2559050" cy="901700"/>
                  <wp:effectExtent l="0" t="0" r="0" b="0"/>
                  <wp:docPr id="1484098612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40754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0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441A" w:rsidRPr="00EE72A7" w:rsidRDefault="00DA441A">
      <w:pPr>
        <w:wordWrap/>
        <w:autoSpaceDE/>
        <w:autoSpaceDN/>
        <w:rPr>
          <w:b/>
          <w:sz w:val="28"/>
          <w:szCs w:val="28"/>
        </w:rPr>
      </w:pPr>
      <w:r w:rsidRPr="00EE72A7">
        <w:br w:type="page"/>
      </w:r>
    </w:p>
    <w:p w:rsidR="00110104" w:rsidRPr="00EE72A7" w:rsidRDefault="00D279EA">
      <w:pPr>
        <w:pStyle w:val="2"/>
        <w:spacing w:after="0" w:line="240" w:lineRule="auto"/>
      </w:pPr>
      <w:r w:rsidRPr="00EE72A7">
        <w:rPr>
          <w:rFonts w:hint="eastAsia"/>
        </w:rPr>
        <w:lastRenderedPageBreak/>
        <w:t>심사자</w:t>
      </w:r>
      <w:r w:rsidR="007A35D0" w:rsidRPr="00EE72A7">
        <w:t xml:space="preserve"> #</w:t>
      </w:r>
      <w:r w:rsidRPr="00EE72A7">
        <w:rPr>
          <w:rFonts w:hint="eastAsia"/>
        </w:rPr>
        <w:t>2</w:t>
      </w:r>
    </w:p>
    <w:p w:rsidR="00110104" w:rsidRPr="00EE72A7" w:rsidRDefault="00383419">
      <w:pPr>
        <w:pStyle w:val="3"/>
      </w:pPr>
      <w:bookmarkStart w:id="5" w:name="_heading=h.l44893mh1gvh" w:colFirst="0" w:colLast="0"/>
      <w:bookmarkEnd w:id="5"/>
      <w:r w:rsidRPr="00EE72A7">
        <w:rPr>
          <w:rFonts w:hint="eastAsia"/>
        </w:rPr>
        <w:t xml:space="preserve">심사자 #2, 심사내용 </w:t>
      </w:r>
      <w:r w:rsidR="007A35D0" w:rsidRPr="00EE72A7">
        <w:t>#1</w:t>
      </w:r>
    </w:p>
    <w:tbl>
      <w:tblPr>
        <w:tblStyle w:val="afffffff3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110104" w:rsidRPr="00EE72A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104" w:rsidRPr="00EE72A7" w:rsidRDefault="005644ED" w:rsidP="00F32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438"/>
              </w:tabs>
              <w:spacing w:after="0" w:line="240" w:lineRule="auto"/>
              <w:jc w:val="left"/>
              <w:rPr>
                <w:bCs/>
                <w:sz w:val="18"/>
                <w:szCs w:val="18"/>
              </w:rPr>
            </w:pPr>
            <w:r w:rsidRPr="00EE72A7">
              <w:rPr>
                <w:bCs/>
              </w:rPr>
              <w:t>- &lt;그림 5&gt;의 Feature Value 라벨은 시각성 확보를 위해 글꼴 크기를 확대해 주시기 바랍니다.</w:t>
            </w:r>
            <w:r w:rsidR="00F32988" w:rsidRPr="00EE72A7">
              <w:rPr>
                <w:bCs/>
              </w:rPr>
              <w:tab/>
            </w:r>
          </w:p>
        </w:tc>
      </w:tr>
    </w:tbl>
    <w:p w:rsidR="00110104" w:rsidRPr="00EE72A7" w:rsidRDefault="00110104">
      <w:pPr>
        <w:rPr>
          <w:b/>
        </w:rPr>
      </w:pPr>
    </w:p>
    <w:p w:rsidR="00110104" w:rsidRPr="00EE72A7" w:rsidRDefault="005644ED">
      <w:r w:rsidRPr="00EE72A7">
        <w:rPr>
          <w:rFonts w:hint="eastAsia"/>
          <w:b/>
        </w:rPr>
        <w:t>저자답변</w:t>
      </w:r>
      <w:r w:rsidR="007A35D0" w:rsidRPr="00EE72A7">
        <w:rPr>
          <w:b/>
        </w:rPr>
        <w:t>:</w:t>
      </w:r>
      <w:r w:rsidR="007A35D0" w:rsidRPr="00EE72A7">
        <w:t xml:space="preserve"> </w:t>
      </w:r>
      <w:r w:rsidR="00D020A3" w:rsidRPr="00EE72A7">
        <w:rPr>
          <w:rFonts w:hint="eastAsia"/>
        </w:rPr>
        <w:t>결과의 가독성을 높이는데 의견 주셔서 정말 감사합니다. 그림 5의 모든 Y축의 폰트를 증가시켰습니다.</w:t>
      </w:r>
      <w:r w:rsidR="002B036D" w:rsidRPr="00EE72A7">
        <w:rPr>
          <w:rFonts w:hint="eastAsia"/>
        </w:rPr>
        <w:t xml:space="preserve"> Figure 공간 상의 제약으로 인해 폰트가 증가되면 라벨들이 겹치기도 하고 상대적으로 색상표시</w:t>
      </w:r>
      <w:r w:rsidR="007E32D9" w:rsidRPr="00EE72A7">
        <w:rPr>
          <w:rFonts w:hint="eastAsia"/>
        </w:rPr>
        <w:t>와</w:t>
      </w:r>
      <w:r w:rsidR="002B036D" w:rsidRPr="00EE72A7">
        <w:rPr>
          <w:rFonts w:hint="eastAsia"/>
        </w:rPr>
        <w:t xml:space="preserve"> </w:t>
      </w:r>
      <w:r w:rsidR="00566B4C" w:rsidRPr="00EE72A7">
        <w:rPr>
          <w:rFonts w:hint="eastAsia"/>
        </w:rPr>
        <w:t xml:space="preserve">다른 내용들이 </w:t>
      </w:r>
      <w:r w:rsidR="002B036D" w:rsidRPr="00EE72A7">
        <w:rPr>
          <w:rFonts w:hint="eastAsia"/>
        </w:rPr>
        <w:t>작아지는 제약과 논문 다단의 공간상 제약으로 무작정 폰트를 증가시킬 수는 없었음을 이해해 주시면 감사합니다. 추가적으로 폰트 크기 외에 선명도를 높여서 가독성을 높였습니다.</w:t>
      </w:r>
    </w:p>
    <w:p w:rsidR="00CC0541" w:rsidRPr="00EE72A7" w:rsidRDefault="00CC0541" w:rsidP="00CC0541">
      <w:pPr>
        <w:pStyle w:val="a4"/>
        <w:rPr>
          <w:shd w:val="clear" w:color="auto" w:fill="FF9900"/>
        </w:rPr>
      </w:pPr>
    </w:p>
    <w:p w:rsidR="00CC0541" w:rsidRPr="00EE72A7" w:rsidRDefault="00CC0541" w:rsidP="00CC05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>:</w:t>
      </w:r>
      <w:r w:rsidR="00E76CC0" w:rsidRPr="00EE72A7">
        <w:rPr>
          <w:rFonts w:hint="eastAsia"/>
          <w:bCs/>
        </w:rPr>
        <w:t xml:space="preserve"> 심사자님의 이해를 위해 </w:t>
      </w:r>
      <w:r w:rsidR="006B11B2" w:rsidRPr="00EE72A7">
        <w:rPr>
          <w:rFonts w:hint="eastAsia"/>
          <w:bCs/>
        </w:rPr>
        <w:t xml:space="preserve">그림 </w:t>
      </w:r>
      <w:r w:rsidR="002B036D" w:rsidRPr="00EE72A7">
        <w:rPr>
          <w:rFonts w:hint="eastAsia"/>
          <w:bCs/>
        </w:rPr>
        <w:t>5</w:t>
      </w:r>
      <w:r w:rsidR="005671C6" w:rsidRPr="00EE72A7">
        <w:rPr>
          <w:rFonts w:hint="eastAsia"/>
          <w:bCs/>
        </w:rPr>
        <w:t>(그림 8로 변경)</w:t>
      </w:r>
      <w:r w:rsidR="002B036D" w:rsidRPr="00EE72A7">
        <w:rPr>
          <w:rFonts w:hint="eastAsia"/>
          <w:bCs/>
        </w:rPr>
        <w:t>의 경부선에</w:t>
      </w:r>
      <w:r w:rsidR="006B11B2" w:rsidRPr="00EE72A7">
        <w:rPr>
          <w:rFonts w:hint="eastAsia"/>
          <w:bCs/>
        </w:rPr>
        <w:t xml:space="preserve"> </w:t>
      </w:r>
      <w:r w:rsidR="00E76CC0" w:rsidRPr="00EE72A7">
        <w:rPr>
          <w:rFonts w:hint="eastAsia"/>
          <w:bCs/>
        </w:rPr>
        <w:t>아래와 같이 변경하였음을 근거로 첨부합니다.</w:t>
      </w:r>
      <w:r w:rsidR="005671C6" w:rsidRPr="00EE72A7">
        <w:rPr>
          <w:rFonts w:hint="eastAsia"/>
          <w:bCs/>
        </w:rPr>
        <w:t xml:space="preserve"> Revision을 통해 그림이 3개가 추가됨으로써 그림의 넘버는 본문에는 변경되었으니 참고하시기 바랍니다.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E72A7" w:rsidRPr="00EE72A7" w:rsidTr="00BF77C5">
        <w:trPr>
          <w:jc w:val="center"/>
        </w:trPr>
        <w:tc>
          <w:tcPr>
            <w:tcW w:w="4814" w:type="dxa"/>
          </w:tcPr>
          <w:p w:rsidR="00D17935" w:rsidRPr="00EE72A7" w:rsidRDefault="00D17935" w:rsidP="00D17935">
            <w:pPr>
              <w:pStyle w:val="a4"/>
              <w:jc w:val="center"/>
              <w:rPr>
                <w:shd w:val="clear" w:color="auto" w:fill="FF9900"/>
              </w:rPr>
            </w:pPr>
            <w:r w:rsidRPr="00EE72A7">
              <w:rPr>
                <w:noProof/>
                <w:shd w:val="clear" w:color="auto" w:fill="FF9900"/>
              </w:rPr>
              <w:drawing>
                <wp:anchor distT="0" distB="0" distL="114300" distR="114300" simplePos="0" relativeHeight="251665408" behindDoc="0" locked="0" layoutInCell="1" allowOverlap="1" wp14:anchorId="30A30C40" wp14:editId="7A19CA50">
                  <wp:simplePos x="0" y="0"/>
                  <wp:positionH relativeFrom="column">
                    <wp:posOffset>204572</wp:posOffset>
                  </wp:positionH>
                  <wp:positionV relativeFrom="line">
                    <wp:posOffset>251111</wp:posOffset>
                  </wp:positionV>
                  <wp:extent cx="2519680" cy="2700020"/>
                  <wp:effectExtent l="0" t="0" r="0" b="5080"/>
                  <wp:wrapSquare wrapText="bothSides"/>
                  <wp:docPr id="476706048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34640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270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F4BBB">
              <w:rPr>
                <w:rFonts w:hint="eastAsia"/>
                <w:shd w:val="clear" w:color="auto" w:fill="FF9900"/>
              </w:rPr>
              <w:t>[기존]</w:t>
            </w:r>
          </w:p>
        </w:tc>
        <w:tc>
          <w:tcPr>
            <w:tcW w:w="4814" w:type="dxa"/>
          </w:tcPr>
          <w:p w:rsidR="00D17935" w:rsidRPr="00EE72A7" w:rsidRDefault="00D17935" w:rsidP="002B036D">
            <w:pPr>
              <w:pStyle w:val="a4"/>
              <w:jc w:val="center"/>
              <w:rPr>
                <w:shd w:val="clear" w:color="auto" w:fill="FF9900"/>
              </w:rPr>
            </w:pPr>
            <w:r w:rsidRPr="00EE72A7">
              <w:rPr>
                <w:noProof/>
                <w:shd w:val="clear" w:color="auto" w:fill="FF9900"/>
              </w:rPr>
              <w:drawing>
                <wp:anchor distT="0" distB="0" distL="114300" distR="114300" simplePos="0" relativeHeight="251667456" behindDoc="0" locked="0" layoutInCell="1" allowOverlap="1" wp14:anchorId="69A11F44" wp14:editId="65395B2D">
                  <wp:simplePos x="0" y="0"/>
                  <wp:positionH relativeFrom="column">
                    <wp:posOffset>206477</wp:posOffset>
                  </wp:positionH>
                  <wp:positionV relativeFrom="line">
                    <wp:posOffset>232960</wp:posOffset>
                  </wp:positionV>
                  <wp:extent cx="2519680" cy="2700020"/>
                  <wp:effectExtent l="0" t="0" r="0" b="5080"/>
                  <wp:wrapSquare wrapText="bothSides"/>
                  <wp:docPr id="1552350709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41272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270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E72A7">
              <w:rPr>
                <w:rFonts w:hint="eastAsia"/>
                <w:shd w:val="clear" w:color="auto" w:fill="FF9900"/>
              </w:rPr>
              <w:t>(변경)</w:t>
            </w:r>
          </w:p>
        </w:tc>
      </w:tr>
    </w:tbl>
    <w:p w:rsidR="00110104" w:rsidRPr="00EE72A7" w:rsidRDefault="00110104" w:rsidP="00F15984"/>
    <w:p w:rsidR="00110104" w:rsidRPr="00EE72A7" w:rsidRDefault="00EC529F" w:rsidP="00DA441A">
      <w:pPr>
        <w:pStyle w:val="3"/>
      </w:pPr>
      <w:bookmarkStart w:id="6" w:name="_heading=h.72cgfeatn6a2" w:colFirst="0" w:colLast="0"/>
      <w:bookmarkEnd w:id="6"/>
      <w:r w:rsidRPr="00EE72A7">
        <w:rPr>
          <w:rFonts w:hint="eastAsia"/>
        </w:rPr>
        <w:t>심사자 #2, 심사내용 #2</w:t>
      </w:r>
    </w:p>
    <w:tbl>
      <w:tblPr>
        <w:tblStyle w:val="afffffff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110104" w:rsidRPr="00EE72A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104" w:rsidRPr="00EE72A7" w:rsidRDefault="00BC5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 w:rsidRPr="00EE72A7">
              <w:t>- &lt;그림 3&gt;의 y축 단위는 ‘4x10</w:t>
            </w:r>
            <w:r w:rsidRPr="00EE72A7">
              <w:rPr>
                <w:rFonts w:ascii="Cambria Math" w:hAnsi="Cambria Math" w:cs="Cambria Math"/>
              </w:rPr>
              <w:t>⁶</w:t>
            </w:r>
            <w:r w:rsidRPr="00EE72A7">
              <w:rPr>
                <w:rFonts w:hint="eastAsia"/>
              </w:rPr>
              <w:t>’</w:t>
            </w:r>
            <w:r w:rsidRPr="00EE72A7">
              <w:t>과 같이 지수 형태로 표기하면 수치의 범위와 해석에 있어 더 명확하게 전달됩니다.</w:t>
            </w:r>
          </w:p>
        </w:tc>
      </w:tr>
    </w:tbl>
    <w:p w:rsidR="00110104" w:rsidRPr="00EE72A7" w:rsidRDefault="00110104"/>
    <w:p w:rsidR="00110104" w:rsidRPr="00EE72A7" w:rsidRDefault="002F6453" w:rsidP="00B80EEF">
      <w:pPr>
        <w:ind w:left="200" w:hangingChars="100" w:hanging="200"/>
        <w:rPr>
          <w:rFonts w:ascii="Cambria Math" w:hAnsi="Cambria Math" w:cs="Cambria Math"/>
        </w:rPr>
      </w:pPr>
      <w:r w:rsidRPr="00EE72A7">
        <w:rPr>
          <w:rFonts w:hint="eastAsia"/>
          <w:b/>
        </w:rPr>
        <w:t>저자답변</w:t>
      </w:r>
      <w:r w:rsidR="007A35D0" w:rsidRPr="00EE72A7">
        <w:rPr>
          <w:b/>
        </w:rPr>
        <w:t>:</w:t>
      </w:r>
      <w:r w:rsidR="007A35D0" w:rsidRPr="00EE72A7">
        <w:t xml:space="preserve"> </w:t>
      </w:r>
      <w:r w:rsidR="00B80EEF" w:rsidRPr="00EE72A7">
        <w:rPr>
          <w:rFonts w:hint="eastAsia"/>
        </w:rPr>
        <w:t xml:space="preserve">결과의 가독성을 높이는데 의견을 주셔서 감사합니다. 그림 3을 포함하여 그림 4까지 Y축의 표시단위를 변경하였습니다. 단, 말씀해주신 </w:t>
      </w:r>
      <w:r w:rsidR="00B80EEF" w:rsidRPr="00EE72A7">
        <w:t>4x10</w:t>
      </w:r>
      <w:r w:rsidR="00B80EEF" w:rsidRPr="00EE72A7">
        <w:rPr>
          <w:rFonts w:ascii="Cambria Math" w:hAnsi="Cambria Math" w:cs="Cambria Math"/>
        </w:rPr>
        <w:t>⁶</w:t>
      </w:r>
      <w:r w:rsidR="00B80EEF" w:rsidRPr="00EE72A7">
        <w:rPr>
          <w:rFonts w:ascii="Cambria Math" w:hAnsi="Cambria Math" w:cs="Cambria Math" w:hint="eastAsia"/>
        </w:rPr>
        <w:t>의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표현은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과학적인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인식에서는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효과적이지만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그렇지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않은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비즈니스나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일반적인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독자들까지도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고려하여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숫자들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사이에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콤마</w:t>
      </w:r>
      <w:r w:rsidR="00B80EEF" w:rsidRPr="00EE72A7">
        <w:rPr>
          <w:rFonts w:ascii="Cambria Math" w:hAnsi="Cambria Math" w:cs="Cambria Math" w:hint="eastAsia"/>
        </w:rPr>
        <w:t xml:space="preserve">(,) </w:t>
      </w:r>
      <w:r w:rsidR="00B80EEF" w:rsidRPr="00EE72A7">
        <w:rPr>
          <w:rFonts w:ascii="Cambria Math" w:hAnsi="Cambria Math" w:cs="Cambria Math" w:hint="eastAsia"/>
        </w:rPr>
        <w:t>표현식으로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변경하였으니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확인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및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이해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부탁드리겠습니다</w:t>
      </w:r>
      <w:r w:rsidR="00B80EEF" w:rsidRPr="00EE72A7">
        <w:rPr>
          <w:rFonts w:ascii="Cambria Math" w:hAnsi="Cambria Math" w:cs="Cambria Math" w:hint="eastAsia"/>
        </w:rPr>
        <w:t>.</w:t>
      </w:r>
    </w:p>
    <w:p w:rsidR="006322EA" w:rsidRPr="00EE72A7" w:rsidRDefault="006322EA" w:rsidP="006322EA">
      <w:pPr>
        <w:pStyle w:val="a4"/>
      </w:pPr>
    </w:p>
    <w:p w:rsidR="006322EA" w:rsidRPr="00EE72A7" w:rsidRDefault="006322EA" w:rsidP="00632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심사자님의 이해를 위해 그림 3</w:t>
      </w:r>
      <w:r w:rsidR="00763075" w:rsidRPr="00EE72A7">
        <w:rPr>
          <w:rFonts w:hint="eastAsia"/>
          <w:bCs/>
        </w:rPr>
        <w:t>(그림 4로 변경)</w:t>
      </w:r>
      <w:r w:rsidRPr="00EE72A7">
        <w:rPr>
          <w:rFonts w:hint="eastAsia"/>
          <w:bCs/>
        </w:rPr>
        <w:t>에 대해서만 아래와 같이 변경하였음을 근거로 첨부합니다.</w:t>
      </w:r>
      <w:r w:rsidR="00763075" w:rsidRPr="00EE72A7">
        <w:rPr>
          <w:rFonts w:hint="eastAsia"/>
          <w:bCs/>
        </w:rPr>
        <w:t xml:space="preserve"> Revision을 통해 그림이 3개가 추가됨으로써 그림의 넘버는 본문에는 변경되었으니 참고하시기 바랍니다.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E72A7" w:rsidRPr="00EE72A7" w:rsidTr="00EE7DCE">
        <w:tc>
          <w:tcPr>
            <w:tcW w:w="9628" w:type="dxa"/>
          </w:tcPr>
          <w:p w:rsidR="006322EA" w:rsidRPr="00EE72A7" w:rsidRDefault="006322EA" w:rsidP="00EE7DCE">
            <w:pPr>
              <w:pStyle w:val="a4"/>
              <w:jc w:val="center"/>
              <w:rPr>
                <w:shd w:val="clear" w:color="auto" w:fill="FF9900"/>
              </w:rPr>
            </w:pPr>
            <w:r w:rsidRPr="00EE72A7">
              <w:rPr>
                <w:noProof/>
                <w:shd w:val="clear" w:color="auto" w:fill="FF9900"/>
              </w:rPr>
              <w:drawing>
                <wp:anchor distT="0" distB="0" distL="114300" distR="114300" simplePos="0" relativeHeight="251661312" behindDoc="0" locked="0" layoutInCell="1" allowOverlap="1" wp14:anchorId="496901EE" wp14:editId="5C7BEC63">
                  <wp:simplePos x="0" y="0"/>
                  <wp:positionH relativeFrom="margin">
                    <wp:align>center</wp:align>
                  </wp:positionH>
                  <wp:positionV relativeFrom="margin">
                    <wp:align>bottom</wp:align>
                  </wp:positionV>
                  <wp:extent cx="4319905" cy="1440180"/>
                  <wp:effectExtent l="0" t="0" r="4445" b="7620"/>
                  <wp:wrapTopAndBottom/>
                  <wp:docPr id="1168168959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918691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9905" cy="1440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322EA" w:rsidRPr="00EE72A7" w:rsidTr="00EE7DCE">
        <w:tc>
          <w:tcPr>
            <w:tcW w:w="9628" w:type="dxa"/>
          </w:tcPr>
          <w:p w:rsidR="006322EA" w:rsidRPr="00EE72A7" w:rsidRDefault="006322EA" w:rsidP="00EE7DCE">
            <w:pPr>
              <w:pStyle w:val="a4"/>
              <w:jc w:val="center"/>
              <w:rPr>
                <w:shd w:val="clear" w:color="auto" w:fill="FF9900"/>
              </w:rPr>
            </w:pPr>
            <w:r w:rsidRPr="00EE72A7">
              <w:rPr>
                <w:noProof/>
                <w:shd w:val="clear" w:color="auto" w:fill="FF9900"/>
              </w:rPr>
              <w:drawing>
                <wp:inline distT="0" distB="0" distL="0" distR="0" wp14:anchorId="19288582" wp14:editId="42968326">
                  <wp:extent cx="4318000" cy="1257300"/>
                  <wp:effectExtent l="0" t="0" r="6350" b="0"/>
                  <wp:docPr id="1937197309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918688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22EA" w:rsidRPr="00EE72A7" w:rsidRDefault="006322EA" w:rsidP="00EE7DCE">
            <w:pPr>
              <w:pStyle w:val="a4"/>
              <w:jc w:val="center"/>
              <w:rPr>
                <w:shd w:val="clear" w:color="auto" w:fill="FF9900"/>
              </w:rPr>
            </w:pPr>
          </w:p>
        </w:tc>
      </w:tr>
    </w:tbl>
    <w:p w:rsidR="00E55155" w:rsidRPr="00EE72A7" w:rsidRDefault="00E55155" w:rsidP="00C52CF3"/>
    <w:p w:rsidR="00C52CF3" w:rsidRPr="00EE72A7" w:rsidRDefault="00C52CF3" w:rsidP="00C52CF3">
      <w:pPr>
        <w:pStyle w:val="3"/>
      </w:pPr>
      <w:r w:rsidRPr="00EE72A7">
        <w:rPr>
          <w:rFonts w:hint="eastAsia"/>
        </w:rPr>
        <w:t>심사자 #2, 심사내용 #3</w:t>
      </w:r>
    </w:p>
    <w:tbl>
      <w:tblPr>
        <w:tblStyle w:val="afffffff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52CF3" w:rsidRPr="00EE72A7" w:rsidTr="000570C2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CF3" w:rsidRPr="00EE72A7" w:rsidRDefault="00C52CF3" w:rsidP="00057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 w:rsidRPr="00EE72A7">
              <w:t>- &lt;표 3&gt;과 같은 주요 표는 독자의 이해를 돕기 위해 시각화(예: 막대그래프)로 병행 제시하는 것이 효과적입니다. 아래는 예시 코드이며, 실제 데이터에 맞게 수정해 사용해 주시기 바랍니다.</w:t>
            </w:r>
            <w:r w:rsidRPr="00EE72A7">
              <w:br/>
              <w:t>import pandas as pd</w:t>
            </w:r>
            <w:r w:rsidRPr="00EE72A7">
              <w:br/>
              <w:t>import matplotlib.pyplot as plt</w:t>
            </w:r>
            <w:r w:rsidRPr="00EE72A7">
              <w:br/>
              <w:t>plt.rcParams['font.family'] = 'NanumGothic'</w:t>
            </w:r>
            <w:r w:rsidRPr="00EE72A7">
              <w:br/>
            </w:r>
            <w:r w:rsidRPr="00EE72A7">
              <w:br/>
              <w:t>data = {</w:t>
            </w:r>
            <w:r w:rsidRPr="00EE72A7">
              <w:br/>
              <w:t>"노선": ["경부선", "경전선", "동해선", "전라선", "호남선"],</w:t>
            </w:r>
            <w:r w:rsidRPr="00EE72A7">
              <w:br/>
              <w:t>"알고리즘": ["LightGBM", "LightGBM", "XGBoost", "LSTM", "XGBoost"],</w:t>
            </w:r>
            <w:r w:rsidRPr="00EE72A7">
              <w:br/>
              <w:t>"MSPE(%)": [0.30, 0.94, 0.91, 0.99, 0.37],</w:t>
            </w:r>
            <w:r w:rsidRPr="00EE72A7">
              <w:br/>
              <w:t>"MAPE(%)": [4.39, 9.35, 9.18, 9.77, 5.22],</w:t>
            </w:r>
            <w:r w:rsidRPr="00EE72A7">
              <w:br/>
              <w:t>"MedAPE(%)": [2.79, 9.22, 8.40, 9.92, 5.17],</w:t>
            </w:r>
            <w:r w:rsidRPr="00EE72A7">
              <w:br/>
              <w:t>"평균오차(%)": [2.49, 6.50, 6.16, 6.89, 3.59]</w:t>
            </w:r>
            <w:r w:rsidRPr="00EE72A7">
              <w:br/>
              <w:t>}</w:t>
            </w:r>
            <w:r w:rsidRPr="00EE72A7">
              <w:br/>
            </w:r>
            <w:r w:rsidRPr="00EE72A7">
              <w:br/>
              <w:t>df = pd.DataFrame(data)</w:t>
            </w:r>
            <w:r w:rsidRPr="00EE72A7">
              <w:br/>
            </w:r>
            <w:r w:rsidRPr="00EE72A7">
              <w:br/>
              <w:t># 그래프 생성</w:t>
            </w:r>
            <w:r w:rsidRPr="00EE72A7">
              <w:br/>
              <w:t>plt.figure(figsize=(10, 6))</w:t>
            </w:r>
            <w:r w:rsidRPr="00EE72A7">
              <w:br/>
            </w:r>
            <w:r w:rsidRPr="00EE72A7">
              <w:lastRenderedPageBreak/>
              <w:t>bar_width = 0.2</w:t>
            </w:r>
            <w:r w:rsidRPr="00EE72A7">
              <w:br/>
              <w:t>index = range(len(df))</w:t>
            </w:r>
            <w:r w:rsidRPr="00EE72A7">
              <w:br/>
            </w:r>
            <w:r w:rsidRPr="00EE72A7">
              <w:br/>
              <w:t>plt.bar(index, df["MSPE(%)"], bar_width, label="MSPE")</w:t>
            </w:r>
            <w:r w:rsidRPr="00EE72A7">
              <w:br/>
              <w:t>plt.bar([i + bar_width for i in index], df["MAPE(%)"], bar_width, label="MAPE")</w:t>
            </w:r>
            <w:r w:rsidRPr="00EE72A7">
              <w:br/>
              <w:t>plt.bar([i + bar_width*2 for i in index], df["MedAPE(%)"], bar_width, label="MedAPE")</w:t>
            </w:r>
            <w:r w:rsidRPr="00EE72A7">
              <w:br/>
              <w:t>plt.bar([i + bar_width*3 for i in index], df["평균오차(%)"], bar_width, label="평균오차")</w:t>
            </w:r>
            <w:r w:rsidRPr="00EE72A7">
              <w:br/>
            </w:r>
            <w:r w:rsidRPr="00EE72A7">
              <w:br/>
              <w:t>plt.xlabel("노선")</w:t>
            </w:r>
            <w:r w:rsidRPr="00EE72A7">
              <w:br/>
              <w:t>plt.ylabel("오차율 (%)")</w:t>
            </w:r>
            <w:r w:rsidRPr="00EE72A7">
              <w:br/>
              <w:t>plt.title("KTX 노선별 예측 성능 비교")</w:t>
            </w:r>
            <w:r w:rsidRPr="00EE72A7">
              <w:br/>
              <w:t>plt.xticks([i + bar_width*1.5 for i in index], df["노선"])</w:t>
            </w:r>
            <w:r w:rsidRPr="00EE72A7">
              <w:br/>
              <w:t>plt.legend()</w:t>
            </w:r>
            <w:r w:rsidRPr="00EE72A7">
              <w:br/>
              <w:t>plt.tight_layout()</w:t>
            </w:r>
            <w:r w:rsidRPr="00EE72A7">
              <w:br/>
              <w:t>plt.grid(axis='y', linestyle='--', alpha=0.7)</w:t>
            </w:r>
            <w:r w:rsidRPr="00EE72A7">
              <w:br/>
            </w:r>
            <w:r w:rsidRPr="00EE72A7">
              <w:br/>
              <w:t>plt.show()</w:t>
            </w:r>
          </w:p>
        </w:tc>
      </w:tr>
    </w:tbl>
    <w:p w:rsidR="00C52CF3" w:rsidRPr="00EE72A7" w:rsidRDefault="00C52CF3" w:rsidP="00C52CF3"/>
    <w:p w:rsidR="00C52CF3" w:rsidRDefault="00C52CF3" w:rsidP="00EE72A7">
      <w:pPr>
        <w:ind w:left="200" w:hangingChars="100" w:hanging="200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t xml:space="preserve"> </w:t>
      </w:r>
      <w:r w:rsidR="00EE72A7">
        <w:rPr>
          <w:rFonts w:hint="eastAsia"/>
        </w:rPr>
        <w:t>표 3에 대한 성능 비교 시각화를 그림 5로써 추가함으로써 독자들의 이해도를 높일 수 있었습니다감사합니다.</w:t>
      </w:r>
    </w:p>
    <w:p w:rsidR="001A569A" w:rsidRDefault="001A569A" w:rsidP="001A569A">
      <w:pPr>
        <w:pStyle w:val="a4"/>
      </w:pPr>
    </w:p>
    <w:p w:rsidR="001A569A" w:rsidRDefault="001A569A" w:rsidP="001A56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  <w:r>
        <w:rPr>
          <w:rFonts w:hint="eastAsia"/>
          <w:bCs/>
        </w:rPr>
        <w:t>그림 5가 아래와 같이</w:t>
      </w:r>
      <w:r w:rsidRPr="00EE72A7">
        <w:rPr>
          <w:rFonts w:hint="eastAsia"/>
          <w:bCs/>
        </w:rPr>
        <w:t xml:space="preserve"> </w:t>
      </w:r>
      <w:r>
        <w:rPr>
          <w:rFonts w:hint="eastAsia"/>
          <w:bCs/>
        </w:rPr>
        <w:t>추가되었음</w:t>
      </w:r>
      <w:r w:rsidRPr="00EE72A7">
        <w:rPr>
          <w:rFonts w:hint="eastAsia"/>
          <w:bCs/>
        </w:rPr>
        <w:t xml:space="preserve">을 근거로 첨부합니다.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569A" w:rsidTr="001A569A">
        <w:tc>
          <w:tcPr>
            <w:tcW w:w="9628" w:type="dxa"/>
          </w:tcPr>
          <w:p w:rsidR="001A569A" w:rsidRDefault="00DD2DCC" w:rsidP="00DD2DCC">
            <w:pPr>
              <w:jc w:val="center"/>
              <w:rPr>
                <w:bCs/>
              </w:rPr>
            </w:pPr>
            <w:r>
              <w:rPr>
                <w:noProof/>
              </w:rPr>
              <w:drawing>
                <wp:inline distT="0" distB="0" distL="0" distR="0">
                  <wp:extent cx="4968875" cy="1959092"/>
                  <wp:effectExtent l="0" t="0" r="3175" b="3175"/>
                  <wp:docPr id="380973093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9668" cy="1963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2CF3" w:rsidRPr="00EE72A7" w:rsidRDefault="00C52CF3" w:rsidP="001A569A"/>
    <w:p w:rsidR="004244A0" w:rsidRPr="00EE72A7" w:rsidRDefault="004244A0" w:rsidP="004244A0">
      <w:pPr>
        <w:pStyle w:val="3"/>
      </w:pPr>
      <w:r w:rsidRPr="00EE72A7">
        <w:rPr>
          <w:rFonts w:hint="eastAsia"/>
        </w:rPr>
        <w:t>심사자 #2, 심사내용 #4</w:t>
      </w:r>
    </w:p>
    <w:tbl>
      <w:tblPr>
        <w:tblStyle w:val="afffffff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244A0" w:rsidRPr="00EE72A7" w:rsidTr="000570C2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4A0" w:rsidRPr="00EE72A7" w:rsidRDefault="00E9778B" w:rsidP="00057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 w:rsidRPr="00EE72A7">
              <w:t>- &lt;표 4&gt;과 같은 주요 표는 독자의 이해를 돕기 위해 시각화(예: 막대그래프)로 병행 제시하는 것이 효과적입니다. 아래는 예시 코드이며, 실제 데이터에 맞게 수정해 사용해 주시기 바랍니다.</w:t>
            </w:r>
            <w:r w:rsidRPr="00EE72A7">
              <w:br/>
              <w:t>import matplotlib.pyplot as plt</w:t>
            </w:r>
            <w:r w:rsidRPr="00EE72A7">
              <w:br/>
              <w:t>plt.rcParams['font.family'] = 'NanumGothic'</w:t>
            </w:r>
            <w:r w:rsidRPr="00EE72A7">
              <w:br/>
            </w:r>
            <w:r w:rsidRPr="00EE72A7">
              <w:br/>
            </w:r>
            <w:r w:rsidRPr="00EE72A7">
              <w:lastRenderedPageBreak/>
              <w:t>labels = ["경부선", "경전선", "동해선"]</w:t>
            </w:r>
            <w:r w:rsidRPr="00EE72A7">
              <w:br/>
              <w:t>year_2019 = [3000064, 552302, 470230]</w:t>
            </w:r>
            <w:r w:rsidRPr="00EE72A7">
              <w:br/>
              <w:t>year_2024 = [3418760, 675125, 573080]</w:t>
            </w:r>
            <w:r w:rsidRPr="00EE72A7">
              <w:br/>
              <w:t>year_2025 = [3261319, 624792, 521400]</w:t>
            </w:r>
            <w:r w:rsidRPr="00EE72A7">
              <w:br/>
            </w:r>
            <w:r w:rsidRPr="00EE72A7">
              <w:br/>
              <w:t>x = range(len(labels))</w:t>
            </w:r>
            <w:r w:rsidRPr="00EE72A7">
              <w:br/>
              <w:t>bar_width = 0.25</w:t>
            </w:r>
            <w:r w:rsidRPr="00EE72A7">
              <w:br/>
            </w:r>
            <w:r w:rsidRPr="00EE72A7">
              <w:br/>
              <w:t># 막대그래프 그리기</w:t>
            </w:r>
            <w:r w:rsidRPr="00EE72A7">
              <w:br/>
              <w:t>plt.figure(figsize=(10, 6))</w:t>
            </w:r>
            <w:r w:rsidRPr="00EE72A7">
              <w:br/>
              <w:t>plt.bar(x, year_2019, width=bar_width, label='2019년')</w:t>
            </w:r>
            <w:r w:rsidRPr="00EE72A7">
              <w:br/>
              <w:t>plt.bar([i + bar_width for i in x], year_2024, width=bar_width, label='2024년')</w:t>
            </w:r>
            <w:r w:rsidRPr="00EE72A7">
              <w:br/>
              <w:t>plt.bar([i + bar_width * 2 for i in x], year_2025, width=bar_width, label='2025년 예측')</w:t>
            </w:r>
            <w:r w:rsidRPr="00EE72A7">
              <w:br/>
            </w:r>
            <w:r w:rsidRPr="00EE72A7">
              <w:br/>
              <w:t>plt.xlabel("노선")</w:t>
            </w:r>
            <w:r w:rsidRPr="00EE72A7">
              <w:br/>
              <w:t>plt.ylabel("승차 인원수 (명)")</w:t>
            </w:r>
            <w:r w:rsidRPr="00EE72A7">
              <w:br/>
              <w:t>plt.title("KTX 노선별 연도별 승차 인원수 비교")</w:t>
            </w:r>
            <w:r w:rsidRPr="00EE72A7">
              <w:br/>
              <w:t>plt.xticks([i + bar_width for i in x], labels)</w:t>
            </w:r>
            <w:r w:rsidRPr="00EE72A7">
              <w:br/>
              <w:t>plt.legend()</w:t>
            </w:r>
            <w:r w:rsidRPr="00EE72A7">
              <w:br/>
              <w:t>plt.grid(axis='y', linestyle='--', alpha=0.7)</w:t>
            </w:r>
            <w:r w:rsidRPr="00EE72A7">
              <w:br/>
            </w:r>
            <w:r w:rsidRPr="00EE72A7">
              <w:br/>
              <w:t>plt.tight_layout()</w:t>
            </w:r>
            <w:r w:rsidRPr="00EE72A7">
              <w:br/>
              <w:t>plt.show()</w:t>
            </w:r>
          </w:p>
        </w:tc>
      </w:tr>
    </w:tbl>
    <w:p w:rsidR="004244A0" w:rsidRPr="00EE72A7" w:rsidRDefault="004244A0" w:rsidP="004244A0"/>
    <w:p w:rsidR="004244A0" w:rsidRPr="00EE72A7" w:rsidRDefault="004244A0" w:rsidP="004244A0"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t xml:space="preserve"> </w:t>
      </w:r>
      <w:r w:rsidR="006A5BCF">
        <w:rPr>
          <w:rFonts w:hint="eastAsia"/>
        </w:rPr>
        <w:t>표 4에 대한 성능 비교 시각화를 그림 7로써 추가함으로써 독자들의 이해도를 높일 수 있었습니다감사합니다.</w:t>
      </w:r>
    </w:p>
    <w:p w:rsidR="004244A0" w:rsidRPr="00EE72A7" w:rsidRDefault="004244A0" w:rsidP="004244A0">
      <w:pPr>
        <w:pStyle w:val="a4"/>
      </w:pPr>
    </w:p>
    <w:p w:rsidR="00D61160" w:rsidRDefault="00D61160" w:rsidP="00D61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  <w:r>
        <w:rPr>
          <w:rFonts w:hint="eastAsia"/>
          <w:bCs/>
        </w:rPr>
        <w:t>그림 7가 아래와 같이</w:t>
      </w:r>
      <w:r w:rsidRPr="00EE72A7">
        <w:rPr>
          <w:rFonts w:hint="eastAsia"/>
          <w:bCs/>
        </w:rPr>
        <w:t xml:space="preserve"> </w:t>
      </w:r>
      <w:r>
        <w:rPr>
          <w:rFonts w:hint="eastAsia"/>
          <w:bCs/>
        </w:rPr>
        <w:t>추가되었음</w:t>
      </w:r>
      <w:r w:rsidRPr="00EE72A7">
        <w:rPr>
          <w:rFonts w:hint="eastAsia"/>
          <w:bCs/>
        </w:rPr>
        <w:t xml:space="preserve">을 근거로 첨부합니다.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61160" w:rsidTr="009A6F18">
        <w:tc>
          <w:tcPr>
            <w:tcW w:w="9628" w:type="dxa"/>
          </w:tcPr>
          <w:p w:rsidR="00D61160" w:rsidRDefault="005761CD" w:rsidP="005761CD">
            <w:pPr>
              <w:jc w:val="center"/>
              <w:rPr>
                <w:bCs/>
              </w:rPr>
            </w:pPr>
            <w:r>
              <w:rPr>
                <w:noProof/>
              </w:rPr>
              <w:drawing>
                <wp:inline distT="0" distB="0" distL="0" distR="0">
                  <wp:extent cx="5070475" cy="2512089"/>
                  <wp:effectExtent l="0" t="0" r="0" b="2540"/>
                  <wp:docPr id="2105947012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3101" cy="251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0104" w:rsidRPr="00EE72A7" w:rsidRDefault="007A35D0">
      <w:pPr>
        <w:jc w:val="right"/>
      </w:pPr>
      <w:r w:rsidRPr="00EE72A7">
        <w:rPr>
          <w:rFonts w:ascii="Segoe UI Emoji" w:hAnsi="Segoe UI Emoji" w:cs="Segoe UI Emoji"/>
        </w:rPr>
        <w:t>⬛</w:t>
      </w:r>
    </w:p>
    <w:sectPr w:rsidR="00110104" w:rsidRPr="00EE72A7">
      <w:pgSz w:w="11906" w:h="16838"/>
      <w:pgMar w:top="1134" w:right="1134" w:bottom="1134" w:left="1134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6358E" w:rsidRDefault="0016358E">
      <w:pPr>
        <w:spacing w:after="0" w:line="240" w:lineRule="auto"/>
      </w:pPr>
      <w:r>
        <w:separator/>
      </w:r>
    </w:p>
  </w:endnote>
  <w:endnote w:type="continuationSeparator" w:id="0">
    <w:p w:rsidR="0016358E" w:rsidRDefault="0016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6358E" w:rsidRDefault="0016358E">
      <w:pPr>
        <w:spacing w:after="0" w:line="240" w:lineRule="auto"/>
      </w:pPr>
      <w:r>
        <w:separator/>
      </w:r>
    </w:p>
  </w:footnote>
  <w:footnote w:type="continuationSeparator" w:id="0">
    <w:p w:rsidR="0016358E" w:rsidRDefault="00163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74E"/>
    <w:multiLevelType w:val="multilevel"/>
    <w:tmpl w:val="D0305C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F6116"/>
    <w:multiLevelType w:val="multilevel"/>
    <w:tmpl w:val="A6E088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C712B"/>
    <w:multiLevelType w:val="multilevel"/>
    <w:tmpl w:val="927AF6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8861CC"/>
    <w:multiLevelType w:val="multilevel"/>
    <w:tmpl w:val="414693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016C58"/>
    <w:multiLevelType w:val="multilevel"/>
    <w:tmpl w:val="57A6E0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25935523">
    <w:abstractNumId w:val="0"/>
  </w:num>
  <w:num w:numId="2" w16cid:durableId="560991144">
    <w:abstractNumId w:val="2"/>
  </w:num>
  <w:num w:numId="3" w16cid:durableId="1912501542">
    <w:abstractNumId w:val="4"/>
  </w:num>
  <w:num w:numId="4" w16cid:durableId="257369919">
    <w:abstractNumId w:val="3"/>
  </w:num>
  <w:num w:numId="5" w16cid:durableId="328027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104"/>
    <w:rsid w:val="00020960"/>
    <w:rsid w:val="0002309C"/>
    <w:rsid w:val="00045DDA"/>
    <w:rsid w:val="00062D59"/>
    <w:rsid w:val="000D3712"/>
    <w:rsid w:val="000F167F"/>
    <w:rsid w:val="000F4BBC"/>
    <w:rsid w:val="00107A5F"/>
    <w:rsid w:val="00110104"/>
    <w:rsid w:val="00111D38"/>
    <w:rsid w:val="0012399B"/>
    <w:rsid w:val="001321B4"/>
    <w:rsid w:val="00133E5E"/>
    <w:rsid w:val="0016358E"/>
    <w:rsid w:val="00175161"/>
    <w:rsid w:val="001A569A"/>
    <w:rsid w:val="001D60D9"/>
    <w:rsid w:val="001E5E85"/>
    <w:rsid w:val="00210BC9"/>
    <w:rsid w:val="00240E79"/>
    <w:rsid w:val="00243745"/>
    <w:rsid w:val="00247841"/>
    <w:rsid w:val="002726C7"/>
    <w:rsid w:val="00283D10"/>
    <w:rsid w:val="002840E2"/>
    <w:rsid w:val="002A7231"/>
    <w:rsid w:val="002B036D"/>
    <w:rsid w:val="002B7A8C"/>
    <w:rsid w:val="002E3437"/>
    <w:rsid w:val="002E6339"/>
    <w:rsid w:val="002E6952"/>
    <w:rsid w:val="002F6453"/>
    <w:rsid w:val="00323255"/>
    <w:rsid w:val="00335A7B"/>
    <w:rsid w:val="00383419"/>
    <w:rsid w:val="003920DF"/>
    <w:rsid w:val="003E00F1"/>
    <w:rsid w:val="003F0946"/>
    <w:rsid w:val="00407E48"/>
    <w:rsid w:val="004244A0"/>
    <w:rsid w:val="00440656"/>
    <w:rsid w:val="00480122"/>
    <w:rsid w:val="004F4BBB"/>
    <w:rsid w:val="00514F2C"/>
    <w:rsid w:val="00553F52"/>
    <w:rsid w:val="00560674"/>
    <w:rsid w:val="00563A18"/>
    <w:rsid w:val="005644ED"/>
    <w:rsid w:val="00566B4C"/>
    <w:rsid w:val="005671C6"/>
    <w:rsid w:val="005761CD"/>
    <w:rsid w:val="005D67CC"/>
    <w:rsid w:val="006322EA"/>
    <w:rsid w:val="00664A12"/>
    <w:rsid w:val="006979FA"/>
    <w:rsid w:val="006A5BCF"/>
    <w:rsid w:val="006B11B2"/>
    <w:rsid w:val="007233AD"/>
    <w:rsid w:val="00763075"/>
    <w:rsid w:val="007A35D0"/>
    <w:rsid w:val="007A66CC"/>
    <w:rsid w:val="007E32D9"/>
    <w:rsid w:val="007E341A"/>
    <w:rsid w:val="00812F4F"/>
    <w:rsid w:val="00853395"/>
    <w:rsid w:val="008A1162"/>
    <w:rsid w:val="008B6675"/>
    <w:rsid w:val="008C0AB3"/>
    <w:rsid w:val="009059E2"/>
    <w:rsid w:val="00952844"/>
    <w:rsid w:val="009908F6"/>
    <w:rsid w:val="009E3FF6"/>
    <w:rsid w:val="00A07EB9"/>
    <w:rsid w:val="00A33537"/>
    <w:rsid w:val="00AB24DB"/>
    <w:rsid w:val="00AD5A4C"/>
    <w:rsid w:val="00AE55D1"/>
    <w:rsid w:val="00B34300"/>
    <w:rsid w:val="00B6372A"/>
    <w:rsid w:val="00B80EEF"/>
    <w:rsid w:val="00BC5227"/>
    <w:rsid w:val="00BF77C5"/>
    <w:rsid w:val="00C03967"/>
    <w:rsid w:val="00C0704B"/>
    <w:rsid w:val="00C52CF3"/>
    <w:rsid w:val="00C66952"/>
    <w:rsid w:val="00CB2C67"/>
    <w:rsid w:val="00CC0541"/>
    <w:rsid w:val="00CD2EF5"/>
    <w:rsid w:val="00CD3529"/>
    <w:rsid w:val="00CF1C2D"/>
    <w:rsid w:val="00D020A3"/>
    <w:rsid w:val="00D17935"/>
    <w:rsid w:val="00D20742"/>
    <w:rsid w:val="00D279EA"/>
    <w:rsid w:val="00D4562A"/>
    <w:rsid w:val="00D61160"/>
    <w:rsid w:val="00D74AC7"/>
    <w:rsid w:val="00DA441A"/>
    <w:rsid w:val="00DD2DCC"/>
    <w:rsid w:val="00DD48DA"/>
    <w:rsid w:val="00E55155"/>
    <w:rsid w:val="00E76CC0"/>
    <w:rsid w:val="00E9778B"/>
    <w:rsid w:val="00EB6E6A"/>
    <w:rsid w:val="00EC529F"/>
    <w:rsid w:val="00ED755B"/>
    <w:rsid w:val="00EE72A7"/>
    <w:rsid w:val="00F15984"/>
    <w:rsid w:val="00F32988"/>
    <w:rsid w:val="00F33E80"/>
    <w:rsid w:val="00FA1F5D"/>
    <w:rsid w:val="00FC3D79"/>
    <w:rsid w:val="00FD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DE96"/>
  <w15:docId w15:val="{A2EC7657-C2B1-45C9-83A1-FC7612EA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A5F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CA5DEC"/>
    <w:pPr>
      <w:wordWrap w:val="0"/>
      <w:autoSpaceDE w:val="0"/>
      <w:autoSpaceDN w:val="0"/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CA5D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A5DEC"/>
    <w:rPr>
      <w:color w:val="0000FF"/>
      <w:u w:val="single"/>
    </w:rPr>
  </w:style>
  <w:style w:type="table" w:styleId="a7">
    <w:name w:val="Table Grid"/>
    <w:basedOn w:val="a1"/>
    <w:uiPriority w:val="39"/>
    <w:rsid w:val="0017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ED37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D374A"/>
  </w:style>
  <w:style w:type="paragraph" w:styleId="a9">
    <w:name w:val="footer"/>
    <w:basedOn w:val="a"/>
    <w:link w:val="Char0"/>
    <w:uiPriority w:val="99"/>
    <w:unhideWhenUsed/>
    <w:rsid w:val="00ED37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D374A"/>
  </w:style>
  <w:style w:type="paragraph" w:styleId="aa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f9">
    <w:name w:val="Balloon Text"/>
    <w:basedOn w:val="a"/>
    <w:link w:val="Char1"/>
    <w:uiPriority w:val="99"/>
    <w:semiHidden/>
    <w:unhideWhenUsed/>
    <w:rsid w:val="004867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fff9"/>
    <w:uiPriority w:val="99"/>
    <w:semiHidden/>
    <w:rsid w:val="00486731"/>
    <w:rPr>
      <w:rFonts w:asciiTheme="majorHAnsi" w:eastAsiaTheme="majorEastAsia" w:hAnsiTheme="majorHAnsi" w:cstheme="majorBidi"/>
      <w:sz w:val="18"/>
      <w:szCs w:val="18"/>
    </w:rPr>
  </w:style>
  <w:style w:type="character" w:styleId="affffa">
    <w:name w:val="annotation reference"/>
    <w:basedOn w:val="a0"/>
    <w:uiPriority w:val="99"/>
    <w:semiHidden/>
    <w:unhideWhenUsed/>
    <w:rsid w:val="00486731"/>
    <w:rPr>
      <w:sz w:val="16"/>
      <w:szCs w:val="16"/>
    </w:rPr>
  </w:style>
  <w:style w:type="paragraph" w:styleId="affffb">
    <w:name w:val="annotation text"/>
    <w:basedOn w:val="a"/>
    <w:link w:val="Char2"/>
    <w:uiPriority w:val="99"/>
    <w:semiHidden/>
    <w:unhideWhenUsed/>
    <w:rsid w:val="00486731"/>
    <w:pPr>
      <w:spacing w:line="240" w:lineRule="auto"/>
    </w:pPr>
  </w:style>
  <w:style w:type="character" w:customStyle="1" w:styleId="Char2">
    <w:name w:val="메모 텍스트 Char"/>
    <w:basedOn w:val="a0"/>
    <w:link w:val="affffb"/>
    <w:uiPriority w:val="99"/>
    <w:semiHidden/>
    <w:rsid w:val="00486731"/>
  </w:style>
  <w:style w:type="table" w:customStyle="1" w:styleId="a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f5">
    <w:name w:val="Body Text"/>
    <w:basedOn w:val="a"/>
    <w:link w:val="Char3"/>
    <w:uiPriority w:val="99"/>
    <w:semiHidden/>
    <w:unhideWhenUsed/>
    <w:rsid w:val="0002309C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</w:rPr>
  </w:style>
  <w:style w:type="character" w:customStyle="1" w:styleId="Char3">
    <w:name w:val="본문 Char"/>
    <w:basedOn w:val="a0"/>
    <w:link w:val="afffffff5"/>
    <w:uiPriority w:val="99"/>
    <w:semiHidden/>
    <w:rsid w:val="0002309C"/>
    <w:rPr>
      <w:rFonts w:ascii="함초롬바탕" w:eastAsia="굴림" w:hAnsi="굴림" w:cs="굴림"/>
      <w:color w:val="000000"/>
    </w:rPr>
  </w:style>
  <w:style w:type="paragraph" w:styleId="afffffff6">
    <w:name w:val="List Paragraph"/>
    <w:basedOn w:val="a"/>
    <w:uiPriority w:val="34"/>
    <w:qFormat/>
    <w:rsid w:val="0002309C"/>
    <w:pPr>
      <w:ind w:leftChars="400" w:left="800"/>
    </w:pPr>
  </w:style>
  <w:style w:type="paragraph" w:customStyle="1" w:styleId="afffffff7">
    <w:name w:val=".본문"/>
    <w:basedOn w:val="a"/>
    <w:rsid w:val="00560674"/>
    <w:pPr>
      <w:snapToGrid w:val="0"/>
      <w:spacing w:after="0" w:line="396" w:lineRule="auto"/>
      <w:ind w:firstLine="150"/>
      <w:textAlignment w:val="baseline"/>
    </w:pPr>
    <w:rPr>
      <w:rFonts w:ascii="한양신명조" w:eastAsia="굴림" w:hAnsi="굴림" w:cs="굴림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a9EaW4ajhSD5PKOYlnroq7/+Q==">AMUW2mXtkreXm5wJyK99jMoEb9BFsOnJ933wQEjYDWnvPWL/SXLLbBKbbUS7oA6yMo3AklXZ4UxGbrd/cmYFmz6k2AHniZMCp3WQVPrm0ajGNs23BeICXaKbmyD/ETRTe/oano2rO4vIC60AhfG2d+tLRhb5V4G+sDga1BVN/3CqGzwwewS/FJms1xzJDh6cP2tAmDWBRB9GALZiavsnzBqVQsPMcRSRe0qOpdiN1Dk6GAHs0MpoNjQpnQcDSsnDI7gd7Qtw80+lWGXnKTRI/4zyK/eal4Ot7R5xBVez81HEitrMlNCFkcrE+hTQ9IpKDXG0M32pA5SuHCENPqcAFbYgkvSK/u6faM4xllRQZhOH7ApurkqvC+N3KyNCCwusEFrsSy+CY5c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108</cp:revision>
  <cp:lastPrinted>2020-12-18T13:11:00Z</cp:lastPrinted>
  <dcterms:created xsi:type="dcterms:W3CDTF">2020-12-18T13:08:00Z</dcterms:created>
  <dcterms:modified xsi:type="dcterms:W3CDTF">2025-04-04T14:23:00Z</dcterms:modified>
</cp:coreProperties>
</file>