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Ingestion Memo</w:t>
      </w:r>
    </w:p>
    <w:p>
      <w:r>
        <w:t>This memo describes the event-driven document ingestion pipeline.</w:t>
      </w:r>
    </w:p>
    <w:p>
      <w:pPr>
        <w:pStyle w:val="Heading2"/>
      </w:pPr>
      <w:r>
        <w:t>Pipeline</w:t>
      </w:r>
    </w:p>
    <w:p>
      <w:r>
        <w:t>MIME-based skill resolution selects the handler; extraction runs off the write 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Ingestion Memo</dc:title>
  <dc:subject/>
  <dc:creator>A. Researcher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