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404F7" w14:textId="2CB46CF7" w:rsidR="00A52CE3" w:rsidRDefault="00937B16">
      <w:pPr>
        <w:rPr>
          <w:lang w:val="es-419"/>
        </w:rPr>
      </w:pPr>
      <w:r w:rsidRPr="00937B16">
        <w:rPr>
          <w:lang w:val="es-419"/>
        </w:rPr>
        <w:t>BQ: ¿Cómo podemos aumentar el margen de ventas en los próximos 6 meses?</w:t>
      </w:r>
    </w:p>
    <w:p w14:paraId="4836D6A4" w14:textId="77777777" w:rsidR="00CB482A" w:rsidRPr="00CB482A" w:rsidRDefault="00CB482A" w:rsidP="00CB482A">
      <w:pPr>
        <w:pStyle w:val="Prrafodelista"/>
        <w:numPr>
          <w:ilvl w:val="0"/>
          <w:numId w:val="2"/>
        </w:numPr>
        <w:rPr>
          <w:lang w:val="es-419"/>
        </w:rPr>
      </w:pPr>
      <w:r w:rsidRPr="00CB482A">
        <w:rPr>
          <w:lang w:val="es-419"/>
        </w:rPr>
        <w:t>El análisis histórico del margen muestra fluctuaciones con una caída significativa en cierto periodo, lo que refleja vulnerabilidad en la operación. Sin embargo, la proyección a seis meses indica una recuperación y posterior estabilidad. Esto sugiere que el negocio ha superado la fase de ajuste y se encuentra en un escenario de consolidación. La prioridad estratégica ahora es transformar esa estabilidad en crecimiento sostenido, apalancando los clientes clave y las categorías de mayor margen (Bebidas, Ropa y Electrónicos).</w:t>
      </w:r>
    </w:p>
    <w:p w14:paraId="7AD53B99" w14:textId="77777777" w:rsidR="00CB482A" w:rsidRPr="00CB482A" w:rsidRDefault="00CB482A" w:rsidP="00CB482A">
      <w:pPr>
        <w:pStyle w:val="Prrafodelista"/>
        <w:rPr>
          <w:lang w:val="es-419"/>
        </w:rPr>
      </w:pPr>
    </w:p>
    <w:p w14:paraId="615C5D9B" w14:textId="77777777" w:rsidR="00CB482A" w:rsidRPr="00CB482A" w:rsidRDefault="00CB482A" w:rsidP="00CB482A">
      <w:pPr>
        <w:pStyle w:val="Prrafodelista"/>
        <w:numPr>
          <w:ilvl w:val="0"/>
          <w:numId w:val="2"/>
        </w:numPr>
        <w:rPr>
          <w:lang w:val="es-419"/>
        </w:rPr>
      </w:pPr>
      <w:r w:rsidRPr="00CB482A">
        <w:rPr>
          <w:lang w:val="es-419"/>
        </w:rPr>
        <w:t xml:space="preserve">El Pareto confirma que cinco clientes concentran cerca del 80% del margen, lo que implica que si quieres aumentar el margen en los próximos seis meses conviene concentrar esfuerzos en ellos mediante mejor servicio, estrategias de </w:t>
      </w:r>
      <w:proofErr w:type="spellStart"/>
      <w:r w:rsidRPr="00CB482A">
        <w:rPr>
          <w:lang w:val="es-419"/>
        </w:rPr>
        <w:t>cross-selling</w:t>
      </w:r>
      <w:proofErr w:type="spellEnd"/>
      <w:r w:rsidRPr="00CB482A">
        <w:rPr>
          <w:lang w:val="es-419"/>
        </w:rPr>
        <w:t xml:space="preserve"> y programas de fidelización. Al mismo tiempo, este hallazgo revela un riesgo de dependencia: la pérdida de alguno de estos clientes tendría un impacto significativo en el margen total.</w:t>
      </w:r>
    </w:p>
    <w:p w14:paraId="2F7FFB6C" w14:textId="77777777" w:rsidR="00CB482A" w:rsidRPr="00CB482A" w:rsidRDefault="00CB482A" w:rsidP="00CB482A">
      <w:pPr>
        <w:pStyle w:val="Prrafodelista"/>
        <w:rPr>
          <w:lang w:val="es-419"/>
        </w:rPr>
      </w:pPr>
    </w:p>
    <w:p w14:paraId="3F9F22C6" w14:textId="7B46428F" w:rsidR="00937B16" w:rsidRDefault="00CB482A" w:rsidP="00CB482A">
      <w:pPr>
        <w:pStyle w:val="Prrafodelista"/>
        <w:numPr>
          <w:ilvl w:val="0"/>
          <w:numId w:val="2"/>
        </w:numPr>
        <w:rPr>
          <w:lang w:val="es-419"/>
        </w:rPr>
      </w:pPr>
      <w:r w:rsidRPr="00CB482A">
        <w:rPr>
          <w:lang w:val="es-419"/>
        </w:rPr>
        <w:t xml:space="preserve">En cuanto a productos, los primeros cinco —como </w:t>
      </w:r>
      <w:proofErr w:type="spellStart"/>
      <w:r w:rsidRPr="00CB482A">
        <w:rPr>
          <w:lang w:val="es-419"/>
        </w:rPr>
        <w:t>Côte</w:t>
      </w:r>
      <w:proofErr w:type="spellEnd"/>
      <w:r w:rsidRPr="00CB482A">
        <w:rPr>
          <w:lang w:val="es-419"/>
        </w:rPr>
        <w:t xml:space="preserve"> De </w:t>
      </w:r>
      <w:proofErr w:type="spellStart"/>
      <w:r w:rsidRPr="00CB482A">
        <w:rPr>
          <w:lang w:val="es-419"/>
        </w:rPr>
        <w:t>Blaye</w:t>
      </w:r>
      <w:proofErr w:type="spellEnd"/>
      <w:r w:rsidRPr="00CB482A">
        <w:rPr>
          <w:lang w:val="es-419"/>
        </w:rPr>
        <w:t xml:space="preserve">, </w:t>
      </w:r>
      <w:proofErr w:type="spellStart"/>
      <w:r w:rsidRPr="00CB482A">
        <w:rPr>
          <w:lang w:val="es-419"/>
        </w:rPr>
        <w:t>Thüringer</w:t>
      </w:r>
      <w:proofErr w:type="spellEnd"/>
      <w:r w:rsidRPr="00CB482A">
        <w:rPr>
          <w:lang w:val="es-419"/>
        </w:rPr>
        <w:t xml:space="preserve"> </w:t>
      </w:r>
      <w:proofErr w:type="spellStart"/>
      <w:r w:rsidRPr="00CB482A">
        <w:rPr>
          <w:lang w:val="es-419"/>
        </w:rPr>
        <w:t>Rostbratwurst</w:t>
      </w:r>
      <w:proofErr w:type="spellEnd"/>
      <w:r w:rsidRPr="00CB482A">
        <w:rPr>
          <w:lang w:val="es-419"/>
        </w:rPr>
        <w:t xml:space="preserve">, </w:t>
      </w:r>
      <w:proofErr w:type="spellStart"/>
      <w:r w:rsidRPr="00CB482A">
        <w:rPr>
          <w:lang w:val="es-419"/>
        </w:rPr>
        <w:t>Mishi</w:t>
      </w:r>
      <w:proofErr w:type="spellEnd"/>
      <w:r w:rsidRPr="00CB482A">
        <w:rPr>
          <w:lang w:val="es-419"/>
        </w:rPr>
        <w:t xml:space="preserve"> Kobe </w:t>
      </w:r>
      <w:proofErr w:type="spellStart"/>
      <w:r w:rsidRPr="00CB482A">
        <w:rPr>
          <w:lang w:val="es-419"/>
        </w:rPr>
        <w:t>Niku</w:t>
      </w:r>
      <w:proofErr w:type="spellEnd"/>
      <w:r w:rsidRPr="00CB482A">
        <w:rPr>
          <w:lang w:val="es-419"/>
        </w:rPr>
        <w:t xml:space="preserve">, Sir </w:t>
      </w:r>
      <w:proofErr w:type="spellStart"/>
      <w:r w:rsidRPr="00CB482A">
        <w:rPr>
          <w:lang w:val="es-419"/>
        </w:rPr>
        <w:t>Rodney's</w:t>
      </w:r>
      <w:proofErr w:type="spellEnd"/>
      <w:r w:rsidRPr="00CB482A">
        <w:rPr>
          <w:lang w:val="es-419"/>
        </w:rPr>
        <w:t xml:space="preserve"> </w:t>
      </w:r>
      <w:proofErr w:type="spellStart"/>
      <w:r w:rsidRPr="00CB482A">
        <w:rPr>
          <w:lang w:val="es-419"/>
        </w:rPr>
        <w:t>Marmalade</w:t>
      </w:r>
      <w:proofErr w:type="spellEnd"/>
      <w:r w:rsidRPr="00CB482A">
        <w:rPr>
          <w:lang w:val="es-419"/>
        </w:rPr>
        <w:t xml:space="preserve"> y </w:t>
      </w:r>
      <w:proofErr w:type="spellStart"/>
      <w:r w:rsidRPr="00CB482A">
        <w:rPr>
          <w:lang w:val="es-419"/>
        </w:rPr>
        <w:t>Carnarvon</w:t>
      </w:r>
      <w:proofErr w:type="spellEnd"/>
      <w:r w:rsidRPr="00CB482A">
        <w:rPr>
          <w:lang w:val="es-419"/>
        </w:rPr>
        <w:t xml:space="preserve"> </w:t>
      </w:r>
      <w:proofErr w:type="spellStart"/>
      <w:r w:rsidRPr="00CB482A">
        <w:rPr>
          <w:lang w:val="es-419"/>
        </w:rPr>
        <w:t>Tigers</w:t>
      </w:r>
      <w:proofErr w:type="spellEnd"/>
      <w:r w:rsidRPr="00CB482A">
        <w:rPr>
          <w:lang w:val="es-419"/>
        </w:rPr>
        <w:t>— son artículos de lujo con márgenes unitarios muy elevados, mientras que los siguientes mantienen una estabilidad que los hace atractivos para impulsar en clientes medianos. Finalmente, el análisis por categorías muestra que Bebidas, Ropa y Electrónicos aportan más del 50% del margen total, lo que refuerza la necesidad de enfocarse en ellas. No obstante, depender de pocas categorías también es riesgoso, por lo que documentar esta concentración y explorar cómo fortalecer Comida y Otros forma parte de la narrativa de diversificación."</w:t>
      </w:r>
    </w:p>
    <w:p w14:paraId="78CF7D4B" w14:textId="77777777" w:rsidR="004C2C30" w:rsidRPr="004C2C30" w:rsidRDefault="004C2C30" w:rsidP="004C2C30">
      <w:pPr>
        <w:pStyle w:val="Prrafodelista"/>
        <w:rPr>
          <w:lang w:val="es-419"/>
        </w:rPr>
      </w:pPr>
    </w:p>
    <w:p w14:paraId="5174618F" w14:textId="2C54E03D" w:rsidR="004C2C30" w:rsidRDefault="004C2C30" w:rsidP="004C2C30">
      <w:pPr>
        <w:rPr>
          <w:lang w:val="es-419"/>
        </w:rPr>
      </w:pPr>
      <w:r w:rsidRPr="004C2C30">
        <w:rPr>
          <w:lang w:val="es-419"/>
        </w:rPr>
        <w:t>#</w:t>
      </w:r>
      <w:proofErr w:type="gramStart"/>
      <w:r w:rsidRPr="004C2C30">
        <w:rPr>
          <w:lang w:val="es-419"/>
        </w:rPr>
        <w:t>AQ:¿</w:t>
      </w:r>
      <w:proofErr w:type="gramEnd"/>
      <w:r w:rsidRPr="004C2C30">
        <w:rPr>
          <w:lang w:val="es-419"/>
        </w:rPr>
        <w:t>Cuál es la tendencia histórica de ingresos y márgenes por categoría de producto?</w:t>
      </w:r>
    </w:p>
    <w:p w14:paraId="4F2B548F" w14:textId="04610A11" w:rsidR="004C2C30" w:rsidRDefault="004C2C30" w:rsidP="004C2C30">
      <w:pPr>
        <w:rPr>
          <w:lang w:val="es-419"/>
        </w:rPr>
      </w:pPr>
      <w:r w:rsidRPr="004C2C30">
        <w:rPr>
          <w:lang w:val="es-419"/>
        </w:rPr>
        <w:t>El análisis confirma que Bebidas, Ropa y Electrónicos son las categorías que sostienen la rentabilidad del negocio. Su comportamiento muestra ciclos de crecimiento y estacionalidad, pero siempre en niveles superiores al resto. Comida y Otros aportan poco margen, lo que refuerza la necesidad de priorizar las categorías líderes en la estrategia comercial.</w:t>
      </w:r>
    </w:p>
    <w:p w14:paraId="19CBE374" w14:textId="3DE1923D" w:rsidR="004C2C30" w:rsidRDefault="004C2C30" w:rsidP="004C2C30">
      <w:pPr>
        <w:rPr>
          <w:lang w:val="es-419"/>
        </w:rPr>
      </w:pPr>
    </w:p>
    <w:p w14:paraId="11B3F160" w14:textId="2CFA389F" w:rsidR="004C2C30" w:rsidRDefault="004C2C30" w:rsidP="004C2C30">
      <w:pPr>
        <w:rPr>
          <w:lang w:val="es-419"/>
        </w:rPr>
      </w:pPr>
      <w:r w:rsidRPr="004C2C30">
        <w:rPr>
          <w:lang w:val="es-419"/>
        </w:rPr>
        <w:t xml:space="preserve">AQ: ¿Qué productos generan mayor rentabilidad y </w:t>
      </w:r>
      <w:proofErr w:type="gramStart"/>
      <w:r w:rsidRPr="004C2C30">
        <w:rPr>
          <w:lang w:val="es-419"/>
        </w:rPr>
        <w:t>cuáles menor</w:t>
      </w:r>
      <w:proofErr w:type="gramEnd"/>
      <w:r w:rsidRPr="004C2C30">
        <w:rPr>
          <w:lang w:val="es-419"/>
        </w:rPr>
        <w:t>?</w:t>
      </w:r>
    </w:p>
    <w:p w14:paraId="165AF08C" w14:textId="02BE0F49" w:rsidR="004C2C30" w:rsidRDefault="004C2C30" w:rsidP="004C2C30">
      <w:pPr>
        <w:rPr>
          <w:lang w:val="es-419"/>
        </w:rPr>
      </w:pPr>
      <w:r w:rsidRPr="004C2C30">
        <w:rPr>
          <w:lang w:val="es-419"/>
        </w:rPr>
        <w:t xml:space="preserve">El análisis confirma que la rentabilidad está concentrada en un pequeño grupo de productos gourmet premium, encabezados por </w:t>
      </w:r>
      <w:proofErr w:type="spellStart"/>
      <w:r w:rsidRPr="004C2C30">
        <w:rPr>
          <w:lang w:val="es-419"/>
        </w:rPr>
        <w:t>Côte</w:t>
      </w:r>
      <w:proofErr w:type="spellEnd"/>
      <w:r w:rsidRPr="004C2C30">
        <w:rPr>
          <w:lang w:val="es-419"/>
        </w:rPr>
        <w:t xml:space="preserve"> De </w:t>
      </w:r>
      <w:proofErr w:type="spellStart"/>
      <w:r w:rsidRPr="004C2C30">
        <w:rPr>
          <w:lang w:val="es-419"/>
        </w:rPr>
        <w:t>Blaye</w:t>
      </w:r>
      <w:proofErr w:type="spellEnd"/>
      <w:r w:rsidRPr="004C2C30">
        <w:rPr>
          <w:lang w:val="es-419"/>
        </w:rPr>
        <w:t>. Aunque otros productos también generan margen, la diferencia es significativa. La estrategia debe enfocarse en proteger y potenciar los líderes, mientras se exploran oportunidades para diversificar la rentabilidad en productos de menor margen</w:t>
      </w:r>
    </w:p>
    <w:p w14:paraId="090BAA99" w14:textId="491706AC" w:rsidR="004C2C30" w:rsidRDefault="004C2C30" w:rsidP="004C2C30">
      <w:pPr>
        <w:rPr>
          <w:lang w:val="es-419"/>
        </w:rPr>
      </w:pPr>
      <w:r w:rsidRPr="004C2C30">
        <w:rPr>
          <w:lang w:val="es-419"/>
        </w:rPr>
        <w:lastRenderedPageBreak/>
        <w:t>AQ</w:t>
      </w:r>
      <w:r w:rsidR="0085665B">
        <w:rPr>
          <w:lang w:val="es-419"/>
        </w:rPr>
        <w:t xml:space="preserve"> y KPI: </w:t>
      </w:r>
      <w:r w:rsidRPr="004C2C30">
        <w:rPr>
          <w:lang w:val="es-419"/>
        </w:rPr>
        <w:t>¿Cuál es la tasa de crecimiento mensual por categoría en los últimos meses?</w:t>
      </w:r>
    </w:p>
    <w:p w14:paraId="01998538" w14:textId="74AD1F90" w:rsidR="00060CB3" w:rsidRDefault="00060CB3" w:rsidP="004C2C30">
      <w:pPr>
        <w:rPr>
          <w:lang w:val="es-419"/>
        </w:rPr>
      </w:pPr>
      <w:r w:rsidRPr="00060CB3">
        <w:rPr>
          <w:lang w:val="es-419"/>
        </w:rPr>
        <w:t>crecimiento mensual confirma que en los últimos meses Bebidas, Otros y Comida son las categorías con mayor dinamismo. Ropa y Electrónicos, aunque históricamente líderes en margen, muestran un crecimiento más débil en este periodo. La estrategia debe reconocer este cambio: consolidar Bebidas como motor principal, aprovechar el repunte de Otros y Comida, y revisar qué factores están limitando el crecimiento en Ropa y Electrónicos</w:t>
      </w:r>
    </w:p>
    <w:p w14:paraId="1F9C6D7A" w14:textId="30A0D378" w:rsidR="004C2C30" w:rsidRDefault="004C2C30" w:rsidP="004C2C30">
      <w:pPr>
        <w:rPr>
          <w:lang w:val="es-419"/>
        </w:rPr>
      </w:pPr>
      <w:r w:rsidRPr="004C2C30">
        <w:rPr>
          <w:lang w:val="es-419"/>
        </w:rPr>
        <w:t>AQ: ¿Qué correlación existe entre promociones y variación en ventas?</w:t>
      </w:r>
    </w:p>
    <w:p w14:paraId="24DD7BAF" w14:textId="3D6187EF" w:rsidR="00060CB3" w:rsidRPr="004C2C30" w:rsidRDefault="00060CB3" w:rsidP="004C2C30">
      <w:pPr>
        <w:rPr>
          <w:lang w:val="es-419"/>
        </w:rPr>
      </w:pPr>
      <w:r w:rsidRPr="00060CB3">
        <w:rPr>
          <w:lang w:val="es-419"/>
        </w:rPr>
        <w:t>El análisis estadístico demuestra que la correlación entre promociones y variación en ventas es de 0.13, lo que confirma que el impacto de las promociones sobre las ventas es extremadamente débil. Esto implica que las promociones, por sí solas, no explican el crecimiento y deben ser complementadas con estrategias de producto y categoría</w:t>
      </w:r>
    </w:p>
    <w:p w14:paraId="4F209625" w14:textId="09EFA718" w:rsidR="004C2C30" w:rsidRPr="004C2C30" w:rsidRDefault="004C2C30" w:rsidP="004C2C30">
      <w:pPr>
        <w:rPr>
          <w:lang w:val="es-419"/>
        </w:rPr>
      </w:pPr>
      <w:r w:rsidRPr="004C2C30">
        <w:rPr>
          <w:lang w:val="es-419"/>
        </w:rPr>
        <w:t>KPI (Performance): Margen bruto mensual por categoría</w:t>
      </w:r>
      <w:r w:rsidR="00060CB3">
        <w:rPr>
          <w:lang w:val="es-419"/>
        </w:rPr>
        <w:t xml:space="preserve"> es de 30% promedio para cada categoría </w:t>
      </w:r>
    </w:p>
    <w:p w14:paraId="7703E4F8" w14:textId="1367C915" w:rsidR="00060CB3" w:rsidRDefault="00060CB3" w:rsidP="004C2C30">
      <w:pPr>
        <w:rPr>
          <w:lang w:val="es-419"/>
        </w:rPr>
      </w:pPr>
      <w:r w:rsidRPr="00060CB3">
        <w:rPr>
          <w:lang w:val="es-419"/>
        </w:rPr>
        <w:t>H1: El aumento de ventas depende de la rotación de productos de alta demanda y promociones efectivas.</w:t>
      </w:r>
    </w:p>
    <w:p w14:paraId="0F99E0E1" w14:textId="2806E224" w:rsidR="0085665B" w:rsidRDefault="0085665B" w:rsidP="004C2C30">
      <w:pPr>
        <w:rPr>
          <w:lang w:val="es-419"/>
        </w:rPr>
      </w:pPr>
      <w:r w:rsidRPr="0085665B">
        <w:rPr>
          <w:lang w:val="es-419"/>
        </w:rPr>
        <w:t>"El análisis estadístico muestra que la relación entre rotación de productos de alta demanda y promociones efectivas con el aumento de ventas es débil, con un coeficiente de correlación de 0.46. Esto confirma que, aunque ambos factores contribuyen, no son suficientes por sí solos para explicar el crecimiento. La estrategia debe considerar variables adicionales como estacionalidad y márgenes para entender mejor el comportamiento de las ventas.</w:t>
      </w:r>
    </w:p>
    <w:p w14:paraId="2B1E3F25" w14:textId="185BAD2E" w:rsidR="0085665B" w:rsidRDefault="0085665B" w:rsidP="004C2C30">
      <w:pPr>
        <w:rPr>
          <w:lang w:val="es-419"/>
        </w:rPr>
      </w:pPr>
      <w:r w:rsidRPr="0085665B">
        <w:rPr>
          <w:lang w:val="es-419"/>
        </w:rPr>
        <w:t xml:space="preserve">H2: Los productos gourmet premium tienen mayor </w:t>
      </w:r>
      <w:proofErr w:type="gramStart"/>
      <w:r w:rsidRPr="0085665B">
        <w:rPr>
          <w:lang w:val="es-419"/>
        </w:rPr>
        <w:t>margen</w:t>
      </w:r>
      <w:proofErr w:type="gramEnd"/>
      <w:r w:rsidRPr="0085665B">
        <w:rPr>
          <w:lang w:val="es-419"/>
        </w:rPr>
        <w:t xml:space="preserve"> pero menor volumen.</w:t>
      </w:r>
    </w:p>
    <w:p w14:paraId="246A63B7" w14:textId="77777777" w:rsidR="0085665B" w:rsidRPr="0085665B" w:rsidRDefault="0085665B" w:rsidP="0085665B">
      <w:pPr>
        <w:rPr>
          <w:lang w:val="es-419"/>
        </w:rPr>
      </w:pPr>
      <w:r w:rsidRPr="0085665B">
        <w:rPr>
          <w:lang w:val="es-419"/>
        </w:rPr>
        <w:t>Relación débil (coeficiente cercano a 0.3–0.4): indica que el patrón se cumple en general, pero no todos los productos gourmet siguen exactamente la misma lógica.</w:t>
      </w:r>
    </w:p>
    <w:p w14:paraId="208029C4" w14:textId="77777777" w:rsidR="0085665B" w:rsidRPr="0085665B" w:rsidRDefault="0085665B" w:rsidP="0085665B">
      <w:pPr>
        <w:rPr>
          <w:lang w:val="es-419"/>
        </w:rPr>
      </w:pPr>
    </w:p>
    <w:p w14:paraId="6FCF0636" w14:textId="77777777" w:rsidR="0085665B" w:rsidRPr="0085665B" w:rsidRDefault="0085665B" w:rsidP="0085665B">
      <w:pPr>
        <w:rPr>
          <w:lang w:val="es-419"/>
        </w:rPr>
      </w:pPr>
      <w:proofErr w:type="spellStart"/>
      <w:r w:rsidRPr="0085665B">
        <w:rPr>
          <w:lang w:val="es-419"/>
        </w:rPr>
        <w:t>Insight</w:t>
      </w:r>
      <w:proofErr w:type="spellEnd"/>
      <w:r w:rsidRPr="0085665B">
        <w:rPr>
          <w:lang w:val="es-419"/>
        </w:rPr>
        <w:t xml:space="preserve"> clave: los productos premium sostienen la rentabilidad por unidad, pero no garantizan volumen. La estrategia debe reconocer que su aporte es más cualitativo (margen) que cuantitativo (ventas).</w:t>
      </w:r>
    </w:p>
    <w:p w14:paraId="742E46CA" w14:textId="77777777" w:rsidR="0085665B" w:rsidRPr="0085665B" w:rsidRDefault="0085665B" w:rsidP="0085665B">
      <w:pPr>
        <w:rPr>
          <w:lang w:val="es-419"/>
        </w:rPr>
      </w:pPr>
    </w:p>
    <w:p w14:paraId="100F84AC" w14:textId="02F6C96A" w:rsidR="0085665B" w:rsidRDefault="0085665B" w:rsidP="0085665B">
      <w:pPr>
        <w:rPr>
          <w:lang w:val="es-419"/>
        </w:rPr>
      </w:pPr>
      <w:r w:rsidRPr="0085665B">
        <w:rPr>
          <w:lang w:val="es-419"/>
        </w:rPr>
        <w:t>Riesgo: depender demasiado de ellos puede limitar el crecimiento total si no se complementan con productos de mayor rotación.</w:t>
      </w:r>
    </w:p>
    <w:p w14:paraId="0B308B08" w14:textId="77777777" w:rsidR="0085665B" w:rsidRDefault="0085665B" w:rsidP="0085665B">
      <w:pPr>
        <w:rPr>
          <w:lang w:val="es-419"/>
        </w:rPr>
      </w:pPr>
    </w:p>
    <w:p w14:paraId="51D91B6D" w14:textId="77777777" w:rsidR="0085665B" w:rsidRDefault="0085665B" w:rsidP="0085665B">
      <w:pPr>
        <w:rPr>
          <w:lang w:val="es-419"/>
        </w:rPr>
      </w:pPr>
    </w:p>
    <w:p w14:paraId="7D476723" w14:textId="77777777" w:rsidR="0085665B" w:rsidRDefault="0085665B" w:rsidP="0085665B">
      <w:pPr>
        <w:rPr>
          <w:lang w:val="es-419"/>
        </w:rPr>
      </w:pPr>
    </w:p>
    <w:p w14:paraId="50999B35" w14:textId="10FE0D0D" w:rsidR="0085665B" w:rsidRDefault="0085665B" w:rsidP="0085665B">
      <w:pPr>
        <w:rPr>
          <w:lang w:val="es-419"/>
        </w:rPr>
      </w:pPr>
      <w:r w:rsidRPr="0085665B">
        <w:rPr>
          <w:lang w:val="es-419"/>
        </w:rPr>
        <w:lastRenderedPageBreak/>
        <w:t xml:space="preserve">#H3: Las promociones incrementan ventas a corto </w:t>
      </w:r>
      <w:proofErr w:type="gramStart"/>
      <w:r w:rsidRPr="0085665B">
        <w:rPr>
          <w:lang w:val="es-419"/>
        </w:rPr>
        <w:t>plazo</w:t>
      </w:r>
      <w:proofErr w:type="gramEnd"/>
      <w:r w:rsidRPr="0085665B">
        <w:rPr>
          <w:lang w:val="es-419"/>
        </w:rPr>
        <w:t xml:space="preserve"> pero reducen margen si no se controlan.</w:t>
      </w:r>
    </w:p>
    <w:p w14:paraId="0AEABCFA" w14:textId="645A3F4D" w:rsidR="0085665B" w:rsidRDefault="0093255F" w:rsidP="0085665B">
      <w:pPr>
        <w:rPr>
          <w:lang w:val="es-419"/>
        </w:rPr>
      </w:pPr>
      <w:r>
        <w:rPr>
          <w:lang w:val="es-419"/>
        </w:rPr>
        <w:t>E</w:t>
      </w:r>
      <w:r w:rsidR="0085665B" w:rsidRPr="0085665B">
        <w:rPr>
          <w:lang w:val="es-419"/>
        </w:rPr>
        <w:t>l análisis confirma la hipótesis: existe una relación negativa moderada entre la intensidad de promociones y el margen bruto (coeficiente ≈ -0.46). Esto demuestra que las promociones, aunque útiles para incrementar ventas en el corto plazo, reducen la rentabilidad si no se gestionan con cuidado. La estrategia debe equilibrar el uso de promociones con la protección del margen."</w:t>
      </w:r>
    </w:p>
    <w:p w14:paraId="760819FA" w14:textId="77777777" w:rsidR="0085665B" w:rsidRDefault="0085665B" w:rsidP="004C2C30">
      <w:pPr>
        <w:rPr>
          <w:lang w:val="es-419"/>
        </w:rPr>
      </w:pPr>
    </w:p>
    <w:p w14:paraId="2D85CBC4" w14:textId="77777777" w:rsidR="00060CB3" w:rsidRPr="004C2C30" w:rsidRDefault="00060CB3" w:rsidP="004C2C30">
      <w:pPr>
        <w:rPr>
          <w:lang w:val="es-419"/>
        </w:rPr>
      </w:pPr>
    </w:p>
    <w:p w14:paraId="192C85CF" w14:textId="77777777" w:rsidR="00937B16" w:rsidRPr="00937B16" w:rsidRDefault="00937B16" w:rsidP="00937B16">
      <w:pPr>
        <w:rPr>
          <w:lang w:val="es-419"/>
        </w:rPr>
      </w:pPr>
    </w:p>
    <w:sectPr w:rsidR="00937B16" w:rsidRPr="00937B1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155494"/>
    <w:multiLevelType w:val="hybridMultilevel"/>
    <w:tmpl w:val="E7181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6B67C8"/>
    <w:multiLevelType w:val="hybridMultilevel"/>
    <w:tmpl w:val="43C67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B16"/>
    <w:rsid w:val="00060CB3"/>
    <w:rsid w:val="004C2C30"/>
    <w:rsid w:val="006460C7"/>
    <w:rsid w:val="00661529"/>
    <w:rsid w:val="0085665B"/>
    <w:rsid w:val="008F5F0B"/>
    <w:rsid w:val="0093255F"/>
    <w:rsid w:val="00937B16"/>
    <w:rsid w:val="00A52CE3"/>
    <w:rsid w:val="00CB482A"/>
    <w:rsid w:val="00CD14D0"/>
    <w:rsid w:val="00D300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80199"/>
  <w15:chartTrackingRefBased/>
  <w15:docId w15:val="{099C6308-F562-4450-A60C-F6CF10DB5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5F0B"/>
    <w:pPr>
      <w:jc w:val="both"/>
    </w:pPr>
    <w:rPr>
      <w:rFonts w:ascii="Arial" w:hAnsi="Arial"/>
      <w:color w:val="000000" w:themeColor="text1"/>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37B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3</Pages>
  <Words>779</Words>
  <Characters>4443</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Manuel García Ramírez</dc:creator>
  <cp:keywords/>
  <dc:description/>
  <cp:lastModifiedBy>Juan Manuel García Ramírez</cp:lastModifiedBy>
  <cp:revision>2</cp:revision>
  <dcterms:created xsi:type="dcterms:W3CDTF">2026-04-25T16:18:00Z</dcterms:created>
  <dcterms:modified xsi:type="dcterms:W3CDTF">2026-04-26T15:38:00Z</dcterms:modified>
</cp:coreProperties>
</file>