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F6E56"/>
          <w:spacing w:val="120"/>
          <w:sz w:val="18"/>
          <w:szCs w:val="18"/>
        </w:rPr>
        <w:t xml:space="preserve">ENTREGABLE B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Problem Statement, Dimensiones,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Logic Tree, KPI Tree &amp;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0F6E56"/>
          <w:sz w:val="44"/>
          <w:szCs w:val="44"/>
        </w:rPr>
        <w:t xml:space="preserve">Decision Tree</w:t>
      </w:r>
    </w:p>
    <w:p>
      <w:pPr>
        <w:pBdr>
          <w:bottom w:val="single" w:color="0F6E56" w:sz="6" w:space="1"/>
        </w:pBdr>
        <w:spacing w:after="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Juguetería Tradición MX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Business Analytics &amp; Decision Intelligence  ·  Caso de Estudio</w:t>
      </w:r>
    </w:p>
    <w:p>
      <w:pPr>
        <w:spacing w:after="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2024 – 2025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1.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2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6"/>
                <w:szCs w:val="16"/>
              </w:rPr>
              <w:t xml:space="preserve">PROBLEM STATEMENT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Juguetería Tradición MX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, cadena minorista especializada en juguetes mexicanos, </w:t>
            </w: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no cuenta con una estrategia clara de competencia y posicionamiento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en el mercado al que pertenece, operando en un entorno competitivo donde enfrenta presión de múltiples canales y formatos sin una diferenciación definida. Como resultado, la empresa </w:t>
            </w: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no identifica qué categorías, tiendas y drivers de precio realmente generan rentabilidad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, lo que deriva en márgenes inconsistentes, inventario mal alineado con la demanda y crecimiento sin dirección estratégica — limitando su capacidad de implementar una estrategia de posicionamiento, optimizar sus KPIs financieros y operativos, y tomar decisiones basadas en datos a lo largo de toda su operación.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1.1 Anatomía del Problema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D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40"/>
                <w:sz w:val="16"/>
                <w:szCs w:val="16"/>
              </w:rPr>
              <w:t xml:space="preserve">ENTIDAD</w:t>
            </w:r>
          </w:p>
        </w:tc>
        <w:tc>
          <w:tcPr>
            <w:tcW w:type="dxa" w:w="7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Juguetería Tradición MX — cadena minorista especializada en juguetes de origen mexicano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B3A00"/>
                <w:spacing w:val="40"/>
                <w:sz w:val="16"/>
                <w:szCs w:val="16"/>
              </w:rPr>
              <w:t xml:space="preserve">PROBLEMA</w:t>
            </w:r>
          </w:p>
        </w:tc>
        <w:tc>
          <w:tcPr>
            <w:tcW w:type="dxa" w:w="7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Ausencia de estrategia de competencia y posicionamiento — sin diferenciación definida frente a la presión de múltiples canales y formatos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6"/>
                <w:szCs w:val="16"/>
              </w:rPr>
              <w:t xml:space="preserve">CONTEXTO</w:t>
            </w:r>
          </w:p>
        </w:tc>
        <w:tc>
          <w:tcPr>
            <w:tcW w:type="dxa" w:w="7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Mercado de juguetes mexicanos con presión competitiva de múltiples canales; datos transaccionales, de inventario y de producto disponibles como base analítica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B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pacing w:val="40"/>
                <w:sz w:val="16"/>
                <w:szCs w:val="16"/>
              </w:rPr>
              <w:t xml:space="preserve">IMPACTO</w:t>
            </w:r>
          </w:p>
        </w:tc>
        <w:tc>
          <w:tcPr>
            <w:tcW w:type="dxa" w:w="7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Márgenes inconsistentes  ·  Inventario desalineado con la demanda  ·  Crecimiento sin dirección  ·  Incapacidad de implementar posicionamiento, optimizar KPIs y tomar decisiones basadas en datos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1.2 Pregunta Raíz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¿Qué drivers de rentabilidad, eficiencia operativa y posicionamiento debe optimizar Juguetería Tradición MX para construir una estrategia competitiva sostenible?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La pregunta raíz ancla el Logic Tree. Sus tres ejes — rentabilidad · eficiencia operativa · posicionamiento — definen los nodos de primer nivel del árbol de descomposición.</w:t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2. Dimensiones del Problema e Hipótesis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problema central se descompone en cuatro dimensiones analíticas. Cada dimensión agrupa un conjunto de hipótesis falsificables derivadas del Problem Statement, diseñadas para guiar el EDA con dirección y evitar exploración a ciegas.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D1  ·  Rentabilidad del Portafolio</w:t>
            </w:r>
            <w:r>
              <w:rPr>
                <w:rFonts w:ascii="Arial" w:cs="Arial" w:eastAsia="Arial" w:hAnsi="Arial"/>
                <w:i/>
                <w:iCs/>
                <w:color w:val="C8EAD9"/>
                <w:sz w:val="18"/>
                <w:szCs w:val="18"/>
              </w:rPr>
              <w:t xml:space="preserve">     ¿Qué genera y qué destruye margen?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EDEDE" w:sz="1"/>
              <w:left w:val="single" w:color="0F6E56" w:sz="1"/>
              <w:bottom w:val="single" w:color="DEDEDE" w:sz="1"/>
              <w:right w:val="single" w:color="DEDEDE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H1.1</w:t>
            </w:r>
          </w:p>
        </w:tc>
        <w:tc>
          <w:tcPr>
            <w:tcW w:type="dxa" w:w="864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20% de los SKUs genera el 80% del gross profit, pero no es el mismo 20% que genera el 80% del revenue — hay SKUs de alto volumen y bajo margen que distorsionan las decisiones comerciales.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Test EDA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Curva de Pareto: Gross Profit vs Revenue por SKU · Scatter margin % × units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Variables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Product_Cost, Product_Price, Units · Derivada: GP = Units × (Price − Cost)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EDEDE" w:sz="1"/>
              <w:left w:val="single" w:color="0F6E56" w:sz="1"/>
              <w:bottom w:val="single" w:color="DEDEDE" w:sz="1"/>
              <w:right w:val="single" w:color="DEDEDE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H1.2</w:t>
            </w:r>
          </w:p>
        </w:tc>
        <w:tc>
          <w:tcPr>
            <w:tcW w:type="dxa" w:w="864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gross margin % varía significativamente por tipo de ubicación de tienda y por ciudad.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Test EDA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ANOVA / boxplot de margen % por Store_Location y Store_City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Variables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Store_Location, Store_City, Product_Category, Gross Margin % derivado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EDEDE" w:sz="1"/>
              <w:left w:val="single" w:color="0F6E56" w:sz="1"/>
              <w:bottom w:val="single" w:color="DEDEDE" w:sz="1"/>
              <w:right w:val="single" w:color="DEDEDE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H1.3</w:t>
            </w:r>
          </w:p>
        </w:tc>
        <w:tc>
          <w:tcPr>
            <w:tcW w:type="dxa" w:w="864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crecimiento de revenue no ha estado acompañado de crecimiento proporcional en gross profit — existen períodos donde vender más resultó en menor rentabilidad, evidenciando crecimiento no rentable.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Test EDA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Serie temporal Revenue vs Gross Profit mensual · Divergencia CAGR revenue vs CAGR GP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Variables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Date, Units, Price, Cost · Derivadas: Revenue, GP, CAGR por período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200" w:sz="1"/>
              <w:left w:val="single" w:color="7A4200" w:sz="1"/>
              <w:bottom w:val="single" w:color="7A4200" w:sz="1"/>
              <w:right w:val="single" w:color="7A4200" w:sz="1"/>
            </w:tcBorders>
            <w:shd w:fill="7A42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D2  ·  Eficiencia del Inventario</w:t>
            </w:r>
            <w:r>
              <w:rPr>
                <w:rFonts w:ascii="Arial" w:cs="Arial" w:eastAsia="Arial" w:hAnsi="Arial"/>
                <w:i/>
                <w:iCs/>
                <w:color w:val="F5D9A8"/>
                <w:sz w:val="18"/>
                <w:szCs w:val="18"/>
              </w:rPr>
              <w:t xml:space="preserve">     ¿El stock está alineado con la demanda real?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EDEDE" w:sz="1"/>
              <w:left w:val="single" w:color="7A4200" w:sz="1"/>
              <w:bottom w:val="single" w:color="DEDEDE" w:sz="1"/>
              <w:right w:val="single" w:color="DEDEDE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6"/>
                <w:szCs w:val="16"/>
              </w:rPr>
              <w:t xml:space="preserve">H2.1</w:t>
            </w:r>
          </w:p>
        </w:tc>
        <w:tc>
          <w:tcPr>
            <w:tcW w:type="dxa" w:w="864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Existen SKUs con Stock_On_Hand persistentemente alto y bajo sell-through, coexistiendo en la misma tienda con SKUs que presentan quiebres frecuentes — el problema no es de nivel agregado sino de distribución interna.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Test EDA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Distribución de DIO por SKU/Tienda · Identificación de días con Stock=0 vs Stock &gt; umbral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Variables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Stock_On_Hand, Date, Units · DIO = Stock / (COGS / 365)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EDEDE" w:sz="1"/>
              <w:left w:val="single" w:color="7A4200" w:sz="1"/>
              <w:bottom w:val="single" w:color="DEDEDE" w:sz="1"/>
              <w:right w:val="single" w:color="DEDEDE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6"/>
                <w:szCs w:val="16"/>
              </w:rPr>
              <w:t xml:space="preserve">H2.2</w:t>
            </w:r>
          </w:p>
        </w:tc>
        <w:tc>
          <w:tcPr>
            <w:tcW w:type="dxa" w:w="864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 categorías con menor Inventory Turns coinciden con las de menor gross margin % — una doble penalización: el negocio inmoviliza capital en productos que además son poco rentables.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Test EDA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Scatter Inventory Turns × Gross Margin % por categoría · Cuadrante rentabilidad-rotación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Variables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Stock_On_Hand, Cost, Units · Inventory Turns = COGS / AVG(Stock × Cost)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EDEDE" w:sz="1"/>
              <w:left w:val="single" w:color="7A4200" w:sz="1"/>
              <w:bottom w:val="single" w:color="DEDEDE" w:sz="1"/>
              <w:right w:val="single" w:color="DEDEDE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6"/>
                <w:szCs w:val="16"/>
              </w:rPr>
              <w:t xml:space="preserve">H2.3</w:t>
            </w:r>
          </w:p>
        </w:tc>
        <w:tc>
          <w:tcPr>
            <w:tcW w:type="dxa" w:w="864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demanda tiene estacionalidad marcada y predecible, pero el inventario no refleja esos patrones — el sobrestock ocurre fuera de temporada y los quiebres en picos de demanda, evidenciando planeación reactiva.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Test EDA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Índice estacional por mes/categoría · Cruce Stock_On_Hand vs ventas en períodos pico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Variables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 (mes/trimestre), Units, Stock_On_Hand · Ratio Stock/Demanda por período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2F8A" w:sz="1"/>
              <w:left w:val="single" w:color="3B2F8A" w:sz="1"/>
              <w:bottom w:val="single" w:color="3B2F8A" w:sz="1"/>
              <w:right w:val="single" w:color="3B2F8A" w:sz="1"/>
            </w:tcBorders>
            <w:shd w:fill="3B2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D3  ·  Crecimiento de Ventas</w:t>
            </w:r>
            <w:r>
              <w:rPr>
                <w:rFonts w:ascii="Arial" w:cs="Arial" w:eastAsia="Arial" w:hAnsi="Arial"/>
                <w:i/>
                <w:iCs/>
                <w:color w:val="C5C2F5"/>
                <w:sz w:val="18"/>
                <w:szCs w:val="18"/>
              </w:rPr>
              <w:t xml:space="preserve">     ¿Dónde y qué está creciendo realmente?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EDEDE" w:sz="1"/>
              <w:left w:val="single" w:color="3B2F8A" w:sz="1"/>
              <w:bottom w:val="single" w:color="DEDEDE" w:sz="1"/>
              <w:right w:val="single" w:color="DEDEDE" w:sz="1"/>
            </w:tcBorders>
            <w:shd w:fill="EFE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2F8A"/>
                <w:sz w:val="16"/>
                <w:szCs w:val="16"/>
              </w:rPr>
              <w:t xml:space="preserve">H3.1</w:t>
            </w:r>
          </w:p>
        </w:tc>
        <w:tc>
          <w:tcPr>
            <w:tcW w:type="dxa" w:w="864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crecimiento de ventas está concentrado en pocas tiendas y categorías — la mayoría opera estancada o en declive, y el promedio agregado oculta una distribución muy desigual del desempeño.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B2F8A"/>
                <w:sz w:val="17"/>
                <w:szCs w:val="17"/>
              </w:rPr>
              <w:t xml:space="preserve">Test EDA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CAGR por tienda y categoría · Distribución de Sales Growth · Mapa de calor tienda × período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B2F8A"/>
                <w:sz w:val="17"/>
                <w:szCs w:val="17"/>
              </w:rPr>
              <w:t xml:space="preserve">Variables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Date, Store_ID, Product_Category, Units × Price → Revenue por período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EDEDE" w:sz="1"/>
              <w:left w:val="single" w:color="3B2F8A" w:sz="1"/>
              <w:bottom w:val="single" w:color="DEDEDE" w:sz="1"/>
              <w:right w:val="single" w:color="DEDEDE" w:sz="1"/>
            </w:tcBorders>
            <w:shd w:fill="EFE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2F8A"/>
                <w:sz w:val="16"/>
                <w:szCs w:val="16"/>
              </w:rPr>
              <w:t xml:space="preserve">H3.2</w:t>
            </w:r>
          </w:p>
        </w:tc>
        <w:tc>
          <w:tcPr>
            <w:tcW w:type="dxa" w:w="864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tipo de ubicación de la tienda (zona turística vs mall vs centro) es un predictor significativo del nivel y patrón de crecimiento — no todas las ubicaciones tienen el mismo potencial estructural de revenue.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B2F8A"/>
                <w:sz w:val="17"/>
                <w:szCs w:val="17"/>
              </w:rPr>
              <w:t xml:space="preserve">Test EDA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Revenue promedio y CAGR por Store_Location · Test de diferencia de medias por tipo de ubicación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B2F8A"/>
                <w:sz w:val="17"/>
                <w:szCs w:val="17"/>
              </w:rPr>
              <w:t xml:space="preserve">Variables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Store_Location, Store_City, Revenue derivado · Antigüedad: Store_Open_Date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D4  ·  Posicionamiento Competitivo</w:t>
            </w:r>
            <w:r>
              <w:rPr>
                <w:rFonts w:ascii="Arial" w:cs="Arial" w:eastAsia="Arial" w:hAnsi="Arial"/>
                <w:i/>
                <w:iCs/>
                <w:color w:val="F5B8B8"/>
                <w:sz w:val="18"/>
                <w:szCs w:val="18"/>
              </w:rPr>
              <w:t xml:space="preserve">     ¿En qué tiene ventaja real el negocio?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EDEDE" w:sz="1"/>
              <w:left w:val="single" w:color="8B1A1A" w:sz="1"/>
              <w:bottom w:val="single" w:color="DEDEDE" w:sz="1"/>
              <w:right w:val="single" w:color="DEDEDE" w:sz="1"/>
            </w:tcBorders>
            <w:shd w:fill="FB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H4.1</w:t>
            </w:r>
          </w:p>
        </w:tc>
        <w:tc>
          <w:tcPr>
            <w:tcW w:type="dxa" w:w="864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 categorías artesanales y coleccionables tienen un margen significativamente mayor al promedio del portafolio, pero representan una fracción minoritaria del volumen de ventas — evidencia de un posicionamiento premium subexplotado.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Test EDA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Gross margin % por categoría · Participación en revenue de categorías premium vs total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Variables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Product_Category, Price, Cost, Units · Price Index = Price / AVG(Price total)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EDEDE" w:sz="1"/>
              <w:left w:val="single" w:color="8B1A1A" w:sz="1"/>
              <w:bottom w:val="single" w:color="DEDEDE" w:sz="1"/>
              <w:right w:val="single" w:color="DEDEDE" w:sz="1"/>
            </w:tcBorders>
            <w:shd w:fill="FB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H4.2</w:t>
            </w:r>
          </w:p>
        </w:tc>
        <w:tc>
          <w:tcPr>
            <w:tcW w:type="dxa" w:w="864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Existe correlación positiva entre el precio promedio de los productos vendidos en una tienda y su gross margin — las tiendas que venden más caro no necesariamente venden más, pero sí son más rentables por unidad.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Test EDA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Correlación AVG(Price) × Gross Margin % por tienda · Scatter ROS aproximado vs ticket promedio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Variables 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Product_Price, Product_Cost, Store_ID · ROS ≈ Gross Profit / Revenue por tienda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D1 · Rentabilidad</w:t>
            </w:r>
          </w:p>
        </w:tc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36"/>
                <w:szCs w:val="36"/>
              </w:rPr>
              <w:t xml:space="preserve">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7A4200"/>
                <w:sz w:val="17"/>
                <w:szCs w:val="17"/>
              </w:rPr>
              <w:t xml:space="preserve">D2 · Inventario</w:t>
            </w:r>
          </w:p>
        </w:tc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FEC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2F8A"/>
                <w:sz w:val="36"/>
                <w:szCs w:val="36"/>
              </w:rPr>
              <w:t xml:space="preserve">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B2F8A"/>
                <w:sz w:val="17"/>
                <w:szCs w:val="17"/>
              </w:rPr>
              <w:t xml:space="preserve">D3 · Crecimiento</w:t>
            </w:r>
          </w:p>
        </w:tc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B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36"/>
                <w:szCs w:val="36"/>
              </w:rPr>
              <w:t xml:space="preserve">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8B1A1A"/>
                <w:sz w:val="17"/>
                <w:szCs w:val="17"/>
              </w:rPr>
              <w:t xml:space="preserve">D4 · Posicionamiento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10 hipótesis totales · todas falsificables con el modelo de datos actual · cada una conectada a un Business Goal</w:t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3. Logic Tree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Descomposición MECE (Mutuamente Excluyente, Colectivamente Exhaustiva) del problema desde la pregunta raíz hasta los potential drivers accionables. Cada nodo hoja alimenta directamente el KPI Tree.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c3d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8EAD9"/>
                <w:spacing w:val="60"/>
                <w:sz w:val="15"/>
                <w:szCs w:val="15"/>
              </w:rPr>
              <w:t xml:space="preserve">PREGUNTA RAÍZ</w:t>
            </w:r>
          </w:p>
          <w:p>
            <w:pPr>
              <w:spacing w:after="20" w:before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drivers de rentabilidad, eficiencia operativa y posicionamiento debe optimizar la empresa para construir una estrategia competitiva sostenible?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EDEDE"/>
          <w:sz w:val="24"/>
          <w:szCs w:val="24"/>
        </w:rPr>
        <w:t xml:space="preserve">↓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5"/>
                <w:szCs w:val="15"/>
              </w:rPr>
              <w:t xml:space="preserve">D1</w:t>
            </w:r>
          </w:p>
          <w:p>
            <w:pPr>
              <w:spacing w:after="20" w:before="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Rentabilidad
del Portafolio</w:t>
            </w:r>
          </w:p>
        </w:tc>
        <w:tc>
          <w:tcPr>
            <w:tcBorders>
              <w:top w:val="single" w:color="7A4200" w:sz="1"/>
              <w:left w:val="single" w:color="7A4200" w:sz="1"/>
              <w:bottom w:val="single" w:color="7A4200" w:sz="1"/>
              <w:right w:val="single" w:color="7A4200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pacing w:val="40"/>
                <w:sz w:val="15"/>
                <w:szCs w:val="15"/>
              </w:rPr>
              <w:t xml:space="preserve">D2</w:t>
            </w:r>
          </w:p>
          <w:p>
            <w:pPr>
              <w:spacing w:after="20" w:before="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Eficiencia del
Inventario</w:t>
            </w:r>
          </w:p>
        </w:tc>
        <w:tc>
          <w:tcPr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B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pacing w:val="40"/>
                <w:sz w:val="15"/>
                <w:szCs w:val="15"/>
              </w:rPr>
              <w:t xml:space="preserve">D3/D4</w:t>
            </w:r>
          </w:p>
          <w:p>
            <w:pPr>
              <w:spacing w:after="20" w:before="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Posicionamiento &amp;
Crecimiento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EDEDE"/>
          <w:sz w:val="24"/>
          <w:szCs w:val="24"/>
        </w:rPr>
        <w:t xml:space="preserve">↓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60"/>
        <w:gridCol w:w="1040"/>
        <w:gridCol w:w="1040"/>
        <w:gridCol w:w="1040"/>
        <w:gridCol w:w="60"/>
        <w:gridCol w:w="1040"/>
        <w:gridCol w:w="104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Margen
SKU/Cat.</w:t>
            </w:r>
          </w:p>
        </w:tc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Margen
Tienda</w:t>
            </w:r>
          </w:p>
        </w:tc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Crec.
Rentable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7A4200" w:sz="1"/>
              <w:left w:val="single" w:color="7A4200" w:sz="1"/>
              <w:bottom w:val="single" w:color="7A4200" w:sz="1"/>
              <w:right w:val="single" w:color="7A4200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Stock
Distrib.</w:t>
            </w:r>
          </w:p>
        </w:tc>
        <w:tc>
          <w:tcPr>
            <w:tcBorders>
              <w:top w:val="single" w:color="7A4200" w:sz="1"/>
              <w:left w:val="single" w:color="7A4200" w:sz="1"/>
              <w:bottom w:val="single" w:color="7A4200" w:sz="1"/>
              <w:right w:val="single" w:color="7A4200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Rotación
Cat.</w:t>
            </w:r>
          </w:p>
        </w:tc>
        <w:tc>
          <w:tcPr>
            <w:tcBorders>
              <w:top w:val="single" w:color="7A4200" w:sz="1"/>
              <w:left w:val="single" w:color="7A4200" w:sz="1"/>
              <w:bottom w:val="single" w:color="7A4200" w:sz="1"/>
              <w:right w:val="single" w:color="7A4200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Alineación
Estacional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B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Mix
Exclusivo</w:t>
            </w:r>
          </w:p>
        </w:tc>
        <w:tc>
          <w:tcPr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B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Estrategia
de Precio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↓  Potential Drivers (nodos hoja)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60"/>
        <w:gridCol w:w="1040"/>
        <w:gridCol w:w="1040"/>
        <w:gridCol w:w="1040"/>
        <w:gridCol w:w="60"/>
        <w:gridCol w:w="1040"/>
        <w:gridCol w:w="1040"/>
      </w:tblGrid>
      <w:tr>
        <w:tc>
          <w:tcPr>
            <w:tcBorders>
              <w:top w:val="single" w:color="0F6E56" w:sz="1"/>
              <w:left w:val="dashed" w:color="0F6E56" w:sz="1"/>
              <w:bottom w:val="single" w:color="0F6E56" w:sz="1"/>
              <w:right w:val="dashed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Price/Cost
ratio × SKU</w:t>
            </w:r>
          </w:p>
        </w:tc>
        <w:tc>
          <w:tcPr>
            <w:tcBorders>
              <w:top w:val="single" w:color="0F6E56" w:sz="1"/>
              <w:left w:val="dashed" w:color="0F6E56" w:sz="1"/>
              <w:bottom w:val="single" w:color="0F6E56" w:sz="1"/>
              <w:right w:val="dashed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Margen %
Store_Location</w:t>
            </w:r>
          </w:p>
        </w:tc>
        <w:tc>
          <w:tcPr>
            <w:tcBorders>
              <w:top w:val="single" w:color="0F6E56" w:sz="1"/>
              <w:left w:val="dashed" w:color="0F6E56" w:sz="1"/>
              <w:bottom w:val="single" w:color="0F6E56" w:sz="1"/>
              <w:right w:val="dashed" w:color="0F6E5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Rev vs GP
Divergence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7A4200" w:sz="1"/>
              <w:left w:val="dashed" w:color="7A4200" w:sz="1"/>
              <w:bottom w:val="single" w:color="7A4200" w:sz="1"/>
              <w:right w:val="dashed" w:color="7A42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DIO × SKU
Stockout freq.</w:t>
            </w:r>
          </w:p>
        </w:tc>
        <w:tc>
          <w:tcPr>
            <w:tcBorders>
              <w:top w:val="single" w:color="7A4200" w:sz="1"/>
              <w:left w:val="dashed" w:color="7A4200" w:sz="1"/>
              <w:bottom w:val="single" w:color="7A4200" w:sz="1"/>
              <w:right w:val="dashed" w:color="7A42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Inv. Turns
× margen</w:t>
            </w:r>
          </w:p>
        </w:tc>
        <w:tc>
          <w:tcPr>
            <w:tcBorders>
              <w:top w:val="single" w:color="7A4200" w:sz="1"/>
              <w:left w:val="dashed" w:color="7A4200" w:sz="1"/>
              <w:bottom w:val="single" w:color="7A4200" w:sz="1"/>
              <w:right w:val="dashed" w:color="7A42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7"/>
                <w:szCs w:val="17"/>
              </w:rPr>
              <w:t xml:space="preserve">Seasonal idx
Stock/Demand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8B1A1A" w:sz="1"/>
              <w:left w:val="dashed" w:color="8B1A1A" w:sz="1"/>
              <w:bottom w:val="single" w:color="8B1A1A" w:sz="1"/>
              <w:right w:val="dashed" w:color="8B1A1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% SKUs
premium</w:t>
            </w:r>
          </w:p>
        </w:tc>
        <w:tc>
          <w:tcPr>
            <w:tcBorders>
              <w:top w:val="single" w:color="8B1A1A" w:sz="1"/>
              <w:left w:val="dashed" w:color="8B1A1A" w:sz="1"/>
              <w:bottom w:val="single" w:color="8B1A1A" w:sz="1"/>
              <w:right w:val="dashed" w:color="8B1A1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Price Index
Ticket · ROS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Los 8 nodos hoja (bordes punteados) son los potential drivers — cada uno se traduce en un KPI medible en el KPI Tree.</w:t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4. KPI Tree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Cada potential driver del Logic Tree se convierte en un KPI medible con fórmula, fuente de dato y conexión explícita al driver que lo origina.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  ·  Rentabilidad del Portafolio — KPIs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none" w:color="FFFFFF" w:sz="0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KPI 1.1</w:t>
            </w:r>
          </w:p>
          <w:p>
            <w:pPr>
              <w:spacing w:after="6" w:before="0"/>
              <w:jc w:val="center"/>
            </w:pPr>
            <w:r>
              <w:rPr>
                <w:rFonts w:ascii="Courier New" w:cs="Courier New" w:eastAsia="Courier New" w:hAnsi="Courier New"/>
                <w:color w:val="0F6E56"/>
                <w:sz w:val="14"/>
                <w:szCs w:val="14"/>
              </w:rPr>
              <w:t xml:space="preserve">GP/Rev×100</w:t>
            </w:r>
          </w:p>
        </w:tc>
        <w:tc>
          <w:tcPr>
            <w:tcW w:type="dxa" w:w="816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Gross Margin %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Margen bruto por SKU, categoría y tienda. KPI central de rentabilidad del portafolio.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0F6E56"/>
                <w:sz w:val="17"/>
                <w:szCs w:val="17"/>
              </w:rPr>
              <w:t xml:space="preserve">← Driver: Price/Cost ratio × SKU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none" w:color="FFFFFF" w:sz="0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KPI 1.2</w:t>
            </w:r>
          </w:p>
          <w:p>
            <w:pPr>
              <w:spacing w:after="6" w:before="0"/>
              <w:jc w:val="center"/>
            </w:pPr>
            <w:r>
              <w:rPr>
                <w:rFonts w:ascii="Courier New" w:cs="Courier New" w:eastAsia="Courier New" w:hAnsi="Courier New"/>
                <w:color w:val="0F6E56"/>
                <w:sz w:val="14"/>
                <w:szCs w:val="14"/>
              </w:rPr>
              <w:t xml:space="preserve">GP_t/Rev_t×100</w:t>
            </w:r>
          </w:p>
        </w:tc>
        <w:tc>
          <w:tcPr>
            <w:tcW w:type="dxa" w:w="816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Gross Margin % por Ubicación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Variación de margen por Store_Location y Store_City — test de H1.2.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0F6E56"/>
                <w:sz w:val="17"/>
                <w:szCs w:val="17"/>
              </w:rPr>
              <w:t xml:space="preserve">← Driver: Margen % × Store_Location / Store_City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none" w:color="FFFFFF" w:sz="0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KPI 1.3</w:t>
            </w:r>
          </w:p>
          <w:p>
            <w:pPr>
              <w:spacing w:after="6" w:before="0"/>
              <w:jc w:val="center"/>
            </w:pPr>
            <w:r>
              <w:rPr>
                <w:rFonts w:ascii="Courier New" w:cs="Courier New" w:eastAsia="Courier New" w:hAnsi="Courier New"/>
                <w:color w:val="0F6E56"/>
                <w:sz w:val="14"/>
                <w:szCs w:val="14"/>
              </w:rPr>
              <w:t xml:space="preserve">(GP_n/GP_0)^(1/n)−1</w:t>
            </w:r>
          </w:p>
        </w:tc>
        <w:tc>
          <w:tcPr>
            <w:tcW w:type="dxa" w:w="816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CAGR Revenue vs CAGR Gross Profit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Divergencia entre crecimiento de ventas y crecimiento de margen — detecta crecimiento no rentable.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0F6E56"/>
                <w:sz w:val="17"/>
                <w:szCs w:val="17"/>
              </w:rPr>
              <w:t xml:space="preserve">← Driver: Revenue vs GP divergence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200" w:sz="1"/>
              <w:left w:val="single" w:color="7A4200" w:sz="1"/>
              <w:bottom w:val="single" w:color="7A4200" w:sz="1"/>
              <w:right w:val="single" w:color="7A4200" w:sz="1"/>
            </w:tcBorders>
            <w:shd w:fill="7A42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D2  ·  Eficiencia del Inventario — KPIs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A4200" w:sz="1"/>
              <w:left w:val="single" w:color="7A4200" w:sz="1"/>
              <w:bottom w:val="single" w:color="7A4200" w:sz="1"/>
              <w:right w:val="none" w:color="FFFFFF" w:sz="0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6"/>
                <w:szCs w:val="16"/>
              </w:rPr>
              <w:t xml:space="preserve">KPI 2.1</w:t>
            </w:r>
          </w:p>
          <w:p>
            <w:pPr>
              <w:spacing w:after="6" w:before="0"/>
              <w:jc w:val="center"/>
            </w:pPr>
            <w:r>
              <w:rPr>
                <w:rFonts w:ascii="Courier New" w:cs="Courier New" w:eastAsia="Courier New" w:hAnsi="Courier New"/>
                <w:color w:val="7A4200"/>
                <w:sz w:val="14"/>
                <w:szCs w:val="14"/>
              </w:rPr>
              <w:t xml:space="preserve">Stock/(COGS/365)</w:t>
            </w:r>
          </w:p>
        </w:tc>
        <w:tc>
          <w:tcPr>
            <w:tcW w:type="dxa" w:w="816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DIO + Stockout Rate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Días de inventario por SKU/tienda y frecuencia de quiebre. Identifica el desbalance de distribución interna de stock.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A4200"/>
                <w:sz w:val="17"/>
                <w:szCs w:val="17"/>
              </w:rPr>
              <w:t xml:space="preserve">← Driver: DIO × SKU · Stockout frequency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A4200" w:sz="1"/>
              <w:left w:val="single" w:color="7A4200" w:sz="1"/>
              <w:bottom w:val="single" w:color="7A4200" w:sz="1"/>
              <w:right w:val="none" w:color="FFFFFF" w:sz="0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6"/>
                <w:szCs w:val="16"/>
              </w:rPr>
              <w:t xml:space="preserve">KPI 2.2</w:t>
            </w:r>
          </w:p>
          <w:p>
            <w:pPr>
              <w:spacing w:after="6" w:before="0"/>
              <w:jc w:val="center"/>
            </w:pPr>
            <w:r>
              <w:rPr>
                <w:rFonts w:ascii="Courier New" w:cs="Courier New" w:eastAsia="Courier New" w:hAnsi="Courier New"/>
                <w:color w:val="7A4200"/>
                <w:sz w:val="14"/>
                <w:szCs w:val="14"/>
              </w:rPr>
              <w:t xml:space="preserve">COGS/AVG(Stk×Cost)</w:t>
            </w:r>
          </w:p>
        </w:tc>
        <w:tc>
          <w:tcPr>
            <w:tcW w:type="dxa" w:w="816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Inventory Turns × Margen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Rotación de inventario cruzada con gross margin % por categoría. Detecta la doble penalización de H2.2.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A4200"/>
                <w:sz w:val="17"/>
                <w:szCs w:val="17"/>
              </w:rPr>
              <w:t xml:space="preserve">← Driver: Inventory Turns × Gross Margin por categoría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A4200" w:sz="1"/>
              <w:left w:val="single" w:color="7A4200" w:sz="1"/>
              <w:bottom w:val="single" w:color="7A4200" w:sz="1"/>
              <w:right w:val="none" w:color="FFFFFF" w:sz="0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6"/>
                <w:szCs w:val="16"/>
              </w:rPr>
              <w:t xml:space="preserve">KPI 2.3</w:t>
            </w:r>
          </w:p>
          <w:p>
            <w:pPr>
              <w:spacing w:after="6" w:before="0"/>
              <w:jc w:val="center"/>
            </w:pPr>
            <w:r>
              <w:rPr>
                <w:rFonts w:ascii="Courier New" w:cs="Courier New" w:eastAsia="Courier New" w:hAnsi="Courier New"/>
                <w:color w:val="7A4200"/>
                <w:sz w:val="14"/>
                <w:szCs w:val="14"/>
              </w:rPr>
              <w:t xml:space="preserve">Stock_mes/Dem_prom</w:t>
            </w:r>
          </w:p>
        </w:tc>
        <w:tc>
          <w:tcPr>
            <w:tcW w:type="dxa" w:w="816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Índice Estacional de Stock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Alineación entre nivel de stock y demanda por período y categoría. Evidencia planeación reactiva de H2.3.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A4200"/>
                <w:sz w:val="17"/>
                <w:szCs w:val="17"/>
              </w:rPr>
              <w:t xml:space="preserve">← Driver: Seasonal index · Ratio Stock/Demanda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D3/D4  ·  Crecimiento &amp; Posicionamiento — KPIs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none" w:color="FFFFFF" w:sz="0"/>
            </w:tcBorders>
            <w:shd w:fill="FB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KPI 3.1</w:t>
            </w:r>
          </w:p>
          <w:p>
            <w:pPr>
              <w:spacing w:after="6" w:before="0"/>
              <w:jc w:val="center"/>
            </w:pPr>
            <w:r>
              <w:rPr>
                <w:rFonts w:ascii="Courier New" w:cs="Courier New" w:eastAsia="Courier New" w:hAnsi="Courier New"/>
                <w:color w:val="8B1A1A"/>
                <w:sz w:val="14"/>
                <w:szCs w:val="14"/>
              </w:rPr>
              <w:t xml:space="preserve">Rev_prem/Rev_total</w:t>
            </w:r>
          </w:p>
        </w:tc>
        <w:tc>
          <w:tcPr>
            <w:tcW w:type="dxa" w:w="816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Premium Mix % + Margen Premium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Participación de SKUs exclusivos/artesanales en revenue y su margen diferencial vs genéricos.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8B1A1A"/>
                <w:sz w:val="17"/>
                <w:szCs w:val="17"/>
              </w:rPr>
              <w:t xml:space="preserve">← Driver: % SKUs premium · Margen premium vs genérico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none" w:color="FFFFFF" w:sz="0"/>
            </w:tcBorders>
            <w:shd w:fill="FB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KPI 3.2</w:t>
            </w:r>
          </w:p>
          <w:p>
            <w:pPr>
              <w:spacing w:after="6" w:before="0"/>
              <w:jc w:val="center"/>
            </w:pPr>
            <w:r>
              <w:rPr>
                <w:rFonts w:ascii="Courier New" w:cs="Courier New" w:eastAsia="Courier New" w:hAnsi="Courier New"/>
                <w:color w:val="8B1A1A"/>
                <w:sz w:val="14"/>
                <w:szCs w:val="14"/>
              </w:rPr>
              <w:t xml:space="preserve">AVG(P)/AVG_tot · GP/Rev</w:t>
            </w:r>
          </w:p>
        </w:tc>
        <w:tc>
          <w:tcPr>
            <w:tcW w:type="dxa" w:w="8160"/>
            <w:tcBorders>
              <w:top w:val="single" w:color="DEDEDE" w:sz="1"/>
              <w:left w:val="none" w:color="FFFFFF" w:sz="0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 Index + ROS aproximado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Ticket promedio y posición de precio por tienda. ROS aproximado como proxy de rentabilidad operativa.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8B1A1A"/>
                <w:sz w:val="17"/>
                <w:szCs w:val="17"/>
              </w:rPr>
              <w:t xml:space="preserve">← Driver: Ticket promedio · Price Index · ROS ≈ GP/Revenue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Pregunta
Raíz</w:t>
            </w:r>
          </w:p>
        </w:tc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3
Dimensiones</w:t>
            </w:r>
          </w:p>
        </w:tc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8
Sub-dim.</w:t>
            </w:r>
          </w:p>
        </w:tc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8
Drivers</w:t>
            </w:r>
          </w:p>
        </w:tc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 KPIs
medibles</w:t>
            </w:r>
          </w:p>
        </w:tc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c3d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Decision
Tree →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5. Decision Tree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Derivado del KPI Tree, el Decision Tree conecta cada KPI con sus palancas internas controlables (Levers), los potential drivers que las activan (del Logic Tree) y el Measurable Outcome que resulta de su optimización.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KPI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Métrica a mover</w:t>
            </w:r>
          </w:p>
        </w:tc>
        <w:tc>
          <w:tcPr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⚙ LEVERS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Palancas internas controlables</w:t>
            </w:r>
          </w:p>
        </w:tc>
        <w:tc>
          <w:tcPr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📌 DRIVERS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Potential drivers del Logic Tree</w:t>
            </w:r>
          </w:p>
        </w:tc>
        <w:tc>
          <w:tcPr>
            <w:tcBorders>
              <w:top w:val="single" w:color="0A0A0A" w:sz="1"/>
              <w:left w:val="single" w:color="0A0A0A" w:sz="1"/>
              <w:bottom w:val="single" w:color="0A0A0A" w:sz="1"/>
              <w:right w:val="single" w:color="0A0A0A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🎯 OUTCOME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Resultado medible esperado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D1  ·  Rentabilidad del Portafolio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DEDEDE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5"/>
                <w:szCs w:val="15"/>
              </w:rPr>
              <w:t xml:space="preserve">KPI 1.1</w:t>
            </w:r>
          </w:p>
          <w:p>
            <w:pPr>
              <w:spacing w:after="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Gross Margin %</w:t>
            </w:r>
          </w:p>
          <w:p>
            <w:pPr>
              <w:spacing w:after="30" w:before="0"/>
              <w:jc w:val="center"/>
            </w:pPr>
            <w:r>
              <w:rPr>
                <w:rFonts w:ascii="Courier New" w:cs="Courier New" w:eastAsia="Courier New" w:hAnsi="Courier New"/>
                <w:color w:val="0F6E56"/>
                <w:sz w:val="14"/>
                <w:szCs w:val="14"/>
              </w:rPr>
              <w:t xml:space="preserve">GP/Rev×100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5"/>
                <w:szCs w:val="15"/>
              </w:rPr>
              <w:t xml:space="preserve">⚙  LEVERS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Ajustar precio lista en SKUs de margen bajo sin riesgo de volumen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Renegociar costo de compra con proveedores clave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Descontinuar SKUs donde Cost/Price ratio &gt; 0.75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5"/>
                <w:szCs w:val="15"/>
              </w:rPr>
              <w:t xml:space="preserve">📌 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Price/Cost ratio por SKU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Pareto margen × volumen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Mix de categorías por tienda</w:t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5"/>
                <w:szCs w:val="15"/>
              </w:rPr>
              <w:t xml:space="preserve">🎯  OUTCOME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Gross Margin % agregado ↑ hacia benchmark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0F6E56"/>
                <w:sz w:val="17"/>
                <w:szCs w:val="17"/>
              </w:rPr>
              <w:t xml:space="preserve">Meta: Margen bruto ≥ X% sostenido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DEDEDE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5"/>
                <w:szCs w:val="15"/>
              </w:rPr>
              <w:t xml:space="preserve">KPI 1.2</w:t>
            </w:r>
          </w:p>
          <w:p>
            <w:pPr>
              <w:spacing w:after="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GM% por Ubicación</w:t>
            </w:r>
          </w:p>
          <w:p>
            <w:pPr>
              <w:spacing w:after="30" w:before="0"/>
              <w:jc w:val="center"/>
            </w:pPr>
            <w:r>
              <w:rPr>
                <w:rFonts w:ascii="Courier New" w:cs="Courier New" w:eastAsia="Courier New" w:hAnsi="Courier New"/>
                <w:color w:val="0F6E56"/>
                <w:sz w:val="14"/>
                <w:szCs w:val="14"/>
              </w:rPr>
              <w:t xml:space="preserve">GP_t/Rev_t×100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5"/>
                <w:szCs w:val="15"/>
              </w:rPr>
              <w:t xml:space="preserve">⚙  LEVERS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Asignar mix de SKUs premium diferenciado por tipo de ubicación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Reconfigurar planograma según perfil de cliente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Aplicar pricing diferenciado por Store_Location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5"/>
                <w:szCs w:val="15"/>
              </w:rPr>
              <w:t xml:space="preserve">📌 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Margen % × Store_Location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Store_City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Mix categoría × ubicación</w:t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5"/>
                <w:szCs w:val="15"/>
              </w:rPr>
              <w:t xml:space="preserve">🎯  OUTCOME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Varianza inter-tiendas de margen ↓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0F6E56"/>
                <w:sz w:val="17"/>
                <w:szCs w:val="17"/>
              </w:rPr>
              <w:t xml:space="preserve">Meta: Desviación estándar margen % ↓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DEDEDE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5"/>
                <w:szCs w:val="15"/>
              </w:rPr>
              <w:t xml:space="preserve">KPI 1.3</w:t>
            </w:r>
          </w:p>
          <w:p>
            <w:pPr>
              <w:spacing w:after="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CAGR Rev vs CAGR GP</w:t>
            </w:r>
          </w:p>
          <w:p>
            <w:pPr>
              <w:spacing w:after="30" w:before="0"/>
              <w:jc w:val="center"/>
            </w:pPr>
            <w:r>
              <w:rPr>
                <w:rFonts w:ascii="Courier New" w:cs="Courier New" w:eastAsia="Courier New" w:hAnsi="Courier New"/>
                <w:color w:val="0F6E56"/>
                <w:sz w:val="14"/>
                <w:szCs w:val="14"/>
              </w:rPr>
              <w:t xml:space="preserve">(GP_n/GP_0)^(1/n)−1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5"/>
                <w:szCs w:val="15"/>
              </w:rPr>
              <w:t xml:space="preserve">⚙  LEVERS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Priorizar acciones comerciales en categorías de alto margen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Limitar descuentos donde comprimen margen neto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Definir umbral de margen mínimo por acción de crecimiento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5"/>
                <w:szCs w:val="15"/>
              </w:rPr>
              <w:t xml:space="preserve">📌 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Revenue vs GP divergence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Sales Growth % mensual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Mix de crecimiento por categoría</w:t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5"/>
                <w:szCs w:val="15"/>
              </w:rPr>
              <w:t xml:space="preserve">🎯  OUTCOME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CAGR GP ≥ CAGR Revenue — crecimiento rentable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0F6E56"/>
                <w:sz w:val="17"/>
                <w:szCs w:val="17"/>
              </w:rPr>
              <w:t xml:space="preserve">Meta: Ratio CAGR GP / CAGR Rev ≥ 1.0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200" w:sz="1"/>
              <w:left w:val="single" w:color="7A4200" w:sz="1"/>
              <w:bottom w:val="single" w:color="7A4200" w:sz="1"/>
              <w:right w:val="single" w:color="7A4200" w:sz="1"/>
            </w:tcBorders>
            <w:shd w:fill="7A42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D2  ·  Eficiencia del Inventario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7A4200" w:sz="1"/>
              <w:left w:val="single" w:color="7A4200" w:sz="1"/>
              <w:bottom w:val="single" w:color="7A4200" w:sz="1"/>
              <w:right w:val="single" w:color="DEDEDE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5"/>
                <w:szCs w:val="15"/>
              </w:rPr>
              <w:t xml:space="preserve">KPI 2.1</w:t>
            </w:r>
          </w:p>
          <w:p>
            <w:pPr>
              <w:spacing w:after="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DIO + Stockout Rate</w:t>
            </w:r>
          </w:p>
          <w:p>
            <w:pPr>
              <w:spacing w:after="30" w:before="0"/>
              <w:jc w:val="center"/>
            </w:pPr>
            <w:r>
              <w:rPr>
                <w:rFonts w:ascii="Courier New" w:cs="Courier New" w:eastAsia="Courier New" w:hAnsi="Courier New"/>
                <w:color w:val="7A4200"/>
                <w:sz w:val="14"/>
                <w:szCs w:val="14"/>
              </w:rPr>
              <w:t xml:space="preserve">Stk/(COGS/365)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7A4200"/>
                <w:spacing w:val="40"/>
                <w:sz w:val="15"/>
                <w:szCs w:val="15"/>
              </w:rPr>
              <w:t xml:space="preserve">⚙  LEVERS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Definir punto de reorden (ROP) por SKU y venta diaria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Establecer stock de seguridad por tienda y categoría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Aumentar frecuencia de reabasto en SKUs de alta rotación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7A4200"/>
                <w:spacing w:val="40"/>
                <w:sz w:val="15"/>
                <w:szCs w:val="15"/>
              </w:rPr>
              <w:t xml:space="preserve">📌 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DIO por SKU/Tienda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Frecuencia días Stock=0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Venta diaria promedio por SKU</w:t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7A4200"/>
                <w:spacing w:val="40"/>
                <w:sz w:val="15"/>
                <w:szCs w:val="15"/>
              </w:rPr>
              <w:t xml:space="preserve">🎯  OUTCOME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Stockout rate ↓ · DIO en rango óptimo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A4200"/>
                <w:sz w:val="17"/>
                <w:szCs w:val="17"/>
              </w:rPr>
              <w:t xml:space="preserve">Meta: Stockout rate &lt; X% · DIO en rango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7A4200" w:sz="1"/>
              <w:left w:val="single" w:color="7A4200" w:sz="1"/>
              <w:bottom w:val="single" w:color="7A4200" w:sz="1"/>
              <w:right w:val="single" w:color="DEDEDE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5"/>
                <w:szCs w:val="15"/>
              </w:rPr>
              <w:t xml:space="preserve">KPI 2.2</w:t>
            </w:r>
          </w:p>
          <w:p>
            <w:pPr>
              <w:spacing w:after="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Inventory Turns × Margen</w:t>
            </w:r>
          </w:p>
          <w:p>
            <w:pPr>
              <w:spacing w:after="30" w:before="0"/>
              <w:jc w:val="center"/>
            </w:pPr>
            <w:r>
              <w:rPr>
                <w:rFonts w:ascii="Courier New" w:cs="Courier New" w:eastAsia="Courier New" w:hAnsi="Courier New"/>
                <w:color w:val="7A4200"/>
                <w:sz w:val="14"/>
                <w:szCs w:val="14"/>
              </w:rPr>
              <w:t xml:space="preserve">COGS/AVG(Stk×Cost)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7A4200"/>
                <w:spacing w:val="40"/>
                <w:sz w:val="15"/>
                <w:szCs w:val="15"/>
              </w:rPr>
              <w:t xml:space="preserve">⚙  LEVERS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Liquidar o reducir compra en categorías de baja rotación y bajo margen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Concentrar inversión en cuadrante alta rotación + alto margen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Reducir lote mínimo en SKUs con riesgo de obsolescencia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7A4200"/>
                <w:spacing w:val="40"/>
                <w:sz w:val="15"/>
                <w:szCs w:val="15"/>
              </w:rPr>
              <w:t xml:space="preserve">📌 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Inventory Turns por categoría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Cuadrante rotación × margen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Dead stock % por SKU</w:t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7A4200"/>
                <w:spacing w:val="40"/>
                <w:sz w:val="15"/>
                <w:szCs w:val="15"/>
              </w:rPr>
              <w:t xml:space="preserve">🎯  OUTCOME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Inventory Turns ↑ · capital liberado del dead stock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A4200"/>
                <w:sz w:val="17"/>
                <w:szCs w:val="17"/>
              </w:rPr>
              <w:t xml:space="preserve">Meta: Turns mejora X veces · Dead stock ↓ Y%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7A4200" w:sz="1"/>
              <w:left w:val="single" w:color="7A4200" w:sz="1"/>
              <w:bottom w:val="single" w:color="7A4200" w:sz="1"/>
              <w:right w:val="single" w:color="DEDEDE" w:sz="1"/>
            </w:tcBorders>
            <w:shd w:fill="FD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A4200"/>
                <w:sz w:val="15"/>
                <w:szCs w:val="15"/>
              </w:rPr>
              <w:t xml:space="preserve">KPI 2.3</w:t>
            </w:r>
          </w:p>
          <w:p>
            <w:pPr>
              <w:spacing w:after="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Índice Estacional Stock</w:t>
            </w:r>
          </w:p>
          <w:p>
            <w:pPr>
              <w:spacing w:after="30" w:before="0"/>
              <w:jc w:val="center"/>
            </w:pPr>
            <w:r>
              <w:rPr>
                <w:rFonts w:ascii="Courier New" w:cs="Courier New" w:eastAsia="Courier New" w:hAnsi="Courier New"/>
                <w:color w:val="7A4200"/>
                <w:sz w:val="14"/>
                <w:szCs w:val="14"/>
              </w:rPr>
              <w:t xml:space="preserve">Stk_mes/Dem_prom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7A4200"/>
                <w:spacing w:val="40"/>
                <w:sz w:val="15"/>
                <w:szCs w:val="15"/>
              </w:rPr>
              <w:t xml:space="preserve">⚙  LEVERS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Diseñar plan de compra estacional con 60 días de anticipación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Aplicar política de reabasto diferenciada por temporada/categoría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Reducir órdenes en temporadas bajas para liberar cash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7A4200"/>
                <w:spacing w:val="40"/>
                <w:sz w:val="15"/>
                <w:szCs w:val="15"/>
              </w:rPr>
              <w:t xml:space="preserve">📌 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Índice estacional × categoría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Ratio Stock/Demanda por 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Stockout en períodos pico</w:t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7A4200"/>
                <w:spacing w:val="40"/>
                <w:sz w:val="15"/>
                <w:szCs w:val="15"/>
              </w:rPr>
              <w:t xml:space="preserve">🎯  OUTCOME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Stock alineado a demanda — sin quiebres en pico ni sobrestock en valle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A4200"/>
                <w:sz w:val="17"/>
                <w:szCs w:val="17"/>
              </w:rPr>
              <w:t xml:space="preserve">Meta: Índice Stock/Demanda ≈ 1.0 ± tolerancia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D3/D4  ·  Posicionamiento Competitivo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DEDEDE" w:sz="1"/>
            </w:tcBorders>
            <w:shd w:fill="FB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KPI 3.1</w:t>
            </w:r>
          </w:p>
          <w:p>
            <w:pPr>
              <w:spacing w:after="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Premium Mix % + Margen Premium</w:t>
            </w:r>
          </w:p>
          <w:p>
            <w:pPr>
              <w:spacing w:after="30" w:before="0"/>
              <w:jc w:val="center"/>
            </w:pPr>
            <w:r>
              <w:rPr>
                <w:rFonts w:ascii="Courier New" w:cs="Courier New" w:eastAsia="Courier New" w:hAnsi="Courier New"/>
                <w:color w:val="8B1A1A"/>
                <w:sz w:val="14"/>
                <w:szCs w:val="14"/>
              </w:rPr>
              <w:t xml:space="preserve">Rev_prem/Rev_tot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8B1A1A"/>
                <w:spacing w:val="40"/>
                <w:sz w:val="15"/>
                <w:szCs w:val="15"/>
              </w:rPr>
              <w:t xml:space="preserve">⚙  LEVERS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Ampliar catálogo artesanal y coleccionable con nuevos proveedores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Incrementar espacio y visibilidad de categorías premium en tienda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Reducir gradualmente SKUs genéricos de bajo margen y alta competencia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8B1A1A"/>
                <w:spacing w:val="40"/>
                <w:sz w:val="15"/>
                <w:szCs w:val="15"/>
              </w:rPr>
              <w:t xml:space="preserve">📌 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% SKUs premium en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GP premium vs GP genérico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Sell-through por tipo de SKU</w:t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8B1A1A"/>
                <w:spacing w:val="40"/>
                <w:sz w:val="15"/>
                <w:szCs w:val="15"/>
              </w:rPr>
              <w:t xml:space="preserve">🎯  OUTCOME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Participación revenue premium ↑ — diferenciación medible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8B1A1A"/>
                <w:sz w:val="17"/>
                <w:szCs w:val="17"/>
              </w:rPr>
              <w:t xml:space="preserve">Meta: Rev premium X% → Y% en 12 meses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DEDEDE" w:sz="1"/>
            </w:tcBorders>
            <w:shd w:fill="FB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5"/>
                <w:szCs w:val="15"/>
              </w:rPr>
              <w:t xml:space="preserve">KPI 3.2</w:t>
            </w:r>
          </w:p>
          <w:p>
            <w:pPr>
              <w:spacing w:after="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Price Index + ROS aprox.</w:t>
            </w:r>
          </w:p>
          <w:p>
            <w:pPr>
              <w:spacing w:after="30" w:before="0"/>
              <w:jc w:val="center"/>
            </w:pPr>
            <w:r>
              <w:rPr>
                <w:rFonts w:ascii="Courier New" w:cs="Courier New" w:eastAsia="Courier New" w:hAnsi="Courier New"/>
                <w:color w:val="8B1A1A"/>
                <w:sz w:val="14"/>
                <w:szCs w:val="14"/>
              </w:rPr>
              <w:t xml:space="preserve">AVG(P)/AVG_tot · GP/Rev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8B1A1A"/>
                <w:spacing w:val="40"/>
                <w:sz w:val="15"/>
                <w:szCs w:val="15"/>
              </w:rPr>
              <w:t xml:space="preserve">⚙  LEVERS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Implementar pricing premium en tiendas turísticas donde el cliente lo tolera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Crear bundles para aumentar ticket promedio por transacción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Alinear estrategia de precio por canal (tienda física vs e-commerce)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8B1A1A"/>
                <w:spacing w:val="40"/>
                <w:sz w:val="15"/>
                <w:szCs w:val="15"/>
              </w:rPr>
              <w:t xml:space="preserve">📌 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Ticket promedio por tienda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Price index por Store_Location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ROS ≈ GP/Revenue por tienda</w:t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8B1A1A"/>
                <w:spacing w:val="40"/>
                <w:sz w:val="15"/>
                <w:szCs w:val="15"/>
              </w:rPr>
              <w:t xml:space="preserve">🎯  OUTCOME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Price index ≥ 1.1 en turísticas · ROS mejora sostenida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8B1A1A"/>
                <w:sz w:val="17"/>
                <w:szCs w:val="17"/>
              </w:rPr>
              <w:t xml:space="preserve">Meta: Ticket prom ↑ X% · ROS aprox ≥ Y%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Resumen del Entregable B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Problem Statement  ·  4 Dimensiones  ·  10 Hipótesis  ·  Logic Tree (8 drivers)  ·  KPI Tree (8 KPIs)  ·  Decision Tree (8 KPIs · 24 Levers · 8 Outcomes)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7"/>
                <w:szCs w:val="17"/>
              </w:rPr>
              <w:t xml:space="preserve">Siguiente: Entregable C — Modelo Dimensional Kimball · Star Schema · Fact &amp; Dimension Tables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2" w:space="8"/>
      </w:pBdr>
      <w:tabs>
        <w:tab w:val="right" w:pos="9026"/>
      </w:tabs>
    </w:pPr>
    <w:r>
      <w:rPr>
        <w:rFonts w:ascii="Arial" w:cs="Arial" w:eastAsia="Arial" w:hAnsi="Arial"/>
        <w:color w:val="595959"/>
        <w:sz w:val="17"/>
        <w:szCs w:val="17"/>
      </w:rPr>
      <w:t xml:space="preserve">Problem Statement · Logic Tree · KPI Tree · Decision Tree</w:t>
    </w:r>
    <w:r>
      <w:rPr>
        <w:rFonts w:ascii="Arial" w:cs="Arial" w:eastAsia="Arial" w:hAnsi="Arial"/>
        <w:sz w:val="17"/>
        <w:szCs w:val="17"/>
      </w:rPr>
      <w:t xml:space="preserve">	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DEDE" w:sz="4" w:space="8"/>
      </w:pBdr>
      <w:tabs>
        <w:tab w:val="right" w:pos="9026"/>
      </w:tabs>
    </w:pPr>
    <w:r>
      <w:rPr>
        <w:rFonts w:ascii="Arial" w:cs="Arial" w:eastAsia="Arial" w:hAnsi="Arial"/>
        <w:color w:val="595959"/>
        <w:sz w:val="17"/>
        <w:szCs w:val="17"/>
      </w:rPr>
      <w:t xml:space="preserve">Juguetería Tradición MX  ·  Entregable B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595959"/>
        <w:sz w:val="17"/>
        <w:szCs w:val="17"/>
      </w:rPr>
      <w:t xml:space="preserve">Decision Intelligence End-to-End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0A0A0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A0A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2026-05-08T19:04:53.176Z</dcterms:created>
  <dcterms:modified xsi:type="dcterms:W3CDTF">2026-05-08T19:04:53.197Z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