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38165" w14:textId="15B21F5D" w:rsidR="007D7C63" w:rsidRPr="00803E5D" w:rsidRDefault="512D973F" w:rsidP="512D973F">
      <w:pPr>
        <w:spacing w:after="120"/>
        <w:jc w:val="center"/>
        <w:rPr>
          <w:b/>
          <w:bCs/>
        </w:rPr>
      </w:pPr>
      <w:r w:rsidRPr="00803E5D">
        <w:rPr>
          <w:b/>
          <w:bCs/>
        </w:rPr>
        <w:t>APPENDIX S2 for</w:t>
      </w:r>
    </w:p>
    <w:p w14:paraId="3D046BB1" w14:textId="730288A6" w:rsidR="007D7C63" w:rsidRPr="00803E5D" w:rsidRDefault="512D973F" w:rsidP="512D973F">
      <w:pPr>
        <w:spacing w:after="240"/>
        <w:jc w:val="center"/>
        <w:rPr>
          <w:b/>
          <w:bCs/>
        </w:rPr>
      </w:pPr>
      <w:r w:rsidRPr="00803E5D">
        <w:rPr>
          <w:b/>
          <w:bCs/>
        </w:rPr>
        <w:t>“Following the blind? Database Coding Policies and the Case of IFRS Noncompliance”</w:t>
      </w:r>
    </w:p>
    <w:p w14:paraId="0791DDE8" w14:textId="65957A5F" w:rsidR="00527391" w:rsidRPr="00803E5D" w:rsidRDefault="512D973F" w:rsidP="512D973F">
      <w:pPr>
        <w:spacing w:after="120"/>
        <w:jc w:val="both"/>
      </w:pPr>
      <w:r w:rsidRPr="00803E5D">
        <w:t xml:space="preserve">This supplementary </w:t>
      </w:r>
      <w:bookmarkStart w:id="0" w:name="Editing"/>
      <w:bookmarkEnd w:id="0"/>
      <w:r w:rsidRPr="00803E5D">
        <w:t xml:space="preserve">appendix </w:t>
      </w:r>
      <w:bookmarkStart w:id="1" w:name="_Hlk149077511"/>
      <w:r w:rsidRPr="00803E5D">
        <w:t xml:space="preserve">compares our paper with a related concurrent paper, “Deviations from the Mandatory Adoption of IFRS in Europe? Why Non-adoption Does Not Mean Non-compliance,” by </w:t>
      </w:r>
      <w:r w:rsidR="00915423" w:rsidRPr="008954C6">
        <w:rPr>
          <w:rFonts w:asciiTheme="majorBidi" w:hAnsiTheme="majorBidi" w:cstheme="majorBidi"/>
        </w:rPr>
        <w:t xml:space="preserve">Nobes, C., </w:t>
      </w:r>
      <w:r w:rsidR="00915423" w:rsidRPr="0063169A">
        <w:rPr>
          <w:rFonts w:asciiTheme="majorBidi" w:hAnsiTheme="majorBidi" w:cstheme="majorBidi"/>
        </w:rPr>
        <w:t>&amp; Stadler, C. (2024)</w:t>
      </w:r>
      <w:r w:rsidR="00915423" w:rsidRPr="008954C6">
        <w:rPr>
          <w:rFonts w:asciiTheme="majorBidi" w:hAnsiTheme="majorBidi" w:cstheme="majorBidi"/>
        </w:rPr>
        <w:t>.</w:t>
      </w:r>
      <w:r w:rsidRPr="00803E5D">
        <w:t xml:space="preserve"> </w:t>
      </w:r>
      <w:r w:rsidRPr="00803E5D">
        <w:rPr>
          <w:i/>
          <w:iCs/>
        </w:rPr>
        <w:t>European Accounting Review</w:t>
      </w:r>
      <w:r w:rsidRPr="003770C1">
        <w:t>,</w:t>
      </w:r>
      <w:r w:rsidRPr="00803E5D">
        <w:t xml:space="preserve"> </w:t>
      </w:r>
      <w:r w:rsidRPr="00096B44">
        <w:rPr>
          <w:i/>
          <w:iCs/>
        </w:rPr>
        <w:t>33</w:t>
      </w:r>
      <w:r w:rsidRPr="512D973F">
        <w:t>(4)</w:t>
      </w:r>
      <w:r w:rsidR="003770C1">
        <w:t>,</w:t>
      </w:r>
      <w:r w:rsidRPr="512D973F">
        <w:t xml:space="preserve"> 1497</w:t>
      </w:r>
      <w:r w:rsidRPr="512D973F">
        <w:rPr>
          <w:rFonts w:asciiTheme="majorBidi" w:hAnsiTheme="majorBidi" w:cstheme="majorBidi"/>
        </w:rPr>
        <w:t>–</w:t>
      </w:r>
      <w:r w:rsidRPr="512D973F">
        <w:t xml:space="preserve">1519, </w:t>
      </w:r>
      <w:r w:rsidRPr="00803E5D">
        <w:t>hereafter referred to as NS.</w:t>
      </w:r>
    </w:p>
    <w:p w14:paraId="74DABC58" w14:textId="0DC1CBCD" w:rsidR="00A045FF" w:rsidRPr="00803E5D" w:rsidRDefault="512D973F" w:rsidP="512D973F">
      <w:pPr>
        <w:spacing w:after="120"/>
        <w:jc w:val="both"/>
      </w:pPr>
      <w:r w:rsidRPr="00803E5D">
        <w:t xml:space="preserve">NS, like us, express doubts about the noncompliance rates in </w:t>
      </w:r>
      <w:r w:rsidR="00096B44" w:rsidRPr="008954C6">
        <w:rPr>
          <w:rFonts w:asciiTheme="majorBidi" w:hAnsiTheme="majorBidi" w:cstheme="majorBidi"/>
        </w:rPr>
        <w:t xml:space="preserve">Pownall, G., </w:t>
      </w:r>
      <w:r w:rsidR="00096B44" w:rsidRPr="00E804D4">
        <w:rPr>
          <w:rFonts w:asciiTheme="majorBidi" w:hAnsiTheme="majorBidi" w:cstheme="majorBidi"/>
        </w:rPr>
        <w:t>&amp; Wieczynska, M. (2018)</w:t>
      </w:r>
      <w:r w:rsidR="00096B44" w:rsidRPr="008954C6">
        <w:rPr>
          <w:rFonts w:asciiTheme="majorBidi" w:hAnsiTheme="majorBidi" w:cstheme="majorBidi"/>
        </w:rPr>
        <w:t xml:space="preserve">. </w:t>
      </w:r>
      <w:r w:rsidR="00096B44">
        <w:rPr>
          <w:rFonts w:asciiTheme="majorBidi" w:hAnsiTheme="majorBidi" w:cstheme="majorBidi"/>
        </w:rPr>
        <w:t>“</w:t>
      </w:r>
      <w:r w:rsidR="00096B44" w:rsidRPr="008954C6">
        <w:rPr>
          <w:rFonts w:asciiTheme="majorBidi" w:hAnsiTheme="majorBidi" w:cstheme="majorBidi"/>
        </w:rPr>
        <w:t>Deviations from the mandatory adoption of IFRS in the European Union: Implementation, enforcement, incentives, and compliance.</w:t>
      </w:r>
      <w:r w:rsidR="00096B44">
        <w:rPr>
          <w:rFonts w:asciiTheme="majorBidi" w:hAnsiTheme="majorBidi" w:cstheme="majorBidi"/>
        </w:rPr>
        <w:t>”</w:t>
      </w:r>
      <w:r w:rsidR="00096B44" w:rsidRPr="008954C6">
        <w:rPr>
          <w:rFonts w:asciiTheme="majorBidi" w:hAnsiTheme="majorBidi" w:cstheme="majorBidi"/>
        </w:rPr>
        <w:t xml:space="preserve"> </w:t>
      </w:r>
      <w:r w:rsidR="00096B44" w:rsidRPr="008954C6">
        <w:rPr>
          <w:rFonts w:asciiTheme="majorBidi" w:hAnsiTheme="majorBidi" w:cstheme="majorBidi"/>
          <w:i/>
          <w:iCs/>
        </w:rPr>
        <w:t>Contemporary Accounting Research</w:t>
      </w:r>
      <w:r w:rsidR="00096B44" w:rsidRPr="008B5910">
        <w:rPr>
          <w:rFonts w:asciiTheme="majorBidi" w:hAnsiTheme="majorBidi" w:cstheme="majorBidi"/>
        </w:rPr>
        <w:t>,</w:t>
      </w:r>
      <w:r w:rsidR="00096B44" w:rsidRPr="008954C6">
        <w:rPr>
          <w:rFonts w:asciiTheme="majorBidi" w:hAnsiTheme="majorBidi" w:cstheme="majorBidi"/>
        </w:rPr>
        <w:t xml:space="preserve"> </w:t>
      </w:r>
      <w:r w:rsidR="00096B44" w:rsidRPr="008B5910">
        <w:rPr>
          <w:rFonts w:asciiTheme="majorBidi" w:hAnsiTheme="majorBidi" w:cstheme="majorBidi"/>
          <w:i/>
          <w:iCs/>
        </w:rPr>
        <w:t>35</w:t>
      </w:r>
      <w:r w:rsidR="00096B44" w:rsidRPr="008954C6">
        <w:rPr>
          <w:rFonts w:asciiTheme="majorBidi" w:hAnsiTheme="majorBidi" w:cstheme="majorBidi"/>
        </w:rPr>
        <w:t>(2)</w:t>
      </w:r>
      <w:r w:rsidR="00096B44">
        <w:rPr>
          <w:rFonts w:asciiTheme="majorBidi" w:hAnsiTheme="majorBidi" w:cstheme="majorBidi"/>
        </w:rPr>
        <w:t xml:space="preserve">, </w:t>
      </w:r>
      <w:r w:rsidR="00096B44" w:rsidRPr="008954C6">
        <w:rPr>
          <w:rFonts w:asciiTheme="majorBidi" w:hAnsiTheme="majorBidi" w:cstheme="majorBidi"/>
        </w:rPr>
        <w:t>1029–</w:t>
      </w:r>
      <w:r w:rsidR="00096B44">
        <w:rPr>
          <w:rFonts w:asciiTheme="majorBidi" w:hAnsiTheme="majorBidi" w:cstheme="majorBidi"/>
        </w:rPr>
        <w:t>10</w:t>
      </w:r>
      <w:r w:rsidR="00096B44" w:rsidRPr="008954C6">
        <w:rPr>
          <w:rFonts w:asciiTheme="majorBidi" w:hAnsiTheme="majorBidi" w:cstheme="majorBidi"/>
        </w:rPr>
        <w:t>66</w:t>
      </w:r>
      <w:r w:rsidRPr="00803E5D">
        <w:t>, hereafter referred to as PW. NS also document that noncompliance with IFRS adoption does not exist in the EU.</w:t>
      </w:r>
      <w:bookmarkEnd w:id="1"/>
    </w:p>
    <w:p w14:paraId="327D3DB2" w14:textId="5B05A235" w:rsidR="00AF6E7B" w:rsidRPr="00803E5D" w:rsidRDefault="512D973F" w:rsidP="512D973F">
      <w:pPr>
        <w:spacing w:after="240"/>
        <w:jc w:val="both"/>
      </w:pPr>
      <w:r w:rsidRPr="00803E5D">
        <w:t xml:space="preserve">In Section A, we outline our incremental contributions beyond NS. Section B analyzes the </w:t>
      </w:r>
      <w:r w:rsidR="00F40C53">
        <w:t>explanations</w:t>
      </w:r>
      <w:r w:rsidRPr="00803E5D">
        <w:t xml:space="preserve"> identified by NS</w:t>
      </w:r>
      <w:r w:rsidR="002C0DC8">
        <w:t>’s</w:t>
      </w:r>
      <w:r w:rsidRPr="00803E5D">
        <w:t xml:space="preserve"> paper </w:t>
      </w:r>
      <w:r w:rsidR="002C0DC8">
        <w:t xml:space="preserve">and </w:t>
      </w:r>
      <w:r w:rsidRPr="00803E5D">
        <w:t>compares these results with our</w:t>
      </w:r>
      <w:r w:rsidR="00BF227C">
        <w:t>s</w:t>
      </w:r>
      <w:r w:rsidRPr="00803E5D">
        <w:t>.</w:t>
      </w:r>
    </w:p>
    <w:p w14:paraId="723A9FF8" w14:textId="0B1AD9C3" w:rsidR="00A920B6" w:rsidRPr="00803E5D" w:rsidRDefault="512D973F" w:rsidP="512D973F">
      <w:pPr>
        <w:numPr>
          <w:ilvl w:val="0"/>
          <w:numId w:val="5"/>
        </w:numPr>
        <w:spacing w:after="240"/>
        <w:ind w:left="357" w:hanging="357"/>
        <w:jc w:val="both"/>
        <w:rPr>
          <w:b/>
          <w:bCs/>
          <w:i/>
          <w:iCs/>
        </w:rPr>
      </w:pPr>
      <w:r w:rsidRPr="00803E5D">
        <w:rPr>
          <w:b/>
          <w:bCs/>
          <w:i/>
          <w:iCs/>
        </w:rPr>
        <w:t xml:space="preserve">Incremental contributions beyond </w:t>
      </w:r>
      <w:bookmarkStart w:id="2" w:name="_Hlk152187690"/>
      <w:r w:rsidRPr="00803E5D">
        <w:rPr>
          <w:b/>
          <w:bCs/>
          <w:i/>
          <w:iCs/>
        </w:rPr>
        <w:t>NS</w:t>
      </w:r>
    </w:p>
    <w:p w14:paraId="3CABA915" w14:textId="676E1A8B" w:rsidR="006A13E8" w:rsidRPr="00803E5D" w:rsidRDefault="512D973F" w:rsidP="512D973F">
      <w:pPr>
        <w:spacing w:after="120"/>
        <w:jc w:val="both"/>
        <w:rPr>
          <w:b/>
          <w:bCs/>
        </w:rPr>
      </w:pPr>
      <w:bookmarkStart w:id="3" w:name="_Hlk152189742"/>
      <w:bookmarkEnd w:id="2"/>
      <w:proofErr w:type="spellStart"/>
      <w:r w:rsidRPr="00803E5D">
        <w:rPr>
          <w:b/>
          <w:bCs/>
        </w:rPr>
        <w:t>i</w:t>
      </w:r>
      <w:proofErr w:type="spellEnd"/>
      <w:r w:rsidRPr="00803E5D">
        <w:rPr>
          <w:b/>
          <w:bCs/>
        </w:rPr>
        <w:t xml:space="preserve">) Highlighting the implications of the lack of </w:t>
      </w:r>
      <w:bookmarkEnd w:id="3"/>
      <w:r w:rsidRPr="00803E5D">
        <w:rPr>
          <w:b/>
          <w:bCs/>
        </w:rPr>
        <w:t xml:space="preserve">disclosure of database coding policies </w:t>
      </w:r>
    </w:p>
    <w:p w14:paraId="3E101A63" w14:textId="3C0DB65E" w:rsidR="004673B1" w:rsidRPr="00803E5D" w:rsidRDefault="512D973F" w:rsidP="512D973F">
      <w:pPr>
        <w:spacing w:after="120"/>
        <w:jc w:val="both"/>
      </w:pPr>
      <w:r w:rsidRPr="00803E5D">
        <w:t xml:space="preserve">A key element in our paper is highlighting the lack of disclosure of commercial databases’ coding policies: </w:t>
      </w:r>
      <w:proofErr w:type="spellStart"/>
      <w:r w:rsidRPr="00803E5D">
        <w:t>i</w:t>
      </w:r>
      <w:proofErr w:type="spellEnd"/>
      <w:r w:rsidRPr="00803E5D">
        <w:t xml:space="preserve">) Coding conventions that are missing in the data item’s definition, ii) </w:t>
      </w:r>
      <w:r w:rsidR="00BF227C">
        <w:t>c</w:t>
      </w:r>
      <w:r w:rsidRPr="00803E5D">
        <w:t xml:space="preserve">oding conventions that are not updated when changing the coding policy, and iii) </w:t>
      </w:r>
      <w:r w:rsidR="00BF227C">
        <w:t>n</w:t>
      </w:r>
      <w:r w:rsidRPr="00803E5D">
        <w:t xml:space="preserve">on-indicative naming conventions of data items that suggest a different coding policy for users. We demonstrate that the lack of disclosure of the database coding policy for the </w:t>
      </w:r>
      <w:r w:rsidRPr="00803E5D">
        <w:rPr>
          <w:i/>
          <w:iCs/>
        </w:rPr>
        <w:t>Consolidation</w:t>
      </w:r>
      <w:r w:rsidRPr="00803E5D">
        <w:t xml:space="preserve"> item has ultimately led to misperceptions about IFRS noncompliance rates.</w:t>
      </w:r>
    </w:p>
    <w:p w14:paraId="59F18D6E" w14:textId="5BB0F2D0" w:rsidR="007B4FEB" w:rsidRPr="00803E5D" w:rsidRDefault="512D973F" w:rsidP="512D973F">
      <w:pPr>
        <w:spacing w:after="120"/>
        <w:jc w:val="both"/>
      </w:pPr>
      <w:r w:rsidRPr="00803E5D">
        <w:t>This issue, which explains most of the PW results, is not detected by NS. Instead, NS say that errors exist in Worldscope. For that reason, while NS pinpoint a problem, they do not offer a sufficient analysis of the roots of the problem or a feasible solution going forward.</w:t>
      </w:r>
    </w:p>
    <w:p w14:paraId="1C564F13" w14:textId="667F9F1E" w:rsidR="00BB1B19" w:rsidRPr="00803E5D" w:rsidRDefault="512D973F" w:rsidP="512D973F">
      <w:pPr>
        <w:spacing w:after="120"/>
        <w:jc w:val="both"/>
        <w:rPr>
          <w:b/>
          <w:bCs/>
        </w:rPr>
      </w:pPr>
      <w:r w:rsidRPr="00803E5D">
        <w:rPr>
          <w:b/>
          <w:bCs/>
        </w:rPr>
        <w:t>ii) Database comparison and recommendations</w:t>
      </w:r>
    </w:p>
    <w:p w14:paraId="57447FF4" w14:textId="7CBAAA7C" w:rsidR="008453AF" w:rsidRPr="00BC1046" w:rsidRDefault="512D973F" w:rsidP="512D973F">
      <w:pPr>
        <w:spacing w:after="120"/>
        <w:jc w:val="both"/>
      </w:pPr>
      <w:r w:rsidRPr="512D973F">
        <w:t xml:space="preserve">While NS focus on Worldscope only and call for future research on other databases, we address this directly by </w:t>
      </w:r>
      <w:r w:rsidRPr="00BC1046">
        <w:t xml:space="preserve">comparing all major data providers (Refinitiv Company Fundamental, Worldscope, Compustat Global, and Orbis) in terms of their coding policies and the accuracy of relevant data items. </w:t>
      </w:r>
    </w:p>
    <w:p w14:paraId="033E20AA" w14:textId="089B841E" w:rsidR="00E22E15" w:rsidRPr="00BC1046" w:rsidRDefault="512D973F" w:rsidP="512D973F">
      <w:pPr>
        <w:spacing w:after="120"/>
        <w:jc w:val="both"/>
      </w:pPr>
      <w:r w:rsidRPr="00BC1046">
        <w:t>Therefore, we can show that the data coding policy issue preva</w:t>
      </w:r>
      <w:r w:rsidR="00BF227C">
        <w:t xml:space="preserve">ils </w:t>
      </w:r>
      <w:r w:rsidRPr="00BC1046">
        <w:t xml:space="preserve">among all major providers (i.e., not limited to the Refinitiv Company Fundamental data used by PW or the Worldscope data used by NS for the </w:t>
      </w:r>
      <w:r w:rsidRPr="00BC1046">
        <w:rPr>
          <w:i/>
          <w:iCs/>
        </w:rPr>
        <w:t>Consolidation</w:t>
      </w:r>
      <w:r w:rsidRPr="00BC1046">
        <w:t xml:space="preserve"> variable). As the case illustrates, </w:t>
      </w:r>
      <w:r w:rsidRPr="00BC1046">
        <w:rPr>
          <w:i/>
          <w:iCs/>
        </w:rPr>
        <w:t>none</w:t>
      </w:r>
      <w:r w:rsidRPr="00BC1046">
        <w:t xml:space="preserve"> of the data providers offers a feasible solution, and we need other workable solutions in case commercial databases fail.</w:t>
      </w:r>
    </w:p>
    <w:p w14:paraId="0177C093" w14:textId="206B0F39" w:rsidR="00E22E15" w:rsidRPr="00BC1046" w:rsidRDefault="512D973F" w:rsidP="512D973F">
      <w:pPr>
        <w:spacing w:after="120"/>
        <w:jc w:val="both"/>
        <w:rPr>
          <w:b/>
          <w:bCs/>
        </w:rPr>
      </w:pPr>
      <w:r w:rsidRPr="00BC1046">
        <w:rPr>
          <w:b/>
          <w:bCs/>
        </w:rPr>
        <w:t>iii) Showcasing that extracting accounting data from primary sources can be done cost-effectively by utilizing state-of-the-art natural language processing (NLP) models</w:t>
      </w:r>
    </w:p>
    <w:p w14:paraId="19EDEDDA" w14:textId="0A3A08B7" w:rsidR="00243488" w:rsidRPr="00BC1046" w:rsidRDefault="512D973F" w:rsidP="512D973F">
      <w:pPr>
        <w:spacing w:after="120"/>
        <w:jc w:val="both"/>
      </w:pPr>
      <w:r w:rsidRPr="00BC1046">
        <w:t xml:space="preserve">Our database comparison documents that commercial data providers may not offer a feasible solution for certain accounting data items. We therefore showcase the feasibility of extracting raw data from corporate filings for international firms using NLP models with high accuracy rates. We show that </w:t>
      </w:r>
      <w:r w:rsidR="00BF227C">
        <w:t>today</w:t>
      </w:r>
      <w:r w:rsidRPr="00BC1046">
        <w:t xml:space="preserve">, even for non-U.S. firms (without EDGAR, based on PDF filings of reports, e.g., from the Perfect Information database), basic accounting data crucial to the inference of a study </w:t>
      </w:r>
      <w:r w:rsidRPr="00BC1046">
        <w:lastRenderedPageBreak/>
        <w:t xml:space="preserve">can be extracted in an automated, large-sample-based manner. This insight </w:t>
      </w:r>
      <w:r w:rsidR="00BF227C">
        <w:t>matte</w:t>
      </w:r>
      <w:r w:rsidR="005C443C">
        <w:t>r</w:t>
      </w:r>
      <w:r w:rsidR="00BF227C">
        <w:t xml:space="preserve">s </w:t>
      </w:r>
      <w:r w:rsidRPr="00BC1046">
        <w:t xml:space="preserve">for archival studies where commercial databases do not offer </w:t>
      </w:r>
      <w:r w:rsidR="005C443C" w:rsidRPr="00BC1046">
        <w:t xml:space="preserve">appropriately </w:t>
      </w:r>
      <w:r w:rsidRPr="00BC1046">
        <w:t xml:space="preserve">extracted </w:t>
      </w:r>
      <w:r w:rsidR="005C443C" w:rsidRPr="00BC1046">
        <w:t xml:space="preserve">data </w:t>
      </w:r>
      <w:r w:rsidRPr="00BC1046">
        <w:t>or with insufficient coverage of the accounting data item.</w:t>
      </w:r>
    </w:p>
    <w:p w14:paraId="580998F7" w14:textId="662338B2" w:rsidR="00E22E15" w:rsidRPr="00BC1046" w:rsidRDefault="512D973F" w:rsidP="512D973F">
      <w:pPr>
        <w:spacing w:after="120"/>
        <w:jc w:val="both"/>
      </w:pPr>
      <w:r w:rsidRPr="00BC1046">
        <w:t xml:space="preserve">We further suggest that future research collaboration should enhance the programming codes for data extraction by fine-tuning or increasing the quality of the codes or training data. NLP models will </w:t>
      </w:r>
      <w:r w:rsidR="00C20AD1">
        <w:t xml:space="preserve">offer increasingly powerful and </w:t>
      </w:r>
      <w:r w:rsidR="00BF227C">
        <w:t xml:space="preserve">cheaper </w:t>
      </w:r>
      <w:r w:rsidR="00C20AD1">
        <w:t xml:space="preserve">solutions compared to the time-consuming manual data collection that NS suggest as a solution to the database issues they have </w:t>
      </w:r>
      <w:r w:rsidRPr="00BC1046">
        <w:t>detected.</w:t>
      </w:r>
    </w:p>
    <w:p w14:paraId="64FE5CC6" w14:textId="705CBF6C" w:rsidR="00BB1B19" w:rsidRPr="00BC1046" w:rsidRDefault="512D973F" w:rsidP="512D973F">
      <w:pPr>
        <w:spacing w:after="120"/>
        <w:jc w:val="both"/>
        <w:rPr>
          <w:b/>
          <w:bCs/>
        </w:rPr>
      </w:pPr>
      <w:r w:rsidRPr="00BC1046">
        <w:rPr>
          <w:b/>
          <w:bCs/>
        </w:rPr>
        <w:t>iv) In-depth institutional framework</w:t>
      </w:r>
    </w:p>
    <w:p w14:paraId="480BFBD3" w14:textId="300EC611" w:rsidR="00573067" w:rsidRPr="00BC1046" w:rsidRDefault="512D973F" w:rsidP="512D973F">
      <w:pPr>
        <w:spacing w:after="120"/>
        <w:jc w:val="both"/>
      </w:pPr>
      <w:bookmarkStart w:id="4" w:name="_Hlk152153042"/>
      <w:r w:rsidRPr="00BC1046">
        <w:t xml:space="preserve">Based on </w:t>
      </w:r>
      <w:r w:rsidRPr="00BC1046">
        <w:rPr>
          <w:i/>
          <w:iCs/>
        </w:rPr>
        <w:t>primary</w:t>
      </w:r>
      <w:r w:rsidRPr="00BC1046">
        <w:t xml:space="preserve"> regulatory sources, we supplement and update the PW tables to reflect the requirements and exemptions of the EU’s IFRS regulations as well as country-specific local regulations that must be considered when determining whether a firm must apply IFRS. </w:t>
      </w:r>
    </w:p>
    <w:p w14:paraId="3BB59F11" w14:textId="318FFC20" w:rsidR="00EB29D6" w:rsidRPr="00BC1046" w:rsidRDefault="512D973F" w:rsidP="512D973F">
      <w:pPr>
        <w:spacing w:after="120"/>
        <w:jc w:val="both"/>
      </w:pPr>
      <w:r w:rsidRPr="00BC1046">
        <w:t xml:space="preserve">Specifically, we provide </w:t>
      </w:r>
      <w:proofErr w:type="spellStart"/>
      <w:r w:rsidRPr="00BC1046">
        <w:t>i</w:t>
      </w:r>
      <w:proofErr w:type="spellEnd"/>
      <w:r w:rsidRPr="00BC1046">
        <w:t xml:space="preserve">) a comprehensive conceptual map of all criteria that need to be checked when determining whether a firm is mandated to adopt IFRS, </w:t>
      </w:r>
      <w:bookmarkStart w:id="5" w:name="_Hlk158915311"/>
      <w:r w:rsidRPr="00BC1046">
        <w:t>ii)</w:t>
      </w:r>
      <w:r w:rsidRPr="512D973F">
        <w:t xml:space="preserve"> </w:t>
      </w:r>
      <w:r w:rsidRPr="00BC1046">
        <w:t xml:space="preserve">an updated and dynamic table on the member states additional requirements that fall outside the scope of the IFRS regulations, </w:t>
      </w:r>
      <w:bookmarkEnd w:id="5"/>
      <w:r w:rsidRPr="00BC1046">
        <w:t>iii) a country-by-country description of the consolidation exemptions for member states where consolidation is a determining factor for mandating IFRS, and iv) offer guidance on the best sources to identify IFRS mandated firms empirically.</w:t>
      </w:r>
    </w:p>
    <w:p w14:paraId="05304AE5" w14:textId="0C65439F" w:rsidR="00BB1B19" w:rsidRPr="00BC1046" w:rsidRDefault="512D973F" w:rsidP="512D973F">
      <w:pPr>
        <w:spacing w:after="120"/>
        <w:jc w:val="both"/>
      </w:pPr>
      <w:r w:rsidRPr="00BC1046">
        <w:t>Our approach can guide future research on any EU regulation for which scope exemptions exist. For example, the CSRD in Europe offers adoption options that EU Member States must implement into national law. NS do not provide such a framework.</w:t>
      </w:r>
    </w:p>
    <w:p w14:paraId="58CAF20C" w14:textId="514CADE4" w:rsidR="00EB29D6" w:rsidRPr="00BC1046" w:rsidRDefault="512D973F" w:rsidP="512D973F">
      <w:pPr>
        <w:spacing w:after="120"/>
        <w:jc w:val="both"/>
        <w:rPr>
          <w:b/>
          <w:bCs/>
        </w:rPr>
      </w:pPr>
      <w:r w:rsidRPr="00BC1046">
        <w:rPr>
          <w:b/>
          <w:bCs/>
        </w:rPr>
        <w:t>v) Layers of compliance</w:t>
      </w:r>
    </w:p>
    <w:p w14:paraId="7CB48E3F" w14:textId="527D3951" w:rsidR="00EB29D6" w:rsidRPr="00BC1046" w:rsidRDefault="512D973F" w:rsidP="512D973F">
      <w:pPr>
        <w:spacing w:after="240"/>
        <w:jc w:val="both"/>
      </w:pPr>
      <w:r w:rsidRPr="00BC1046">
        <w:t>Our study has a broader scope</w:t>
      </w:r>
      <w:r w:rsidR="00BF227C">
        <w:t>,</w:t>
      </w:r>
      <w:r w:rsidRPr="00BC1046">
        <w:t xml:space="preserve"> as we not only show that noncompliance with IFRS adoption does not exist but also rule out noncompliance with EU regulations at earlier, less visible stages. Specifically, we show that firms comply with the requirements for preparing consolidated financial statements, which trigger the IFRS mandate. NS </w:t>
      </w:r>
      <w:r w:rsidR="00BF227C">
        <w:t xml:space="preserve">only </w:t>
      </w:r>
      <w:r w:rsidRPr="00BC1046">
        <w:t>show that noncompliance with IFRS adoption does not exist, but they do not investigate whether noncompliance could occur at earlier stages.</w:t>
      </w:r>
    </w:p>
    <w:p w14:paraId="1B1B3AB5" w14:textId="1AE3B2F9" w:rsidR="00F02BC5" w:rsidRPr="00BC1046" w:rsidRDefault="512D973F" w:rsidP="512D973F">
      <w:pPr>
        <w:numPr>
          <w:ilvl w:val="0"/>
          <w:numId w:val="5"/>
        </w:numPr>
        <w:spacing w:after="240"/>
        <w:ind w:left="357" w:hanging="357"/>
        <w:jc w:val="both"/>
        <w:rPr>
          <w:b/>
          <w:bCs/>
          <w:i/>
          <w:iCs/>
        </w:rPr>
      </w:pPr>
      <w:bookmarkStart w:id="6" w:name="_Hlk152191680"/>
      <w:bookmarkStart w:id="7" w:name="_Hlk193118785"/>
      <w:bookmarkEnd w:id="4"/>
      <w:r w:rsidRPr="00BC1046">
        <w:rPr>
          <w:b/>
          <w:bCs/>
          <w:i/>
          <w:iCs/>
        </w:rPr>
        <w:t xml:space="preserve">Comparative analyses of sources of error </w:t>
      </w:r>
    </w:p>
    <w:bookmarkEnd w:id="6"/>
    <w:bookmarkEnd w:id="7"/>
    <w:p w14:paraId="75021CA9" w14:textId="6092397B" w:rsidR="00AA4F74" w:rsidRPr="00BC1046" w:rsidRDefault="512D973F" w:rsidP="512D973F">
      <w:pPr>
        <w:jc w:val="both"/>
      </w:pPr>
      <w:r w:rsidRPr="00BC1046">
        <w:t>NS</w:t>
      </w:r>
      <w:r w:rsidR="00BF227C">
        <w:t>’s</w:t>
      </w:r>
      <w:r w:rsidRPr="00BC1046">
        <w:t xml:space="preserve"> paper and ours discuss why a firm might not be required to apply IFRS and offer alternative explanations for PW’s results. However, we can better identify the underlying sources of error and their relative contribution for </w:t>
      </w:r>
      <w:r w:rsidR="00BF227C">
        <w:t xml:space="preserve">several </w:t>
      </w:r>
      <w:r w:rsidRPr="00BC1046">
        <w:t>reasons</w:t>
      </w:r>
      <w:r w:rsidR="00BF227C">
        <w:t>.</w:t>
      </w:r>
    </w:p>
    <w:p w14:paraId="18CF2123" w14:textId="77777777" w:rsidR="005129A1" w:rsidRPr="00BC1046" w:rsidRDefault="005129A1" w:rsidP="512D973F">
      <w:pPr>
        <w:jc w:val="both"/>
      </w:pPr>
    </w:p>
    <w:p w14:paraId="207FF118" w14:textId="054A79B6" w:rsidR="005129A1" w:rsidRPr="00BC1046" w:rsidRDefault="512D973F" w:rsidP="512D973F">
      <w:pPr>
        <w:jc w:val="both"/>
        <w:rPr>
          <w:b/>
          <w:bCs/>
        </w:rPr>
      </w:pPr>
      <w:r w:rsidRPr="00BC1046">
        <w:rPr>
          <w:b/>
          <w:bCs/>
        </w:rPr>
        <w:t>B.1. Sample and data providers</w:t>
      </w:r>
    </w:p>
    <w:p w14:paraId="77F8564C" w14:textId="77777777" w:rsidR="00AA4F74" w:rsidRPr="00BC1046" w:rsidRDefault="00AA4F74" w:rsidP="512D973F">
      <w:pPr>
        <w:jc w:val="both"/>
        <w:rPr>
          <w:b/>
          <w:bCs/>
        </w:rPr>
      </w:pPr>
    </w:p>
    <w:p w14:paraId="3BEB4118" w14:textId="14373FEA" w:rsidR="00AA4F74" w:rsidRPr="00BC1046" w:rsidRDefault="512D973F" w:rsidP="512D973F">
      <w:pPr>
        <w:spacing w:after="120"/>
        <w:jc w:val="both"/>
      </w:pPr>
      <w:proofErr w:type="spellStart"/>
      <w:r w:rsidRPr="00BC1046">
        <w:rPr>
          <w:b/>
          <w:bCs/>
        </w:rPr>
        <w:t>i</w:t>
      </w:r>
      <w:proofErr w:type="spellEnd"/>
      <w:r w:rsidRPr="00BC1046">
        <w:rPr>
          <w:b/>
          <w:bCs/>
        </w:rPr>
        <w:t>) NS and PW noncompliance samples differ substantially</w:t>
      </w:r>
    </w:p>
    <w:p w14:paraId="0639C717" w14:textId="46B43E35" w:rsidR="00CD6915" w:rsidRPr="0063643C" w:rsidRDefault="512D973F" w:rsidP="512D973F">
      <w:pPr>
        <w:spacing w:after="120"/>
        <w:jc w:val="both"/>
      </w:pPr>
      <w:r w:rsidRPr="00BC1046">
        <w:t xml:space="preserve">NS state that they are replicating PW’s study but do not have the list of ISINs used by PW nor the </w:t>
      </w:r>
      <w:proofErr w:type="spellStart"/>
      <w:r w:rsidR="00320B76" w:rsidRPr="239F7108">
        <w:rPr>
          <w:rFonts w:asciiTheme="majorBidi" w:hAnsiTheme="majorBidi" w:cstheme="majorBidi"/>
          <w:i/>
          <w:iCs/>
        </w:rPr>
        <w:t>Mandatory</w:t>
      </w:r>
      <w:r w:rsidR="00320B76" w:rsidRPr="239F7108">
        <w:rPr>
          <w:rFonts w:asciiTheme="majorBidi" w:hAnsiTheme="majorBidi" w:cstheme="majorBidi"/>
          <w:i/>
          <w:iCs/>
          <w:vertAlign w:val="subscript"/>
        </w:rPr>
        <w:t>it</w:t>
      </w:r>
      <w:proofErr w:type="spellEnd"/>
      <w:r w:rsidR="00320B76">
        <w:t xml:space="preserve"> </w:t>
      </w:r>
      <w:r w:rsidRPr="00514993">
        <w:t xml:space="preserve">classification assigned by PW. Instead, </w:t>
      </w:r>
      <w:r w:rsidR="00BF227C">
        <w:t xml:space="preserve">they </w:t>
      </w:r>
      <w:r w:rsidRPr="00514993">
        <w:t xml:space="preserve">examine three self-constructed samples comprising 1,297 non-IFRS adopting observations, i.e., entities not using IFRS according to the </w:t>
      </w:r>
      <w:r w:rsidRPr="512D973F">
        <w:t>Worldscope item WC07536</w:t>
      </w:r>
      <w:r w:rsidRPr="0063643C">
        <w:t>. Subsamples are (see Table S2.1 Panel A):</w:t>
      </w:r>
    </w:p>
    <w:p w14:paraId="11ECC903" w14:textId="020CA4A9" w:rsidR="4DF91D4C" w:rsidRPr="0063643C" w:rsidRDefault="512D973F" w:rsidP="512D973F">
      <w:pPr>
        <w:pStyle w:val="Listenabsatz"/>
        <w:numPr>
          <w:ilvl w:val="1"/>
          <w:numId w:val="4"/>
        </w:numPr>
        <w:ind w:left="360"/>
        <w:jc w:val="both"/>
      </w:pPr>
      <w:r w:rsidRPr="0063643C">
        <w:t>2007 sample of 403 non-IFRS adopting firms from the UK,</w:t>
      </w:r>
      <w:r w:rsidRPr="512D973F">
        <w:t xml:space="preserve"> </w:t>
      </w:r>
      <w:r w:rsidRPr="0063643C">
        <w:t xml:space="preserve">representing an </w:t>
      </w:r>
      <w:r w:rsidRPr="00F9230A">
        <w:rPr>
          <w:i/>
          <w:iCs/>
        </w:rPr>
        <w:t>earlier year</w:t>
      </w:r>
      <w:r w:rsidRPr="0063643C">
        <w:t xml:space="preserve"> of IFRS adoption in the country with the largest sample size and the </w:t>
      </w:r>
      <w:r w:rsidR="00BF227C">
        <w:t xml:space="preserve">most </w:t>
      </w:r>
      <w:r w:rsidRPr="0063643C">
        <w:t>alleged noncompliance cases.</w:t>
      </w:r>
    </w:p>
    <w:p w14:paraId="220D5032" w14:textId="6E16D487" w:rsidR="00C717E3" w:rsidRPr="0063643C" w:rsidRDefault="512D973F" w:rsidP="512D973F">
      <w:pPr>
        <w:pStyle w:val="Listenabsatz"/>
        <w:numPr>
          <w:ilvl w:val="0"/>
          <w:numId w:val="56"/>
        </w:numPr>
        <w:spacing w:after="120"/>
        <w:ind w:left="360"/>
        <w:jc w:val="both"/>
      </w:pPr>
      <w:r w:rsidRPr="0063643C">
        <w:lastRenderedPageBreak/>
        <w:t xml:space="preserve">2012 sample of 503 non-IFRS adopting firms from the UK, Germany, Austria, and Portugal. This selection includes the two largest countries in PW’s sample, which also have the strongest enforcement regimes, as well as two countries with less stringent enforcement regimes in </w:t>
      </w:r>
      <w:r w:rsidRPr="00F9230A">
        <w:rPr>
          <w:i/>
          <w:iCs/>
        </w:rPr>
        <w:t>the most recent year of PW’s sample</w:t>
      </w:r>
      <w:r w:rsidRPr="0063643C">
        <w:t>.</w:t>
      </w:r>
    </w:p>
    <w:p w14:paraId="5C34B181" w14:textId="0BC35717" w:rsidR="00CD6915" w:rsidRPr="0063643C" w:rsidRDefault="512D973F" w:rsidP="512D973F">
      <w:pPr>
        <w:pStyle w:val="Listenabsatz"/>
        <w:numPr>
          <w:ilvl w:val="1"/>
          <w:numId w:val="4"/>
        </w:numPr>
        <w:ind w:left="360"/>
        <w:jc w:val="both"/>
      </w:pPr>
      <w:r w:rsidRPr="0063643C">
        <w:t xml:space="preserve">2020 sample of 391 non-IFRS adopting firms from the UK and Germany. This year is </w:t>
      </w:r>
      <w:r w:rsidRPr="00F9230A">
        <w:rPr>
          <w:i/>
          <w:iCs/>
        </w:rPr>
        <w:t>not</w:t>
      </w:r>
      <w:r w:rsidRPr="0063643C">
        <w:t xml:space="preserve"> part of PW</w:t>
      </w:r>
      <w:r w:rsidR="005C443C">
        <w:t>’s</w:t>
      </w:r>
      <w:r w:rsidRPr="0063643C">
        <w:t xml:space="preserve"> sample period, as it is used to reflect the more recent situation.</w:t>
      </w:r>
    </w:p>
    <w:p w14:paraId="6C8A7FE5" w14:textId="77777777" w:rsidR="00CD6915" w:rsidRPr="0063643C" w:rsidRDefault="00CD6915" w:rsidP="512D973F">
      <w:pPr>
        <w:pStyle w:val="Listenabsatz"/>
        <w:ind w:left="1080"/>
        <w:jc w:val="both"/>
        <w:rPr>
          <w:sz w:val="8"/>
          <w:szCs w:val="8"/>
        </w:rPr>
      </w:pPr>
    </w:p>
    <w:p w14:paraId="3A96BB3B" w14:textId="77777777" w:rsidR="00CD6915" w:rsidRPr="0063643C" w:rsidRDefault="00CD6915" w:rsidP="512D973F">
      <w:pPr>
        <w:pStyle w:val="Listenabsatz"/>
        <w:jc w:val="both"/>
        <w:rPr>
          <w:sz w:val="8"/>
          <w:szCs w:val="8"/>
        </w:rPr>
      </w:pPr>
    </w:p>
    <w:p w14:paraId="5D47BD70" w14:textId="33F707F9" w:rsidR="00684806" w:rsidRPr="0063643C" w:rsidRDefault="00B25793" w:rsidP="512D973F">
      <w:pPr>
        <w:spacing w:after="120"/>
        <w:jc w:val="both"/>
      </w:pPr>
      <w:r w:rsidRPr="512D973F">
        <w:t xml:space="preserve">To evaluate </w:t>
      </w:r>
      <w:r w:rsidR="002B6560" w:rsidRPr="512D973F">
        <w:t>NS’s</w:t>
      </w:r>
      <w:r w:rsidRPr="512D973F">
        <w:t xml:space="preserve"> data, w</w:t>
      </w:r>
      <w:r w:rsidR="00684806" w:rsidRPr="512D973F">
        <w:t xml:space="preserve">e </w:t>
      </w:r>
      <w:r w:rsidR="00DA3A62" w:rsidRPr="512D973F">
        <w:t xml:space="preserve">matched the PW data </w:t>
      </w:r>
      <w:r w:rsidR="00980F07">
        <w:t xml:space="preserve">that we could access, which PW had kindly shared </w:t>
      </w:r>
      <w:r w:rsidR="000833EF" w:rsidRPr="0063643C">
        <w:t>with us at the start of our project</w:t>
      </w:r>
      <w:r w:rsidR="00DA3A62" w:rsidRPr="0063643C">
        <w:t>,</w:t>
      </w:r>
      <w:r w:rsidR="000833EF" w:rsidRPr="0063643C">
        <w:t xml:space="preserve"> </w:t>
      </w:r>
      <w:r w:rsidR="00BD595E" w:rsidRPr="512D973F">
        <w:t>with</w:t>
      </w:r>
      <w:r w:rsidR="00684806" w:rsidRPr="512D973F">
        <w:t xml:space="preserve"> the NS data available on GitHub.</w:t>
      </w:r>
      <w:r w:rsidR="00684806" w:rsidRPr="0063643C">
        <w:rPr>
          <w:rStyle w:val="Funotenzeichen"/>
        </w:rPr>
        <w:footnoteReference w:id="1"/>
      </w:r>
      <w:r w:rsidR="00684806" w:rsidRPr="512D973F">
        <w:t xml:space="preserve"> </w:t>
      </w:r>
      <w:r w:rsidR="00CD6915" w:rsidRPr="0063643C">
        <w:t xml:space="preserve">Of the </w:t>
      </w:r>
      <w:r w:rsidR="0071017F" w:rsidRPr="0063643C">
        <w:t xml:space="preserve">total </w:t>
      </w:r>
      <w:r w:rsidR="00CD6915" w:rsidRPr="0063643C">
        <w:t>NS sample</w:t>
      </w:r>
      <w:r w:rsidR="00684806" w:rsidRPr="0063643C">
        <w:t xml:space="preserve"> of</w:t>
      </w:r>
      <w:r w:rsidR="00CD6915" w:rsidRPr="0063643C">
        <w:t xml:space="preserve"> 1,</w:t>
      </w:r>
      <w:r w:rsidR="004301C4" w:rsidRPr="0063643C">
        <w:t xml:space="preserve">297 </w:t>
      </w:r>
      <w:r w:rsidR="004265E6" w:rsidRPr="0063643C">
        <w:t>non-IFRS adopting observations</w:t>
      </w:r>
      <w:r w:rsidR="00431BD2" w:rsidRPr="0063643C">
        <w:t xml:space="preserve"> reported in NS’s Table 3</w:t>
      </w:r>
      <w:r w:rsidR="00CD6915" w:rsidRPr="0063643C">
        <w:t xml:space="preserve">, </w:t>
      </w:r>
      <w:r w:rsidR="006F1743" w:rsidRPr="0063643C">
        <w:t xml:space="preserve">we estimate that </w:t>
      </w:r>
      <w:r w:rsidR="00D765F1" w:rsidRPr="0063643C">
        <w:t>a maximum of 39</w:t>
      </w:r>
      <w:r w:rsidR="004265E6" w:rsidRPr="0063643C">
        <w:t>4</w:t>
      </w:r>
      <w:r w:rsidR="00D765F1" w:rsidRPr="0063643C">
        <w:t xml:space="preserve"> </w:t>
      </w:r>
      <w:r w:rsidR="00CD6915" w:rsidRPr="0063643C">
        <w:t>observations are classified as noncompliant by PW.</w:t>
      </w:r>
      <w:r w:rsidR="00317071" w:rsidRPr="0063643C">
        <w:rPr>
          <w:rStyle w:val="Funotenzeichen"/>
        </w:rPr>
        <w:footnoteReference w:id="2"/>
      </w:r>
      <w:r w:rsidR="00CD6915" w:rsidRPr="0063643C">
        <w:t xml:space="preserve"> </w:t>
      </w:r>
      <w:r w:rsidR="0096243A" w:rsidRPr="0063643C">
        <w:t>Thus</w:t>
      </w:r>
      <w:r w:rsidR="006832E5" w:rsidRPr="0063643C">
        <w:t xml:space="preserve">, </w:t>
      </w:r>
      <w:r w:rsidR="00F34FB9" w:rsidRPr="0063643C">
        <w:t>a maximum of</w:t>
      </w:r>
      <w:r w:rsidR="008720DB" w:rsidRPr="0063643C">
        <w:t xml:space="preserve"> </w:t>
      </w:r>
      <w:r w:rsidR="00722EF1" w:rsidRPr="0063643C">
        <w:t>30</w:t>
      </w:r>
      <w:r w:rsidR="0084258A" w:rsidRPr="0063643C">
        <w:t>.4</w:t>
      </w:r>
      <w:r w:rsidR="00722EF1" w:rsidRPr="0063643C">
        <w:t xml:space="preserve">% </w:t>
      </w:r>
      <w:r w:rsidR="005C443C">
        <w:t xml:space="preserve">of </w:t>
      </w:r>
      <w:r w:rsidR="00722EF1" w:rsidRPr="0063643C">
        <w:t xml:space="preserve">the </w:t>
      </w:r>
      <w:r w:rsidR="00684806" w:rsidRPr="0063643C">
        <w:t>NS</w:t>
      </w:r>
      <w:r w:rsidR="00CD6915" w:rsidRPr="0063643C">
        <w:t xml:space="preserve"> sample </w:t>
      </w:r>
      <w:r w:rsidR="00E7223E" w:rsidRPr="0063643C">
        <w:t>overlap with PW’s noncompliant sample</w:t>
      </w:r>
      <w:r w:rsidR="00A21C87" w:rsidRPr="0063643C">
        <w:t>.</w:t>
      </w:r>
    </w:p>
    <w:p w14:paraId="7CC1072A" w14:textId="10680341" w:rsidR="00F34FB9" w:rsidRPr="0063643C" w:rsidRDefault="512D973F" w:rsidP="512D973F">
      <w:pPr>
        <w:spacing w:after="120"/>
        <w:jc w:val="both"/>
      </w:pPr>
      <w:bookmarkStart w:id="9" w:name="_Hlk193291274"/>
      <w:r w:rsidRPr="0063643C">
        <w:t>While differences in sample selection are not problematic per se, they matter in this case.</w:t>
      </w:r>
    </w:p>
    <w:p w14:paraId="7A39EB96" w14:textId="26F9A14B" w:rsidR="00800873" w:rsidRPr="00BC1046" w:rsidRDefault="268D581A" w:rsidP="512D973F">
      <w:pPr>
        <w:spacing w:after="120"/>
        <w:jc w:val="both"/>
      </w:pPr>
      <w:r w:rsidRPr="0063643C">
        <w:t xml:space="preserve">First, 39.5% of NS’s observations correspond to cases that PW correctly classified as non-adopters without considering them </w:t>
      </w:r>
      <w:r w:rsidRPr="268D581A">
        <w:t>as</w:t>
      </w:r>
      <w:r w:rsidRPr="00BC1046">
        <w:t xml:space="preserve"> noncompliant. Including such a high proportion of observations </w:t>
      </w:r>
      <w:r w:rsidR="005C443C">
        <w:t>for which</w:t>
      </w:r>
      <w:r w:rsidR="005C443C" w:rsidRPr="00BC1046">
        <w:t xml:space="preserve"> </w:t>
      </w:r>
      <w:r w:rsidRPr="00BC1046">
        <w:t>PW had already found legitimate reasons for non-adoption</w:t>
      </w:r>
      <w:r w:rsidR="006B11B4">
        <w:t xml:space="preserve"> l</w:t>
      </w:r>
      <w:r w:rsidRPr="00BC1046">
        <w:t xml:space="preserve">eads NS to overstate the extent of various data issues. This is particularly evident in NS’s explanation [6], where </w:t>
      </w:r>
      <w:r w:rsidR="000E7B40">
        <w:t xml:space="preserve">they </w:t>
      </w:r>
      <w:r w:rsidRPr="00BC1046">
        <w:t>argue that the ESMA list was insufficient to compensate for deficiencies in Worldscope’s listing information (NS, p. 1506). This concern becomes far less relevant when those valid non-adopter observations are excluded, and the focus is solely on what PW classified as noncompliant cases.</w:t>
      </w:r>
    </w:p>
    <w:p w14:paraId="5FD1AD53" w14:textId="46CBA3F5" w:rsidR="00651AE6" w:rsidRPr="0063643C" w:rsidRDefault="512D973F" w:rsidP="00321022">
      <w:pPr>
        <w:spacing w:after="120"/>
        <w:jc w:val="both"/>
      </w:pPr>
      <w:r w:rsidRPr="00BC1046">
        <w:t xml:space="preserve">Second, including valid non-adopter cases obscures the fact that NS do not directly address the question of what went wrong. </w:t>
      </w:r>
      <w:r w:rsidR="00091DF2" w:rsidRPr="00091DF2">
        <w:t xml:space="preserve">Aware that they are analyzing non-adopters in general (which can or cannot be noncompliant firms), NS accept the high frequency of their explanation [2], which states that there is no error, implicitly suggesting that this category relates to observations that PW did not classify as noncompliant. However, had the analysis focused exclusively on noncompliant firms, NS would have realized that cases for explanation [2] should not appear at </w:t>
      </w:r>
      <w:r w:rsidR="00321022">
        <w:t xml:space="preserve">all, </w:t>
      </w:r>
      <w:r w:rsidR="00321022" w:rsidRPr="00091DF2">
        <w:t>par</w:t>
      </w:r>
      <w:r w:rsidR="00321022" w:rsidRPr="00321022">
        <w:t>ticularly for firms in the UK and Germany, where only consolidated entities fall under the IFRS mandate. A firm not preparing consolidated statements in these jurisdictions cannot logically be classified as noncompliant—unless PW made a mistake. By treating all non-adopters as a single group</w:t>
      </w:r>
      <w:r w:rsidR="00091DF2" w:rsidRPr="00091DF2">
        <w:t>, explanation [2] seems plausible</w:t>
      </w:r>
      <w:r w:rsidR="00514993">
        <w:t>. It discourages</w:t>
      </w:r>
      <w:r w:rsidR="00091DF2" w:rsidRPr="00091DF2">
        <w:t xml:space="preserve"> further scrutiny, </w:t>
      </w:r>
      <w:r w:rsidR="00321022">
        <w:t xml:space="preserve">which would have revealed </w:t>
      </w:r>
      <w:r w:rsidR="00321022" w:rsidRPr="00321022">
        <w:t>that PW did not rely on Worldscope to determine consolidation status but instead used a different data source—an insight only visible through a precise replication of the disputed cases</w:t>
      </w:r>
      <w:r w:rsidRPr="0063643C">
        <w:t>.</w:t>
      </w:r>
    </w:p>
    <w:bookmarkEnd w:id="9"/>
    <w:p w14:paraId="07C89EDF" w14:textId="30D5D1EF" w:rsidR="001773D8" w:rsidRPr="0063643C" w:rsidRDefault="512D973F" w:rsidP="7472BDC8">
      <w:pPr>
        <w:spacing w:after="120"/>
        <w:jc w:val="both"/>
      </w:pPr>
      <w:r w:rsidRPr="0063643C">
        <w:t>Third</w:t>
      </w:r>
      <w:r w:rsidRPr="512D973F">
        <w:t>, given that Worldscope implemented a data coding policy change in 2013—reclassifying firms without subsidiaries that issued single-entity financial statements into “consolidated”—the impact of that change is limited to the 2012 sample in PW’s dataset (as it includes some 2013 data based on their year definition) and does not affect earlier years. NS’s use of 2020 as an out-of-sample benchmark is thus unsuitable for drawing inferences about the PW sample period, and NS’s conclusion about the impact of the Worldscope consolidation item is</w:t>
      </w:r>
      <w:r w:rsidRPr="0063643C">
        <w:t xml:space="preserve"> overstated.</w:t>
      </w:r>
    </w:p>
    <w:p w14:paraId="3F335603" w14:textId="022CB92E" w:rsidR="004C500B" w:rsidRPr="00BC1046" w:rsidRDefault="512D973F" w:rsidP="00B612CF">
      <w:pPr>
        <w:spacing w:after="120"/>
        <w:jc w:val="both"/>
      </w:pPr>
      <w:r w:rsidRPr="0063643C">
        <w:t xml:space="preserve">In contrast, we analyze the </w:t>
      </w:r>
      <w:r w:rsidRPr="0063643C">
        <w:rPr>
          <w:i/>
          <w:iCs/>
        </w:rPr>
        <w:t>same</w:t>
      </w:r>
      <w:r w:rsidRPr="0063643C">
        <w:t xml:space="preserve"> firm-year observations that PW flagged as noncompliant (see PW’s Table 2 Panel C). Thus, we cover 1,412 out of 1,538 noncompliant cases</w:t>
      </w:r>
      <w:r w:rsidR="009D0387">
        <w:t>,</w:t>
      </w:r>
      <w:r w:rsidRPr="512D973F">
        <w:t xml:space="preserve"> or</w:t>
      </w:r>
      <w:r w:rsidRPr="00BC1046">
        <w:t xml:space="preserve"> 91.8% of PW’s </w:t>
      </w:r>
      <w:r w:rsidRPr="00BC1046">
        <w:lastRenderedPageBreak/>
        <w:t>sample (see our Table 2). Using our comprehensive framework, we connect these observations to secondary data sources to detect the relevant sources of errors and their relative weights.</w:t>
      </w:r>
    </w:p>
    <w:p w14:paraId="570D9C09" w14:textId="38448B50" w:rsidR="00FF3031" w:rsidRPr="00BC1046" w:rsidRDefault="512D973F" w:rsidP="512D973F">
      <w:pPr>
        <w:spacing w:after="120"/>
        <w:jc w:val="both"/>
      </w:pPr>
      <w:r w:rsidRPr="00BC1046">
        <w:rPr>
          <w:b/>
          <w:bCs/>
        </w:rPr>
        <w:t>ii) NS and PW consolidation variables are from different databases</w:t>
      </w:r>
    </w:p>
    <w:p w14:paraId="65A23E32" w14:textId="5918E1A4" w:rsidR="00BF5AE0" w:rsidRPr="00BC1046" w:rsidRDefault="001B3380" w:rsidP="512D973F">
      <w:pPr>
        <w:spacing w:after="120"/>
        <w:jc w:val="both"/>
      </w:pPr>
      <w:r w:rsidRPr="00BC1046">
        <w:t>NS use Worldscope for consolidation data, while PW use Refinitiv.</w:t>
      </w:r>
      <w:r w:rsidR="00BF5AE0" w:rsidRPr="00BC1046">
        <w:rPr>
          <w:rStyle w:val="Funotenzeichen"/>
        </w:rPr>
        <w:footnoteReference w:id="3"/>
      </w:r>
      <w:r w:rsidR="00AF0E47" w:rsidRPr="00BC1046">
        <w:t xml:space="preserve"> </w:t>
      </w:r>
      <w:r w:rsidR="00CA6F6D" w:rsidRPr="00BC1046">
        <w:t xml:space="preserve">This difference </w:t>
      </w:r>
      <w:r w:rsidR="00D851A3" w:rsidRPr="00BC1046">
        <w:t>is</w:t>
      </w:r>
      <w:r w:rsidR="00BD595E" w:rsidRPr="00BC1046">
        <w:t xml:space="preserve"> </w:t>
      </w:r>
      <w:r w:rsidR="00CA6F6D" w:rsidRPr="00BC1046">
        <w:t>crucial for analyzing the source of error in PW’s data.</w:t>
      </w:r>
      <w:r w:rsidR="00AF0E47" w:rsidRPr="00BC1046">
        <w:t xml:space="preserve"> </w:t>
      </w:r>
    </w:p>
    <w:p w14:paraId="3223AC60" w14:textId="56EB202F" w:rsidR="00CA6F6D" w:rsidRPr="00BC1046" w:rsidRDefault="512D973F" w:rsidP="512D973F">
      <w:pPr>
        <w:jc w:val="both"/>
        <w:rPr>
          <w:sz w:val="8"/>
          <w:szCs w:val="8"/>
        </w:rPr>
      </w:pPr>
      <w:r w:rsidRPr="00BC1046">
        <w:t>Specifically, PW use “TF.RF.IsConsolidated” from the previous Thomson One platform to identify a firm’s consolidation status. This item proves to be the primary source of error in the noncompliance sample, accounting for approximately 87% of error cases. When we compare our results based on the Refinitiv consolidation variables equivalent to the one used by PW</w:t>
      </w:r>
      <w:r w:rsidR="000E7B40">
        <w:t>—</w:t>
      </w:r>
      <w:r w:rsidRPr="00BC1046">
        <w:t xml:space="preserve"> “TR.F.FundamentalConsolidation” and “</w:t>
      </w:r>
      <w:proofErr w:type="spellStart"/>
      <w:r w:rsidRPr="00BC1046">
        <w:t>TR.IsISConsolidated</w:t>
      </w:r>
      <w:proofErr w:type="spellEnd"/>
      <w:r w:rsidR="00B76953">
        <w:t>”</w:t>
      </w:r>
      <w:r w:rsidR="000E7B40">
        <w:t>—</w:t>
      </w:r>
      <w:r w:rsidRPr="00BC1046">
        <w:t>with those of Worldscope used by NS, we notice that most cases in the PW noncompliance sample would be correctly classified; hence, what NS capture is mainly related to observations outside of PW’s sample period and does not generalize to the period before 2012.</w:t>
      </w:r>
    </w:p>
    <w:p w14:paraId="7183DAF0" w14:textId="77777777" w:rsidR="00BF5AE0" w:rsidRPr="00BC1046" w:rsidRDefault="00BF5AE0" w:rsidP="512D973F">
      <w:pPr>
        <w:jc w:val="both"/>
        <w:rPr>
          <w:b/>
          <w:bCs/>
        </w:rPr>
      </w:pPr>
    </w:p>
    <w:p w14:paraId="4AEB19C0" w14:textId="152BDE26" w:rsidR="00BF5AE0" w:rsidRPr="00BC1046" w:rsidRDefault="512D973F" w:rsidP="512D973F">
      <w:pPr>
        <w:jc w:val="both"/>
        <w:rPr>
          <w:b/>
          <w:bCs/>
        </w:rPr>
      </w:pPr>
      <w:r w:rsidRPr="00BC1046">
        <w:rPr>
          <w:b/>
          <w:bCs/>
        </w:rPr>
        <w:t>B.2. Classification Framework</w:t>
      </w:r>
    </w:p>
    <w:p w14:paraId="6ED3D2E2" w14:textId="77777777" w:rsidR="00BF5AE0" w:rsidRPr="00BC1046" w:rsidRDefault="00BF5AE0" w:rsidP="512D973F">
      <w:pPr>
        <w:jc w:val="both"/>
        <w:rPr>
          <w:b/>
          <w:bCs/>
        </w:rPr>
      </w:pPr>
    </w:p>
    <w:p w14:paraId="05CB1706" w14:textId="40917EC8" w:rsidR="00AB12D5" w:rsidRPr="00BC1046" w:rsidRDefault="512D973F" w:rsidP="512D973F">
      <w:pPr>
        <w:spacing w:after="120"/>
        <w:jc w:val="both"/>
        <w:rPr>
          <w:b/>
          <w:bCs/>
        </w:rPr>
      </w:pPr>
      <w:r w:rsidRPr="00BC1046">
        <w:rPr>
          <w:b/>
          <w:bCs/>
        </w:rPr>
        <w:t>iii) Differing research questions</w:t>
      </w:r>
    </w:p>
    <w:p w14:paraId="1374B6F1" w14:textId="05AC61DF" w:rsidR="001D1812" w:rsidRPr="00BC1046" w:rsidRDefault="512D973F" w:rsidP="512D973F">
      <w:pPr>
        <w:jc w:val="both"/>
      </w:pPr>
      <w:r w:rsidRPr="00BC1046">
        <w:t>While NS</w:t>
      </w:r>
      <w:r w:rsidR="000E7B40">
        <w:t>’s work</w:t>
      </w:r>
      <w:r w:rsidRPr="00BC1046">
        <w:t xml:space="preserve"> and our paper document that noncompliance with IFRS adoption does not exist in the EU, the scientifically relevant follow-up question arises as to </w:t>
      </w:r>
      <w:r w:rsidRPr="00F9230A">
        <w:rPr>
          <w:i/>
          <w:iCs/>
        </w:rPr>
        <w:t>why</w:t>
      </w:r>
      <w:r w:rsidRPr="00BC1046">
        <w:t xml:space="preserve"> </w:t>
      </w:r>
      <w:r w:rsidR="000E7B40">
        <w:t xml:space="preserve">the </w:t>
      </w:r>
      <w:r w:rsidRPr="00BC1046">
        <w:t>literature came to incorrect conclusions. NS focus their explanations and classification framework on “seek[</w:t>
      </w:r>
      <w:proofErr w:type="spellStart"/>
      <w:r w:rsidRPr="00BC1046">
        <w:t>ing</w:t>
      </w:r>
      <w:proofErr w:type="spellEnd"/>
      <w:r w:rsidRPr="00BC1046">
        <w:t>] to explain why many firms are showing in Worldscope as not publishing IFRS statements” (NS, p. 1503). Instead, our research focus is broader in that we ask, “What went wrong?”</w:t>
      </w:r>
    </w:p>
    <w:p w14:paraId="41FDB118" w14:textId="77777777" w:rsidR="00D030E5" w:rsidRPr="00BC1046" w:rsidRDefault="00D030E5" w:rsidP="512D973F">
      <w:pPr>
        <w:jc w:val="both"/>
        <w:rPr>
          <w:b/>
          <w:bCs/>
        </w:rPr>
      </w:pPr>
    </w:p>
    <w:p w14:paraId="2E33D815" w14:textId="71AF023B" w:rsidR="00AA3D98" w:rsidRPr="00BC1046" w:rsidRDefault="512D973F" w:rsidP="512D973F">
      <w:pPr>
        <w:spacing w:after="120"/>
        <w:jc w:val="both"/>
      </w:pPr>
      <w:r w:rsidRPr="00BC1046">
        <w:rPr>
          <w:b/>
          <w:bCs/>
        </w:rPr>
        <w:t>iv) NS framework combines sources of error with valid exemptions</w:t>
      </w:r>
    </w:p>
    <w:p w14:paraId="508BDF3D" w14:textId="71EDBEB9" w:rsidR="00BF000C" w:rsidRPr="00BC1046" w:rsidRDefault="512D973F" w:rsidP="512D973F">
      <w:pPr>
        <w:spacing w:after="120"/>
        <w:jc w:val="both"/>
      </w:pPr>
      <w:bookmarkStart w:id="10" w:name="_Hlk173421416"/>
      <w:r w:rsidRPr="00BC1046">
        <w:t>NS’s classification framework includes six explanations of why non-IFRS reporting could be legitimate, i.e., why a firm is still compliant, even when Worldscope codes a firm as not using IFRS:</w:t>
      </w:r>
    </w:p>
    <w:p w14:paraId="6DAC29A9" w14:textId="7AA6AF4C" w:rsidR="00BF000C" w:rsidRPr="00BC1046" w:rsidRDefault="512D973F" w:rsidP="512D973F">
      <w:pPr>
        <w:pStyle w:val="Listenabsatz"/>
        <w:numPr>
          <w:ilvl w:val="2"/>
          <w:numId w:val="4"/>
        </w:numPr>
        <w:ind w:left="720"/>
        <w:jc w:val="both"/>
      </w:pPr>
      <w:r w:rsidRPr="00BC1046">
        <w:t>[1] Firm not incorporated in the country (Worldscope error)</w:t>
      </w:r>
    </w:p>
    <w:p w14:paraId="4488104E" w14:textId="5425377A" w:rsidR="00BF000C" w:rsidRPr="00BC1046" w:rsidRDefault="512D973F" w:rsidP="512D973F">
      <w:pPr>
        <w:pStyle w:val="Listenabsatz"/>
        <w:numPr>
          <w:ilvl w:val="2"/>
          <w:numId w:val="4"/>
        </w:numPr>
        <w:ind w:left="720"/>
        <w:jc w:val="both"/>
      </w:pPr>
      <w:r w:rsidRPr="00BC1046">
        <w:t>[2] Firm does not provide consolidated statements – Case 1: Worldscope records this (correctly)</w:t>
      </w:r>
    </w:p>
    <w:p w14:paraId="697FB499" w14:textId="0E994C50" w:rsidR="00BF000C" w:rsidRPr="00BC1046" w:rsidRDefault="512D973F" w:rsidP="512D973F">
      <w:pPr>
        <w:pStyle w:val="Listenabsatz"/>
        <w:numPr>
          <w:ilvl w:val="2"/>
          <w:numId w:val="4"/>
        </w:numPr>
        <w:ind w:left="720"/>
        <w:jc w:val="both"/>
      </w:pPr>
      <w:r w:rsidRPr="00BC1046">
        <w:t>[3] Firm does not provide consolidated statements – Case 2: Worldscope error</w:t>
      </w:r>
    </w:p>
    <w:p w14:paraId="6BBCE531" w14:textId="7EA41D1E" w:rsidR="00BF000C" w:rsidRPr="00BC1046" w:rsidRDefault="512D973F" w:rsidP="512D973F">
      <w:pPr>
        <w:pStyle w:val="Listenabsatz"/>
        <w:numPr>
          <w:ilvl w:val="2"/>
          <w:numId w:val="4"/>
        </w:numPr>
        <w:ind w:left="720"/>
        <w:jc w:val="both"/>
      </w:pPr>
      <w:r w:rsidRPr="00BC1046">
        <w:t>[4] Firm provides IFRS statements (but Worldscope records a different GAAP)</w:t>
      </w:r>
    </w:p>
    <w:p w14:paraId="0179A9A3" w14:textId="55944292" w:rsidR="00BF000C" w:rsidRPr="00BC1046" w:rsidRDefault="512D973F" w:rsidP="512D973F">
      <w:pPr>
        <w:pStyle w:val="Listenabsatz"/>
        <w:numPr>
          <w:ilvl w:val="2"/>
          <w:numId w:val="4"/>
        </w:numPr>
        <w:ind w:left="720"/>
        <w:jc w:val="both"/>
      </w:pPr>
      <w:r w:rsidRPr="00BC1046">
        <w:t>[5] Firm not listed in the year (although Worldscope contains accounting data)</w:t>
      </w:r>
    </w:p>
    <w:p w14:paraId="5AA637BC" w14:textId="0F0D50C2" w:rsidR="004F05EE" w:rsidRPr="00BC1046" w:rsidRDefault="512D973F" w:rsidP="512D973F">
      <w:pPr>
        <w:pStyle w:val="Listenabsatz"/>
        <w:numPr>
          <w:ilvl w:val="2"/>
          <w:numId w:val="4"/>
        </w:numPr>
        <w:spacing w:after="120"/>
        <w:ind w:left="714" w:hanging="357"/>
        <w:jc w:val="both"/>
      </w:pPr>
      <w:r w:rsidRPr="00BC1046">
        <w:rPr>
          <w:rFonts w:asciiTheme="majorBidi" w:hAnsiTheme="majorBidi" w:cstheme="majorBidi"/>
        </w:rPr>
        <w:t>[6</w:t>
      </w:r>
      <w:r w:rsidRPr="00BC1046">
        <w:t>] Firm not listed on a market that requires IFRS</w:t>
      </w:r>
    </w:p>
    <w:bookmarkEnd w:id="10"/>
    <w:p w14:paraId="5B551BE1" w14:textId="6266694F" w:rsidR="00E55C22" w:rsidRPr="00BC1046" w:rsidRDefault="512D973F" w:rsidP="512D973F">
      <w:pPr>
        <w:spacing w:before="120"/>
        <w:jc w:val="both"/>
      </w:pPr>
      <w:r w:rsidRPr="00BC1046">
        <w:t>Notably, these six categories represent valid “explanations why reporting is legitimate” (NS Table 3) and do not necessarily represent sources of error. For example, explanation [2] is not a source of error, as Worldscope data is correct. Therefore, when 36.9% of NS’s observations are assigned to category [2] and even 72.2% of UK observations in 2007, the relevant question about the source of error in PW remains unanswered.</w:t>
      </w:r>
    </w:p>
    <w:p w14:paraId="08A41EDA" w14:textId="77777777" w:rsidR="00271005" w:rsidRPr="00BC1046" w:rsidRDefault="00271005" w:rsidP="512D973F">
      <w:pPr>
        <w:jc w:val="both"/>
      </w:pPr>
    </w:p>
    <w:p w14:paraId="228FC0D6" w14:textId="77777777" w:rsidR="005C7489" w:rsidRDefault="005C7489">
      <w:pPr>
        <w:spacing w:after="160" w:line="259" w:lineRule="auto"/>
        <w:rPr>
          <w:b/>
          <w:bCs/>
        </w:rPr>
      </w:pPr>
      <w:r>
        <w:rPr>
          <w:b/>
          <w:bCs/>
        </w:rPr>
        <w:br w:type="page"/>
      </w:r>
    </w:p>
    <w:p w14:paraId="41DF7822" w14:textId="23021942" w:rsidR="00271005" w:rsidRPr="00BC1046" w:rsidRDefault="512D973F" w:rsidP="512D973F">
      <w:pPr>
        <w:spacing w:after="120"/>
        <w:jc w:val="both"/>
      </w:pPr>
      <w:r w:rsidRPr="00BC1046">
        <w:rPr>
          <w:b/>
          <w:bCs/>
        </w:rPr>
        <w:lastRenderedPageBreak/>
        <w:t>v) Empirical comparison of sources of error</w:t>
      </w:r>
    </w:p>
    <w:p w14:paraId="63A08ED6" w14:textId="77777777" w:rsidR="00271005" w:rsidRPr="00BC1046" w:rsidRDefault="512D973F" w:rsidP="512D973F">
      <w:pPr>
        <w:jc w:val="both"/>
      </w:pPr>
      <w:r w:rsidRPr="00BC1046">
        <w:t xml:space="preserve">Based on their analysis, NS argue that legitimate reasons vary by country and year, the Worldscope database contains errors in many different fields, and the most frequent error is in the item </w:t>
      </w:r>
      <w:r w:rsidRPr="512D973F">
        <w:t>“</w:t>
      </w:r>
      <w:r w:rsidRPr="00BC1046">
        <w:t>Accounting Method For Long Term Investment&gt;50% (WC07531)”.</w:t>
      </w:r>
    </w:p>
    <w:p w14:paraId="4103D2F2" w14:textId="4A2CC97A" w:rsidR="000E28F3" w:rsidRPr="00BC1046" w:rsidRDefault="00CC0CC4" w:rsidP="512D973F">
      <w:pPr>
        <w:spacing w:before="120" w:after="120"/>
        <w:jc w:val="both"/>
      </w:pPr>
      <w:r w:rsidRPr="00BC1046">
        <w:t xml:space="preserve">To </w:t>
      </w:r>
      <w:r w:rsidR="00271005" w:rsidRPr="00BC1046">
        <w:t>validate</w:t>
      </w:r>
      <w:r w:rsidRPr="00BC1046">
        <w:t xml:space="preserve"> these </w:t>
      </w:r>
      <w:r w:rsidR="00DE5D6D" w:rsidRPr="00BC1046">
        <w:t>conclusions</w:t>
      </w:r>
      <w:r w:rsidRPr="00BC1046">
        <w:t xml:space="preserve">, </w:t>
      </w:r>
      <w:r w:rsidR="00271005" w:rsidRPr="00BC1046">
        <w:t xml:space="preserve">in Table </w:t>
      </w:r>
      <w:r w:rsidR="00AD0F5F" w:rsidRPr="00BC1046">
        <w:t>S2.1</w:t>
      </w:r>
      <w:r w:rsidR="00A97C3B" w:rsidRPr="512D973F">
        <w:rPr>
          <w:rFonts w:asciiTheme="majorBidi" w:eastAsia="Calibri" w:hAnsiTheme="majorBidi" w:cstheme="majorBidi"/>
          <w:kern w:val="2"/>
          <w14:ligatures w14:val="standardContextual"/>
        </w:rPr>
        <w:t xml:space="preserve"> Panel B, we split NS’s sample (NS Table 3) into three subsamples: NS sample classified as noncompliant by PW, NS sample </w:t>
      </w:r>
      <w:r w:rsidR="00A97C3B" w:rsidRPr="00F9230A">
        <w:rPr>
          <w:rFonts w:asciiTheme="majorBidi" w:eastAsia="Calibri" w:hAnsiTheme="majorBidi" w:cstheme="majorBidi"/>
          <w:i/>
          <w:iCs/>
          <w:kern w:val="2"/>
          <w14:ligatures w14:val="standardContextual"/>
        </w:rPr>
        <w:t>not</w:t>
      </w:r>
      <w:r w:rsidR="00A97C3B" w:rsidRPr="512D973F">
        <w:rPr>
          <w:rFonts w:asciiTheme="majorBidi" w:eastAsia="Calibri" w:hAnsiTheme="majorBidi" w:cstheme="majorBidi"/>
          <w:kern w:val="2"/>
          <w14:ligatures w14:val="standardContextual"/>
        </w:rPr>
        <w:t xml:space="preserve"> classified as noncompliant by PW, and NS sample outside the PW sample period.</w:t>
      </w:r>
      <w:r w:rsidR="00C10EFF" w:rsidRPr="00BC1046">
        <w:t xml:space="preserve"> </w:t>
      </w:r>
    </w:p>
    <w:p w14:paraId="08B995E5" w14:textId="3A6BB934" w:rsidR="00036CE1" w:rsidRPr="00BC1046" w:rsidRDefault="512D973F" w:rsidP="512D973F">
      <w:pPr>
        <w:spacing w:before="120" w:after="120"/>
        <w:jc w:val="both"/>
      </w:pPr>
      <w:r w:rsidRPr="00BC1046">
        <w:t>Based on the complete NS sample, one concludes:</w:t>
      </w:r>
    </w:p>
    <w:p w14:paraId="594A24E6" w14:textId="472E05DD" w:rsidR="00036CE1" w:rsidRPr="00BC1046" w:rsidRDefault="512D973F" w:rsidP="512D973F">
      <w:pPr>
        <w:pStyle w:val="Listenabsatz"/>
        <w:numPr>
          <w:ilvl w:val="2"/>
          <w:numId w:val="4"/>
        </w:numPr>
        <w:ind w:left="720"/>
        <w:jc w:val="both"/>
      </w:pPr>
      <w:r w:rsidRPr="00BC1046">
        <w:t>For 2007, explanation [2] domina</w:t>
      </w:r>
      <w:r w:rsidR="000E7B40">
        <w:t>tes</w:t>
      </w:r>
      <w:r w:rsidRPr="00BC1046">
        <w:t>, with 72.2% of the cases, followed by [6] with 14.9%, and [3] with 7.7%.</w:t>
      </w:r>
    </w:p>
    <w:p w14:paraId="57EF04D6" w14:textId="08C1809C" w:rsidR="00036CE1" w:rsidRPr="00BC1046" w:rsidRDefault="512D973F" w:rsidP="512D973F">
      <w:pPr>
        <w:pStyle w:val="Listenabsatz"/>
        <w:numPr>
          <w:ilvl w:val="2"/>
          <w:numId w:val="4"/>
        </w:numPr>
        <w:ind w:left="720"/>
        <w:jc w:val="both"/>
      </w:pPr>
      <w:r w:rsidRPr="00BC1046">
        <w:t>For 2012, explanation [2] domina</w:t>
      </w:r>
      <w:r w:rsidR="000E7B40">
        <w:t>tes</w:t>
      </w:r>
      <w:r w:rsidRPr="00BC1046">
        <w:t xml:space="preserve"> in the UK with 51.9%, followed by [3], but vice versa in Germany, Austria, and Portugal. Explanation [6] ranks third.</w:t>
      </w:r>
    </w:p>
    <w:p w14:paraId="0B25FC6F" w14:textId="4702B1CD" w:rsidR="00036CE1" w:rsidRPr="00BC1046" w:rsidRDefault="512D973F" w:rsidP="512D973F">
      <w:pPr>
        <w:pStyle w:val="Listenabsatz"/>
        <w:numPr>
          <w:ilvl w:val="2"/>
          <w:numId w:val="4"/>
        </w:numPr>
        <w:ind w:left="720"/>
        <w:jc w:val="both"/>
      </w:pPr>
      <w:r w:rsidRPr="00BC1046">
        <w:t>For 2020, explanation [3] domina</w:t>
      </w:r>
      <w:r w:rsidR="000E7B40">
        <w:t>tes</w:t>
      </w:r>
      <w:r w:rsidRPr="00BC1046">
        <w:t>, followed by [6].</w:t>
      </w:r>
    </w:p>
    <w:p w14:paraId="4E10E40C" w14:textId="77777777" w:rsidR="00053B4D" w:rsidRPr="00BC1046" w:rsidRDefault="00053B4D" w:rsidP="512D973F">
      <w:pPr>
        <w:jc w:val="both"/>
        <w:rPr>
          <w:sz w:val="8"/>
          <w:szCs w:val="8"/>
        </w:rPr>
      </w:pPr>
    </w:p>
    <w:p w14:paraId="2BCAC08F" w14:textId="510403E2" w:rsidR="007E047F" w:rsidRPr="00BC1046" w:rsidRDefault="512D973F" w:rsidP="512D973F">
      <w:pPr>
        <w:spacing w:after="120"/>
        <w:jc w:val="both"/>
      </w:pPr>
      <w:r w:rsidRPr="00BC1046">
        <w:t xml:space="preserve">On that basis, NS conclude that the “reasons for legitimate non-adoption vary by year and country” (see Abstract). They identify explanation [3] (Worldscope error) and explanation [6] as the most significant sources of errors. </w:t>
      </w:r>
    </w:p>
    <w:p w14:paraId="6DA60D51" w14:textId="0B41A99B" w:rsidR="001F2C36" w:rsidRPr="00BC1046" w:rsidRDefault="512D973F" w:rsidP="512D973F">
      <w:pPr>
        <w:spacing w:after="120"/>
        <w:jc w:val="both"/>
      </w:pPr>
      <w:r w:rsidRPr="00BC1046">
        <w:t xml:space="preserve">However, when splitting the sample, results only align for the NS sample </w:t>
      </w:r>
      <w:r w:rsidRPr="00F9230A">
        <w:rPr>
          <w:i/>
          <w:iCs/>
        </w:rPr>
        <w:t>not</w:t>
      </w:r>
      <w:r w:rsidRPr="00BC1046">
        <w:t xml:space="preserve"> classified as noncompliant by PW and the NS sample </w:t>
      </w:r>
      <w:r w:rsidRPr="00F9230A">
        <w:rPr>
          <w:i/>
          <w:iCs/>
        </w:rPr>
        <w:t>outside</w:t>
      </w:r>
      <w:r w:rsidRPr="00BC1046">
        <w:t xml:space="preserve"> PW</w:t>
      </w:r>
      <w:r w:rsidR="00BF2D21">
        <w:t>’s</w:t>
      </w:r>
      <w:r w:rsidRPr="00BC1046">
        <w:t xml:space="preserve"> sample period. A different picture emerges for the relevant NS sample classified as noncompliant by PW:</w:t>
      </w:r>
    </w:p>
    <w:p w14:paraId="05E4547F" w14:textId="01DFD3FB" w:rsidR="00BD2C59" w:rsidRPr="00BC1046" w:rsidRDefault="512D973F" w:rsidP="512D973F">
      <w:pPr>
        <w:pStyle w:val="Listenabsatz"/>
        <w:numPr>
          <w:ilvl w:val="2"/>
          <w:numId w:val="4"/>
        </w:numPr>
        <w:ind w:left="720"/>
        <w:jc w:val="both"/>
      </w:pPr>
      <w:r w:rsidRPr="00BC1046">
        <w:t>For the UK in 2007, conclusions do not hold. Explanation [2] accounts for 91.3% of cases, indicating that Worldscope is correct and the source of error is not addressed. Explanation [3], when Worldscope is incorrect, explains less than 9%. Explanation [6] plays no role.</w:t>
      </w:r>
    </w:p>
    <w:p w14:paraId="78BB8C46" w14:textId="6A66332B" w:rsidR="00BD2C59" w:rsidRPr="00BC1046" w:rsidRDefault="512D973F" w:rsidP="512D973F">
      <w:pPr>
        <w:pStyle w:val="Listenabsatz"/>
        <w:numPr>
          <w:ilvl w:val="2"/>
          <w:numId w:val="4"/>
        </w:numPr>
        <w:ind w:left="720"/>
        <w:jc w:val="both"/>
      </w:pPr>
      <w:r w:rsidRPr="00BC1046">
        <w:t>Again, for the UK in 2012, explanation [2] represents 67.1% of the cases, which is not a source of error. However, explanation [3] has now become significant due to the undisclosed data coding policy change in Worldscope, which was implemented starting in 2012. Explanation [6] plays no role.</w:t>
      </w:r>
    </w:p>
    <w:p w14:paraId="7AD3DCAD" w14:textId="367371A9" w:rsidR="00BD2C59" w:rsidRPr="00BC1046" w:rsidRDefault="512D973F" w:rsidP="512D973F">
      <w:pPr>
        <w:pStyle w:val="Listenabsatz"/>
        <w:numPr>
          <w:ilvl w:val="2"/>
          <w:numId w:val="4"/>
        </w:numPr>
        <w:spacing w:before="240" w:after="120"/>
        <w:ind w:left="714" w:hanging="357"/>
        <w:jc w:val="both"/>
      </w:pPr>
      <w:r w:rsidRPr="00BC1046">
        <w:t>For Germany in 2012, explanation [3] has become significant. Explanation [6] is insignificant with 2.6% of cases.</w:t>
      </w:r>
    </w:p>
    <w:p w14:paraId="16C6C34E" w14:textId="711F015B" w:rsidR="00237B22" w:rsidRPr="00BC1046" w:rsidRDefault="512D973F" w:rsidP="512D973F">
      <w:pPr>
        <w:jc w:val="both"/>
      </w:pPr>
      <w:r w:rsidRPr="00BC1046">
        <w:t>Hence, based on the 2012 sample (the last year of PW’s sample period), one can see that the Worldscope variable regarding consolidation started to cause errors, which is even more drastic in the 2020 sample. This illustrates how out-of-sample data drive NS’s conclusions regarding the causes of error and do not generalize to the data that PW used.</w:t>
      </w:r>
    </w:p>
    <w:p w14:paraId="41ECA162" w14:textId="77777777" w:rsidR="00F769A9" w:rsidRPr="00BC1046" w:rsidRDefault="00F769A9" w:rsidP="512D973F">
      <w:pPr>
        <w:jc w:val="both"/>
      </w:pPr>
    </w:p>
    <w:p w14:paraId="4F8381F3" w14:textId="093A395A" w:rsidR="00822CA4" w:rsidRPr="00BC1046" w:rsidRDefault="512D973F" w:rsidP="512D973F">
      <w:pPr>
        <w:jc w:val="both"/>
        <w:sectPr w:rsidR="00822CA4" w:rsidRPr="00BC1046" w:rsidSect="002B5F8B">
          <w:footerReference w:type="default" r:id="rId8"/>
          <w:pgSz w:w="12240" w:h="15840"/>
          <w:pgMar w:top="1440" w:right="1440" w:bottom="1440" w:left="1440" w:header="720" w:footer="720" w:gutter="0"/>
          <w:cols w:space="720"/>
          <w:docGrid w:linePitch="360"/>
        </w:sectPr>
      </w:pPr>
      <w:r w:rsidRPr="00BC1046">
        <w:t>In summary, while NS’s approach points in the direction of errors in PW’s noncompliance data, their conclusions on sources of error are inaccurate in a replication study, where 30.1% of observations fall outside the relevant period and 39.5% do not represent errors in the replicated study. This approach leads to inflated, insignificant sources of errors (e.g., explanation [6]), overestimates unspecific Worldscope errors (e.g., due to Worldscope’s later data policy change), and conflates valid exemptions with errors (e.g., explanation [2] where Worldscope is correct).</w:t>
      </w:r>
    </w:p>
    <w:p w14:paraId="67B40724" w14:textId="64F6ED3D" w:rsidR="0002651C" w:rsidRDefault="0002651C" w:rsidP="00106C1D">
      <w:pPr>
        <w:rPr>
          <w:rFonts w:asciiTheme="majorBidi" w:eastAsia="Calibri" w:hAnsiTheme="majorBidi" w:cstheme="majorBidi"/>
          <w:bCs/>
          <w:kern w:val="2"/>
          <w14:ligatures w14:val="standardContextual"/>
        </w:rPr>
      </w:pPr>
      <w:r w:rsidRPr="00EF7A68">
        <w:rPr>
          <w:rFonts w:asciiTheme="majorBidi" w:eastAsia="Calibri" w:hAnsiTheme="majorBidi" w:cstheme="majorBidi"/>
          <w:b/>
          <w:bCs/>
          <w:kern w:val="2"/>
          <w14:ligatures w14:val="standardContextual"/>
        </w:rPr>
        <w:lastRenderedPageBreak/>
        <w:t xml:space="preserve">TABLE </w:t>
      </w:r>
      <w:r w:rsidR="009B6425">
        <w:rPr>
          <w:rFonts w:asciiTheme="majorBidi" w:eastAsia="Calibri" w:hAnsiTheme="majorBidi" w:cstheme="majorBidi"/>
          <w:b/>
          <w:bCs/>
          <w:kern w:val="2"/>
          <w14:ligatures w14:val="standardContextual"/>
        </w:rPr>
        <w:t>S2.</w:t>
      </w:r>
      <w:r w:rsidR="007D7C63" w:rsidRPr="00EF7A68">
        <w:rPr>
          <w:rFonts w:asciiTheme="majorBidi" w:eastAsia="Calibri" w:hAnsiTheme="majorBidi" w:cstheme="majorBidi"/>
          <w:b/>
          <w:bCs/>
          <w:kern w:val="2"/>
          <w14:ligatures w14:val="standardContextual"/>
        </w:rPr>
        <w:t>1</w:t>
      </w:r>
      <w:r w:rsidR="007D7C63">
        <w:rPr>
          <w:rFonts w:asciiTheme="majorBidi" w:eastAsia="Calibri" w:hAnsiTheme="majorBidi" w:cstheme="majorBidi"/>
          <w:b/>
          <w:bCs/>
          <w:kern w:val="2"/>
          <w14:ligatures w14:val="standardContextual"/>
        </w:rPr>
        <w:t xml:space="preserve"> </w:t>
      </w:r>
      <w:r w:rsidRPr="0091091D">
        <w:rPr>
          <w:rFonts w:asciiTheme="majorBidi" w:eastAsia="Calibri" w:hAnsiTheme="majorBidi" w:cstheme="majorBidi"/>
          <w:bCs/>
          <w:kern w:val="2"/>
          <w14:ligatures w14:val="standardContextual"/>
        </w:rPr>
        <w:t>NS Samples Explained</w:t>
      </w:r>
    </w:p>
    <w:p w14:paraId="13B9DA8F" w14:textId="77777777" w:rsidR="00D94DA1" w:rsidRDefault="00D94DA1" w:rsidP="00106C1D">
      <w:pPr>
        <w:rPr>
          <w:rFonts w:asciiTheme="majorBidi" w:eastAsia="Calibri" w:hAnsiTheme="majorBidi" w:cstheme="majorBidi"/>
          <w:bCs/>
          <w:kern w:val="2"/>
          <w14:ligatures w14:val="standardContextual"/>
        </w:rPr>
      </w:pPr>
    </w:p>
    <w:tbl>
      <w:tblPr>
        <w:tblW w:w="4854" w:type="pct"/>
        <w:tblLayout w:type="fixed"/>
        <w:tblLook w:val="04A0" w:firstRow="1" w:lastRow="0" w:firstColumn="1" w:lastColumn="0" w:noHBand="0" w:noVBand="1"/>
      </w:tblPr>
      <w:tblGrid>
        <w:gridCol w:w="2279"/>
        <w:gridCol w:w="354"/>
        <w:gridCol w:w="616"/>
        <w:gridCol w:w="616"/>
        <w:gridCol w:w="616"/>
        <w:gridCol w:w="616"/>
        <w:gridCol w:w="616"/>
        <w:gridCol w:w="617"/>
        <w:gridCol w:w="637"/>
        <w:gridCol w:w="237"/>
        <w:gridCol w:w="617"/>
        <w:gridCol w:w="617"/>
        <w:gridCol w:w="619"/>
        <w:gridCol w:w="237"/>
        <w:gridCol w:w="617"/>
        <w:gridCol w:w="617"/>
        <w:gridCol w:w="619"/>
        <w:gridCol w:w="237"/>
        <w:gridCol w:w="232"/>
        <w:gridCol w:w="382"/>
        <w:gridCol w:w="141"/>
        <w:gridCol w:w="443"/>
      </w:tblGrid>
      <w:tr w:rsidR="00286CD6" w:rsidRPr="00CC7041" w14:paraId="33C60212" w14:textId="77777777" w:rsidTr="00286CD6">
        <w:trPr>
          <w:trHeight w:val="245"/>
        </w:trPr>
        <w:tc>
          <w:tcPr>
            <w:tcW w:w="906" w:type="pct"/>
            <w:tcBorders>
              <w:top w:val="nil"/>
              <w:left w:val="nil"/>
              <w:bottom w:val="single" w:sz="4" w:space="0" w:color="auto"/>
              <w:right w:val="nil"/>
            </w:tcBorders>
            <w:hideMark/>
          </w:tcPr>
          <w:p w14:paraId="09E9BE1D" w14:textId="77777777" w:rsidR="00286CD6" w:rsidRPr="00CC7041" w:rsidRDefault="00286CD6" w:rsidP="00286CD6">
            <w:pPr>
              <w:jc w:val="center"/>
              <w:rPr>
                <w:rFonts w:asciiTheme="majorBidi" w:hAnsiTheme="majorBidi" w:cstheme="majorBidi"/>
                <w:color w:val="000000"/>
                <w:sz w:val="16"/>
                <w:szCs w:val="16"/>
              </w:rPr>
            </w:pPr>
          </w:p>
        </w:tc>
        <w:tc>
          <w:tcPr>
            <w:tcW w:w="141" w:type="pct"/>
            <w:tcBorders>
              <w:top w:val="nil"/>
              <w:left w:val="nil"/>
              <w:bottom w:val="single" w:sz="4" w:space="0" w:color="auto"/>
              <w:right w:val="nil"/>
            </w:tcBorders>
            <w:shd w:val="clear" w:color="000000" w:fill="FFFFFF"/>
          </w:tcPr>
          <w:p w14:paraId="672F24E4" w14:textId="77777777" w:rsidR="00286CD6" w:rsidRPr="00CC7041" w:rsidRDefault="00286CD6" w:rsidP="00286CD6">
            <w:pPr>
              <w:jc w:val="center"/>
              <w:rPr>
                <w:rFonts w:asciiTheme="majorBidi" w:hAnsiTheme="majorBidi" w:cstheme="majorBidi"/>
                <w:color w:val="000000"/>
                <w:sz w:val="16"/>
                <w:szCs w:val="16"/>
              </w:rPr>
            </w:pPr>
          </w:p>
        </w:tc>
        <w:tc>
          <w:tcPr>
            <w:tcW w:w="1723" w:type="pct"/>
            <w:gridSpan w:val="7"/>
            <w:tcBorders>
              <w:top w:val="nil"/>
              <w:left w:val="nil"/>
              <w:bottom w:val="single" w:sz="4" w:space="0" w:color="auto"/>
              <w:right w:val="nil"/>
            </w:tcBorders>
            <w:shd w:val="clear" w:color="000000" w:fill="FFFFFF"/>
            <w:hideMark/>
          </w:tcPr>
          <w:p w14:paraId="3749CD46" w14:textId="7FC04DDC" w:rsidR="00286CD6" w:rsidRPr="00CC7041" w:rsidRDefault="00286CD6" w:rsidP="00286CD6">
            <w:pPr>
              <w:jc w:val="center"/>
              <w:rPr>
                <w:rFonts w:asciiTheme="majorBidi" w:hAnsiTheme="majorBidi" w:cstheme="majorBidi"/>
                <w:color w:val="000000"/>
                <w:sz w:val="16"/>
                <w:szCs w:val="16"/>
              </w:rPr>
            </w:pPr>
            <w:r w:rsidRPr="00CC7041">
              <w:rPr>
                <w:rFonts w:asciiTheme="majorBidi" w:hAnsiTheme="majorBidi" w:cstheme="majorBidi"/>
                <w:b/>
                <w:bCs/>
                <w:color w:val="000000"/>
                <w:sz w:val="16"/>
                <w:szCs w:val="16"/>
              </w:rPr>
              <w:t xml:space="preserve"> Complete NS Sample</w:t>
            </w:r>
          </w:p>
        </w:tc>
        <w:tc>
          <w:tcPr>
            <w:tcW w:w="94" w:type="pct"/>
            <w:tcBorders>
              <w:top w:val="nil"/>
              <w:left w:val="nil"/>
              <w:bottom w:val="single" w:sz="4" w:space="0" w:color="auto"/>
              <w:right w:val="nil"/>
            </w:tcBorders>
            <w:shd w:val="clear" w:color="000000" w:fill="FFFFFF"/>
          </w:tcPr>
          <w:p w14:paraId="2870026D" w14:textId="77777777" w:rsidR="00286CD6" w:rsidRPr="00CC7041" w:rsidRDefault="00286CD6" w:rsidP="00286CD6">
            <w:pPr>
              <w:jc w:val="center"/>
              <w:rPr>
                <w:rFonts w:asciiTheme="majorBidi" w:hAnsiTheme="majorBidi" w:cstheme="majorBidi"/>
                <w:b/>
                <w:bCs/>
                <w:color w:val="000000"/>
                <w:sz w:val="16"/>
                <w:szCs w:val="16"/>
              </w:rPr>
            </w:pPr>
          </w:p>
        </w:tc>
        <w:tc>
          <w:tcPr>
            <w:tcW w:w="736" w:type="pct"/>
            <w:gridSpan w:val="3"/>
            <w:tcBorders>
              <w:top w:val="nil"/>
              <w:left w:val="nil"/>
              <w:bottom w:val="single" w:sz="4" w:space="0" w:color="auto"/>
              <w:right w:val="nil"/>
            </w:tcBorders>
            <w:shd w:val="clear" w:color="000000" w:fill="FFFFFF"/>
            <w:hideMark/>
          </w:tcPr>
          <w:p w14:paraId="4A5E249D" w14:textId="1C372E18" w:rsidR="00286CD6" w:rsidRPr="00CC7041" w:rsidRDefault="00286CD6" w:rsidP="00286CD6">
            <w:pPr>
              <w:jc w:val="center"/>
              <w:rPr>
                <w:rFonts w:asciiTheme="majorBidi" w:hAnsiTheme="majorBidi" w:cstheme="majorBidi"/>
                <w:color w:val="000000"/>
                <w:sz w:val="16"/>
                <w:szCs w:val="16"/>
              </w:rPr>
            </w:pPr>
            <w:r w:rsidRPr="00CC7041">
              <w:rPr>
                <w:rFonts w:asciiTheme="majorBidi" w:hAnsiTheme="majorBidi" w:cstheme="majorBidi"/>
                <w:b/>
                <w:bCs/>
                <w:color w:val="000000"/>
                <w:sz w:val="16"/>
                <w:szCs w:val="16"/>
              </w:rPr>
              <w:t>NS sample classified as noncompliant by PW</w:t>
            </w:r>
          </w:p>
        </w:tc>
        <w:tc>
          <w:tcPr>
            <w:tcW w:w="94" w:type="pct"/>
            <w:tcBorders>
              <w:top w:val="nil"/>
              <w:left w:val="nil"/>
              <w:bottom w:val="single" w:sz="4" w:space="0" w:color="auto"/>
              <w:right w:val="nil"/>
            </w:tcBorders>
            <w:shd w:val="clear" w:color="000000" w:fill="FFFFFF"/>
          </w:tcPr>
          <w:p w14:paraId="0B836B60" w14:textId="77777777" w:rsidR="00286CD6" w:rsidRPr="00CC7041" w:rsidRDefault="00286CD6" w:rsidP="00286CD6">
            <w:pPr>
              <w:jc w:val="center"/>
              <w:rPr>
                <w:rFonts w:asciiTheme="majorBidi" w:hAnsiTheme="majorBidi" w:cstheme="majorBidi"/>
                <w:b/>
                <w:bCs/>
                <w:color w:val="000000"/>
                <w:sz w:val="16"/>
                <w:szCs w:val="16"/>
              </w:rPr>
            </w:pPr>
          </w:p>
        </w:tc>
        <w:tc>
          <w:tcPr>
            <w:tcW w:w="736" w:type="pct"/>
            <w:gridSpan w:val="3"/>
            <w:tcBorders>
              <w:top w:val="nil"/>
              <w:left w:val="nil"/>
              <w:bottom w:val="single" w:sz="4" w:space="0" w:color="auto"/>
              <w:right w:val="nil"/>
            </w:tcBorders>
            <w:shd w:val="clear" w:color="000000" w:fill="FFFFFF"/>
            <w:hideMark/>
          </w:tcPr>
          <w:p w14:paraId="04E33687" w14:textId="77AB8E6A" w:rsidR="00286CD6" w:rsidRPr="00CC7041" w:rsidRDefault="00286CD6" w:rsidP="00286CD6">
            <w:pPr>
              <w:jc w:val="center"/>
              <w:rPr>
                <w:rFonts w:asciiTheme="majorBidi" w:hAnsiTheme="majorBidi" w:cstheme="majorBidi"/>
                <w:color w:val="000000"/>
                <w:sz w:val="16"/>
                <w:szCs w:val="16"/>
              </w:rPr>
            </w:pPr>
            <w:r w:rsidRPr="00CC7041">
              <w:rPr>
                <w:rFonts w:asciiTheme="majorBidi" w:hAnsiTheme="majorBidi" w:cstheme="majorBidi"/>
                <w:b/>
                <w:bCs/>
                <w:color w:val="000000"/>
                <w:sz w:val="16"/>
                <w:szCs w:val="16"/>
              </w:rPr>
              <w:t xml:space="preserve">NS sample </w:t>
            </w:r>
            <w:r w:rsidRPr="002A7364">
              <w:rPr>
                <w:rFonts w:asciiTheme="majorBidi" w:hAnsiTheme="majorBidi" w:cstheme="majorBidi"/>
                <w:b/>
                <w:bCs/>
                <w:i/>
                <w:iCs/>
                <w:color w:val="000000"/>
                <w:sz w:val="16"/>
                <w:szCs w:val="16"/>
              </w:rPr>
              <w:t>not</w:t>
            </w:r>
            <w:r w:rsidRPr="00CC7041">
              <w:rPr>
                <w:rFonts w:asciiTheme="majorBidi" w:hAnsiTheme="majorBidi" w:cstheme="majorBidi"/>
                <w:b/>
                <w:bCs/>
                <w:color w:val="000000"/>
                <w:sz w:val="16"/>
                <w:szCs w:val="16"/>
              </w:rPr>
              <w:t xml:space="preserve"> classified as noncompliant in PW</w:t>
            </w:r>
          </w:p>
        </w:tc>
        <w:tc>
          <w:tcPr>
            <w:tcW w:w="94" w:type="pct"/>
            <w:tcBorders>
              <w:top w:val="nil"/>
              <w:left w:val="nil"/>
              <w:bottom w:val="single" w:sz="4" w:space="0" w:color="auto"/>
              <w:right w:val="nil"/>
            </w:tcBorders>
            <w:shd w:val="clear" w:color="000000" w:fill="FFFFFF"/>
          </w:tcPr>
          <w:p w14:paraId="31E1767C" w14:textId="77777777" w:rsidR="00286CD6" w:rsidRDefault="00286CD6" w:rsidP="00286CD6">
            <w:pPr>
              <w:jc w:val="center"/>
              <w:rPr>
                <w:rFonts w:asciiTheme="majorBidi" w:hAnsiTheme="majorBidi" w:cstheme="majorBidi"/>
                <w:b/>
                <w:bCs/>
                <w:color w:val="000000"/>
                <w:sz w:val="16"/>
                <w:szCs w:val="16"/>
              </w:rPr>
            </w:pPr>
          </w:p>
        </w:tc>
        <w:tc>
          <w:tcPr>
            <w:tcW w:w="475" w:type="pct"/>
            <w:gridSpan w:val="4"/>
            <w:tcBorders>
              <w:top w:val="nil"/>
              <w:left w:val="nil"/>
              <w:bottom w:val="single" w:sz="4" w:space="0" w:color="auto"/>
              <w:right w:val="nil"/>
            </w:tcBorders>
            <w:shd w:val="clear" w:color="000000" w:fill="FFFFFF"/>
          </w:tcPr>
          <w:p w14:paraId="35D47CD7" w14:textId="5955ACC0" w:rsidR="00286CD6" w:rsidRPr="00CC7041" w:rsidRDefault="00286CD6" w:rsidP="00286CD6">
            <w:pPr>
              <w:jc w:val="center"/>
              <w:rPr>
                <w:rFonts w:asciiTheme="majorBidi" w:hAnsiTheme="majorBidi" w:cstheme="majorBidi"/>
                <w:color w:val="000000"/>
                <w:sz w:val="16"/>
                <w:szCs w:val="16"/>
              </w:rPr>
            </w:pPr>
            <w:r>
              <w:rPr>
                <w:rFonts w:asciiTheme="majorBidi" w:hAnsiTheme="majorBidi" w:cstheme="majorBidi"/>
                <w:b/>
                <w:bCs/>
                <w:color w:val="000000"/>
                <w:sz w:val="16"/>
                <w:szCs w:val="16"/>
              </w:rPr>
              <w:t xml:space="preserve">NS sample </w:t>
            </w:r>
            <w:r w:rsidRPr="001261D7">
              <w:rPr>
                <w:rFonts w:asciiTheme="majorBidi" w:hAnsiTheme="majorBidi" w:cstheme="majorBidi"/>
                <w:b/>
                <w:bCs/>
                <w:i/>
                <w:iCs/>
                <w:color w:val="000000"/>
                <w:sz w:val="16"/>
                <w:szCs w:val="16"/>
              </w:rPr>
              <w:t>outside</w:t>
            </w:r>
            <w:r>
              <w:rPr>
                <w:rFonts w:asciiTheme="majorBidi" w:hAnsiTheme="majorBidi" w:cstheme="majorBidi"/>
                <w:b/>
                <w:bCs/>
                <w:color w:val="000000"/>
                <w:sz w:val="16"/>
                <w:szCs w:val="16"/>
              </w:rPr>
              <w:t xml:space="preserve"> PW</w:t>
            </w:r>
            <w:r w:rsidR="001261D7">
              <w:rPr>
                <w:rFonts w:asciiTheme="majorBidi" w:hAnsiTheme="majorBidi" w:cstheme="majorBidi"/>
                <w:b/>
                <w:bCs/>
                <w:color w:val="000000"/>
                <w:sz w:val="16"/>
                <w:szCs w:val="16"/>
              </w:rPr>
              <w:t>’s</w:t>
            </w:r>
            <w:r>
              <w:rPr>
                <w:rFonts w:asciiTheme="majorBidi" w:hAnsiTheme="majorBidi" w:cstheme="majorBidi"/>
                <w:b/>
                <w:bCs/>
                <w:color w:val="000000"/>
                <w:sz w:val="16"/>
                <w:szCs w:val="16"/>
              </w:rPr>
              <w:t xml:space="preserve"> sample period</w:t>
            </w:r>
          </w:p>
        </w:tc>
      </w:tr>
      <w:tr w:rsidR="00286CD6" w:rsidRPr="00106C1D" w14:paraId="317F8EB3" w14:textId="0596C452" w:rsidTr="00286CD6">
        <w:trPr>
          <w:trHeight w:val="216"/>
        </w:trPr>
        <w:tc>
          <w:tcPr>
            <w:tcW w:w="4616" w:type="pct"/>
            <w:gridSpan w:val="19"/>
            <w:tcBorders>
              <w:top w:val="single" w:sz="8" w:space="0" w:color="auto"/>
              <w:left w:val="nil"/>
              <w:bottom w:val="single" w:sz="4" w:space="0" w:color="auto"/>
              <w:right w:val="nil"/>
            </w:tcBorders>
            <w:shd w:val="clear" w:color="000000" w:fill="FFFFFF"/>
          </w:tcPr>
          <w:p w14:paraId="609AE63D" w14:textId="620CB2E0" w:rsidR="00286CD6" w:rsidRPr="00D3659A" w:rsidRDefault="00286CD6" w:rsidP="00CC7F7B">
            <w:pPr>
              <w:spacing w:after="120"/>
              <w:rPr>
                <w:rFonts w:asciiTheme="majorBidi" w:hAnsiTheme="majorBidi" w:cstheme="majorBidi"/>
                <w:b/>
                <w:bCs/>
                <w:color w:val="000000"/>
                <w:sz w:val="16"/>
                <w:szCs w:val="16"/>
              </w:rPr>
            </w:pPr>
            <w:r w:rsidRPr="00D018CE">
              <w:rPr>
                <w:rFonts w:asciiTheme="majorBidi" w:hAnsiTheme="majorBidi" w:cstheme="majorBidi"/>
                <w:b/>
                <w:bCs/>
                <w:sz w:val="16"/>
                <w:szCs w:val="16"/>
                <w:lang w:eastAsia="en-GB"/>
              </w:rPr>
              <w:t>Panel A:</w:t>
            </w:r>
            <w:r w:rsidRPr="00D3659A">
              <w:rPr>
                <w:rFonts w:asciiTheme="majorBidi" w:hAnsiTheme="majorBidi" w:cstheme="majorBidi"/>
                <w:b/>
                <w:bCs/>
                <w:sz w:val="16"/>
                <w:szCs w:val="16"/>
                <w:lang w:eastAsia="en-GB"/>
              </w:rPr>
              <w:t xml:space="preserve"> Firms in NS sample</w:t>
            </w:r>
          </w:p>
        </w:tc>
        <w:tc>
          <w:tcPr>
            <w:tcW w:w="208" w:type="pct"/>
            <w:gridSpan w:val="2"/>
            <w:tcBorders>
              <w:top w:val="single" w:sz="8" w:space="0" w:color="auto"/>
              <w:left w:val="nil"/>
              <w:bottom w:val="single" w:sz="4" w:space="0" w:color="auto"/>
              <w:right w:val="nil"/>
            </w:tcBorders>
            <w:shd w:val="clear" w:color="000000" w:fill="FFFFFF"/>
          </w:tcPr>
          <w:p w14:paraId="4A787DE5" w14:textId="77777777" w:rsidR="00286CD6" w:rsidRPr="00CC7041" w:rsidRDefault="00286CD6" w:rsidP="00CC7F7B">
            <w:pPr>
              <w:spacing w:after="120"/>
              <w:rPr>
                <w:rFonts w:asciiTheme="majorBidi" w:hAnsiTheme="majorBidi" w:cstheme="majorBidi"/>
                <w:b/>
                <w:bCs/>
                <w:sz w:val="16"/>
                <w:szCs w:val="16"/>
                <w:lang w:eastAsia="en-GB"/>
              </w:rPr>
            </w:pPr>
          </w:p>
        </w:tc>
        <w:tc>
          <w:tcPr>
            <w:tcW w:w="176" w:type="pct"/>
            <w:tcBorders>
              <w:top w:val="single" w:sz="8" w:space="0" w:color="auto"/>
              <w:left w:val="nil"/>
              <w:bottom w:val="single" w:sz="4" w:space="0" w:color="auto"/>
              <w:right w:val="nil"/>
            </w:tcBorders>
            <w:shd w:val="clear" w:color="000000" w:fill="FFFFFF"/>
          </w:tcPr>
          <w:p w14:paraId="03F62C79" w14:textId="77777777" w:rsidR="00286CD6" w:rsidRPr="00CC7041" w:rsidRDefault="00286CD6" w:rsidP="00CC7F7B">
            <w:pPr>
              <w:spacing w:after="120"/>
              <w:rPr>
                <w:rFonts w:asciiTheme="majorBidi" w:hAnsiTheme="majorBidi" w:cstheme="majorBidi"/>
                <w:b/>
                <w:bCs/>
                <w:sz w:val="16"/>
                <w:szCs w:val="16"/>
                <w:lang w:eastAsia="en-GB"/>
              </w:rPr>
            </w:pPr>
          </w:p>
        </w:tc>
      </w:tr>
      <w:tr w:rsidR="00286CD6" w:rsidRPr="00106C1D" w14:paraId="1D82565A" w14:textId="1614D7A8" w:rsidTr="00286CD6">
        <w:trPr>
          <w:trHeight w:val="399"/>
        </w:trPr>
        <w:tc>
          <w:tcPr>
            <w:tcW w:w="906" w:type="pct"/>
            <w:tcBorders>
              <w:top w:val="single" w:sz="4" w:space="0" w:color="auto"/>
              <w:left w:val="nil"/>
              <w:right w:val="nil"/>
            </w:tcBorders>
            <w:hideMark/>
          </w:tcPr>
          <w:p w14:paraId="05922905" w14:textId="77777777" w:rsidR="00286CD6" w:rsidRPr="00CC7041" w:rsidRDefault="00286CD6" w:rsidP="00B030DD">
            <w:pPr>
              <w:jc w:val="center"/>
              <w:rPr>
                <w:rFonts w:asciiTheme="majorBidi" w:hAnsiTheme="majorBidi" w:cstheme="majorBidi"/>
                <w:color w:val="000000"/>
                <w:sz w:val="16"/>
                <w:szCs w:val="16"/>
              </w:rPr>
            </w:pPr>
          </w:p>
        </w:tc>
        <w:tc>
          <w:tcPr>
            <w:tcW w:w="141" w:type="pct"/>
            <w:tcBorders>
              <w:top w:val="single" w:sz="4" w:space="0" w:color="auto"/>
              <w:left w:val="nil"/>
              <w:right w:val="nil"/>
            </w:tcBorders>
          </w:tcPr>
          <w:p w14:paraId="6852EFCC"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single" w:sz="4" w:space="0" w:color="auto"/>
              <w:left w:val="nil"/>
              <w:right w:val="nil"/>
            </w:tcBorders>
            <w:hideMark/>
          </w:tcPr>
          <w:p w14:paraId="533C5CF0" w14:textId="0CD5275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[I]</w:t>
            </w:r>
          </w:p>
        </w:tc>
        <w:tc>
          <w:tcPr>
            <w:tcW w:w="245" w:type="pct"/>
            <w:tcBorders>
              <w:top w:val="single" w:sz="4" w:space="0" w:color="auto"/>
              <w:left w:val="nil"/>
              <w:right w:val="nil"/>
            </w:tcBorders>
            <w:hideMark/>
          </w:tcPr>
          <w:p w14:paraId="4DC63EE6"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[II]</w:t>
            </w:r>
          </w:p>
        </w:tc>
        <w:tc>
          <w:tcPr>
            <w:tcW w:w="245" w:type="pct"/>
            <w:tcBorders>
              <w:top w:val="single" w:sz="4" w:space="0" w:color="auto"/>
              <w:left w:val="nil"/>
              <w:right w:val="nil"/>
            </w:tcBorders>
            <w:hideMark/>
          </w:tcPr>
          <w:p w14:paraId="4967E3FB"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[III]</w:t>
            </w:r>
          </w:p>
        </w:tc>
        <w:tc>
          <w:tcPr>
            <w:tcW w:w="245" w:type="pct"/>
            <w:tcBorders>
              <w:top w:val="single" w:sz="4" w:space="0" w:color="auto"/>
              <w:left w:val="nil"/>
              <w:right w:val="nil"/>
            </w:tcBorders>
            <w:hideMark/>
          </w:tcPr>
          <w:p w14:paraId="31A1F9A3"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[IV]</w:t>
            </w:r>
          </w:p>
        </w:tc>
        <w:tc>
          <w:tcPr>
            <w:tcW w:w="245" w:type="pct"/>
            <w:tcBorders>
              <w:top w:val="single" w:sz="4" w:space="0" w:color="auto"/>
              <w:left w:val="nil"/>
              <w:right w:val="nil"/>
            </w:tcBorders>
            <w:hideMark/>
          </w:tcPr>
          <w:p w14:paraId="2DF2B9CF"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[V]</w:t>
            </w:r>
          </w:p>
        </w:tc>
        <w:tc>
          <w:tcPr>
            <w:tcW w:w="245" w:type="pct"/>
            <w:tcBorders>
              <w:top w:val="single" w:sz="4" w:space="0" w:color="auto"/>
              <w:left w:val="nil"/>
              <w:right w:val="nil"/>
            </w:tcBorders>
            <w:hideMark/>
          </w:tcPr>
          <w:p w14:paraId="53CEFAA3"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[VI]</w:t>
            </w:r>
          </w:p>
        </w:tc>
        <w:tc>
          <w:tcPr>
            <w:tcW w:w="252" w:type="pct"/>
            <w:tcBorders>
              <w:top w:val="single" w:sz="4" w:space="0" w:color="auto"/>
              <w:left w:val="nil"/>
              <w:right w:val="nil"/>
            </w:tcBorders>
            <w:hideMark/>
          </w:tcPr>
          <w:p w14:paraId="46722125"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[VII]</w:t>
            </w:r>
          </w:p>
        </w:tc>
        <w:tc>
          <w:tcPr>
            <w:tcW w:w="94" w:type="pct"/>
            <w:tcBorders>
              <w:top w:val="single" w:sz="4" w:space="0" w:color="auto"/>
              <w:left w:val="nil"/>
              <w:right w:val="nil"/>
            </w:tcBorders>
          </w:tcPr>
          <w:p w14:paraId="7279E5B2"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single" w:sz="4" w:space="0" w:color="auto"/>
              <w:left w:val="nil"/>
              <w:right w:val="nil"/>
            </w:tcBorders>
            <w:hideMark/>
          </w:tcPr>
          <w:p w14:paraId="236E71CB" w14:textId="34D535B3"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[I]</w:t>
            </w:r>
          </w:p>
        </w:tc>
        <w:tc>
          <w:tcPr>
            <w:tcW w:w="245" w:type="pct"/>
            <w:tcBorders>
              <w:top w:val="single" w:sz="4" w:space="0" w:color="auto"/>
              <w:left w:val="nil"/>
              <w:right w:val="nil"/>
            </w:tcBorders>
            <w:hideMark/>
          </w:tcPr>
          <w:p w14:paraId="5F103B0E"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[II]</w:t>
            </w:r>
          </w:p>
        </w:tc>
        <w:tc>
          <w:tcPr>
            <w:tcW w:w="246" w:type="pct"/>
            <w:tcBorders>
              <w:top w:val="single" w:sz="4" w:space="0" w:color="auto"/>
              <w:left w:val="nil"/>
              <w:right w:val="nil"/>
            </w:tcBorders>
            <w:hideMark/>
          </w:tcPr>
          <w:p w14:paraId="0CB67EC7"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[V]</w:t>
            </w:r>
          </w:p>
        </w:tc>
        <w:tc>
          <w:tcPr>
            <w:tcW w:w="94" w:type="pct"/>
            <w:tcBorders>
              <w:top w:val="single" w:sz="4" w:space="0" w:color="auto"/>
              <w:left w:val="nil"/>
              <w:right w:val="nil"/>
            </w:tcBorders>
          </w:tcPr>
          <w:p w14:paraId="5571A5CE"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single" w:sz="4" w:space="0" w:color="auto"/>
              <w:left w:val="nil"/>
              <w:right w:val="nil"/>
            </w:tcBorders>
            <w:hideMark/>
          </w:tcPr>
          <w:p w14:paraId="502A40FA" w14:textId="6F456CF3"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[I]</w:t>
            </w:r>
          </w:p>
        </w:tc>
        <w:tc>
          <w:tcPr>
            <w:tcW w:w="245" w:type="pct"/>
            <w:tcBorders>
              <w:top w:val="single" w:sz="4" w:space="0" w:color="auto"/>
              <w:left w:val="nil"/>
              <w:right w:val="nil"/>
            </w:tcBorders>
            <w:hideMark/>
          </w:tcPr>
          <w:p w14:paraId="000BA8DE"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[II]</w:t>
            </w:r>
          </w:p>
        </w:tc>
        <w:tc>
          <w:tcPr>
            <w:tcW w:w="246" w:type="pct"/>
            <w:tcBorders>
              <w:top w:val="single" w:sz="4" w:space="0" w:color="auto"/>
              <w:left w:val="nil"/>
              <w:right w:val="nil"/>
            </w:tcBorders>
            <w:hideMark/>
          </w:tcPr>
          <w:p w14:paraId="5A59EB4B"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[V]</w:t>
            </w:r>
          </w:p>
        </w:tc>
        <w:tc>
          <w:tcPr>
            <w:tcW w:w="94" w:type="pct"/>
            <w:tcBorders>
              <w:top w:val="single" w:sz="4" w:space="0" w:color="auto"/>
              <w:left w:val="nil"/>
              <w:right w:val="nil"/>
            </w:tcBorders>
          </w:tcPr>
          <w:p w14:paraId="5ACBC083" w14:textId="77777777" w:rsidR="00286CD6" w:rsidRPr="00CC7041" w:rsidRDefault="00286CD6" w:rsidP="00D94DA1">
            <w:pPr>
              <w:jc w:val="center"/>
              <w:rPr>
                <w:rFonts w:asciiTheme="majorBidi" w:hAnsiTheme="majorBidi" w:cstheme="majorBidi"/>
                <w:color w:val="000000"/>
                <w:sz w:val="16"/>
                <w:szCs w:val="16"/>
              </w:rPr>
            </w:pPr>
          </w:p>
        </w:tc>
        <w:tc>
          <w:tcPr>
            <w:tcW w:w="244" w:type="pct"/>
            <w:gridSpan w:val="2"/>
            <w:tcBorders>
              <w:top w:val="single" w:sz="4" w:space="0" w:color="auto"/>
              <w:left w:val="nil"/>
              <w:right w:val="nil"/>
            </w:tcBorders>
          </w:tcPr>
          <w:p w14:paraId="2DCBADAE" w14:textId="6EBCC483"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[VI]</w:t>
            </w:r>
          </w:p>
        </w:tc>
        <w:tc>
          <w:tcPr>
            <w:tcW w:w="231" w:type="pct"/>
            <w:gridSpan w:val="2"/>
            <w:tcBorders>
              <w:top w:val="single" w:sz="4" w:space="0" w:color="auto"/>
              <w:left w:val="nil"/>
              <w:right w:val="nil"/>
            </w:tcBorders>
          </w:tcPr>
          <w:p w14:paraId="38A1F643" w14:textId="49B4890B"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[VII]</w:t>
            </w:r>
          </w:p>
        </w:tc>
      </w:tr>
      <w:tr w:rsidR="00286CD6" w:rsidRPr="00106C1D" w14:paraId="6B87E7EF" w14:textId="387144F4" w:rsidTr="00286CD6">
        <w:trPr>
          <w:trHeight w:val="245"/>
        </w:trPr>
        <w:tc>
          <w:tcPr>
            <w:tcW w:w="906" w:type="pct"/>
            <w:vMerge w:val="restart"/>
            <w:tcBorders>
              <w:left w:val="nil"/>
              <w:bottom w:val="single" w:sz="8" w:space="0" w:color="000000"/>
              <w:right w:val="nil"/>
            </w:tcBorders>
            <w:shd w:val="clear" w:color="000000" w:fill="FFFFFF"/>
            <w:hideMark/>
          </w:tcPr>
          <w:p w14:paraId="2FFF5608" w14:textId="77777777" w:rsidR="00286CD6" w:rsidRPr="00CC7041" w:rsidRDefault="00286CD6" w:rsidP="00B030DD">
            <w:pPr>
              <w:jc w:val="center"/>
              <w:rPr>
                <w:rFonts w:asciiTheme="majorBidi" w:hAnsiTheme="majorBidi" w:cstheme="majorBidi"/>
                <w:color w:val="000000"/>
                <w:sz w:val="16"/>
                <w:szCs w:val="16"/>
              </w:rPr>
            </w:pPr>
          </w:p>
        </w:tc>
        <w:tc>
          <w:tcPr>
            <w:tcW w:w="141" w:type="pct"/>
            <w:tcBorders>
              <w:left w:val="nil"/>
              <w:bottom w:val="nil"/>
              <w:right w:val="nil"/>
            </w:tcBorders>
            <w:shd w:val="clear" w:color="000000" w:fill="FFFFFF"/>
          </w:tcPr>
          <w:p w14:paraId="6343E119"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left w:val="nil"/>
              <w:bottom w:val="nil"/>
              <w:right w:val="nil"/>
            </w:tcBorders>
            <w:shd w:val="clear" w:color="000000" w:fill="FFFFFF"/>
            <w:hideMark/>
          </w:tcPr>
          <w:p w14:paraId="71944C51" w14:textId="50C651FB"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45" w:type="pct"/>
            <w:tcBorders>
              <w:left w:val="nil"/>
              <w:bottom w:val="nil"/>
              <w:right w:val="nil"/>
            </w:tcBorders>
            <w:shd w:val="clear" w:color="000000" w:fill="FFFFFF"/>
            <w:hideMark/>
          </w:tcPr>
          <w:p w14:paraId="6140B057"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245" w:type="pct"/>
            <w:tcBorders>
              <w:left w:val="nil"/>
              <w:bottom w:val="nil"/>
              <w:right w:val="nil"/>
            </w:tcBorders>
            <w:shd w:val="clear" w:color="000000" w:fill="FFFFFF"/>
            <w:hideMark/>
          </w:tcPr>
          <w:p w14:paraId="09B9EF9F"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AU</w:t>
            </w:r>
          </w:p>
        </w:tc>
        <w:tc>
          <w:tcPr>
            <w:tcW w:w="245" w:type="pct"/>
            <w:tcBorders>
              <w:left w:val="nil"/>
              <w:bottom w:val="nil"/>
              <w:right w:val="nil"/>
            </w:tcBorders>
            <w:shd w:val="clear" w:color="000000" w:fill="FFFFFF"/>
            <w:hideMark/>
          </w:tcPr>
          <w:p w14:paraId="3D2A5D76"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PT</w:t>
            </w:r>
          </w:p>
        </w:tc>
        <w:tc>
          <w:tcPr>
            <w:tcW w:w="245" w:type="pct"/>
            <w:tcBorders>
              <w:left w:val="nil"/>
              <w:bottom w:val="nil"/>
              <w:right w:val="nil"/>
            </w:tcBorders>
            <w:shd w:val="clear" w:color="000000" w:fill="FFFFFF"/>
            <w:hideMark/>
          </w:tcPr>
          <w:p w14:paraId="1D504246"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245" w:type="pct"/>
            <w:tcBorders>
              <w:left w:val="nil"/>
              <w:bottom w:val="nil"/>
              <w:right w:val="nil"/>
            </w:tcBorders>
            <w:shd w:val="clear" w:color="000000" w:fill="FFFFFF"/>
            <w:hideMark/>
          </w:tcPr>
          <w:p w14:paraId="2B0B3912"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52" w:type="pct"/>
            <w:tcBorders>
              <w:left w:val="nil"/>
              <w:bottom w:val="nil"/>
              <w:right w:val="nil"/>
            </w:tcBorders>
            <w:shd w:val="clear" w:color="000000" w:fill="FFFFFF"/>
            <w:hideMark/>
          </w:tcPr>
          <w:p w14:paraId="68991F82"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94" w:type="pct"/>
            <w:tcBorders>
              <w:left w:val="nil"/>
              <w:bottom w:val="nil"/>
              <w:right w:val="nil"/>
            </w:tcBorders>
            <w:shd w:val="clear" w:color="000000" w:fill="FFFFFF"/>
          </w:tcPr>
          <w:p w14:paraId="16D4202D"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left w:val="nil"/>
              <w:bottom w:val="nil"/>
              <w:right w:val="nil"/>
            </w:tcBorders>
            <w:shd w:val="clear" w:color="000000" w:fill="FFFFFF"/>
            <w:hideMark/>
          </w:tcPr>
          <w:p w14:paraId="555AB25D" w14:textId="496DDD6B"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45" w:type="pct"/>
            <w:tcBorders>
              <w:left w:val="nil"/>
              <w:bottom w:val="nil"/>
              <w:right w:val="nil"/>
            </w:tcBorders>
            <w:shd w:val="clear" w:color="000000" w:fill="FFFFFF"/>
            <w:hideMark/>
          </w:tcPr>
          <w:p w14:paraId="13798875"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246" w:type="pct"/>
            <w:tcBorders>
              <w:left w:val="nil"/>
              <w:bottom w:val="nil"/>
              <w:right w:val="nil"/>
            </w:tcBorders>
            <w:shd w:val="clear" w:color="000000" w:fill="FFFFFF"/>
            <w:hideMark/>
          </w:tcPr>
          <w:p w14:paraId="3874AED8"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94" w:type="pct"/>
            <w:tcBorders>
              <w:left w:val="nil"/>
              <w:bottom w:val="nil"/>
              <w:right w:val="nil"/>
            </w:tcBorders>
            <w:shd w:val="clear" w:color="000000" w:fill="FFFFFF"/>
          </w:tcPr>
          <w:p w14:paraId="104A192D"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left w:val="nil"/>
              <w:bottom w:val="nil"/>
              <w:right w:val="nil"/>
            </w:tcBorders>
            <w:shd w:val="clear" w:color="000000" w:fill="FFFFFF"/>
            <w:hideMark/>
          </w:tcPr>
          <w:p w14:paraId="6F64731A" w14:textId="03F2AFAC"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45" w:type="pct"/>
            <w:tcBorders>
              <w:left w:val="nil"/>
              <w:bottom w:val="nil"/>
              <w:right w:val="nil"/>
            </w:tcBorders>
            <w:shd w:val="clear" w:color="000000" w:fill="FFFFFF"/>
            <w:hideMark/>
          </w:tcPr>
          <w:p w14:paraId="7BA09617"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246" w:type="pct"/>
            <w:tcBorders>
              <w:left w:val="nil"/>
              <w:bottom w:val="nil"/>
              <w:right w:val="nil"/>
            </w:tcBorders>
            <w:shd w:val="clear" w:color="000000" w:fill="FFFFFF"/>
            <w:hideMark/>
          </w:tcPr>
          <w:p w14:paraId="5AAAF50D"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94" w:type="pct"/>
            <w:tcBorders>
              <w:left w:val="nil"/>
              <w:bottom w:val="nil"/>
              <w:right w:val="nil"/>
            </w:tcBorders>
            <w:shd w:val="clear" w:color="000000" w:fill="FFFFFF"/>
          </w:tcPr>
          <w:p w14:paraId="4010AF2F" w14:textId="77777777" w:rsidR="00286CD6" w:rsidRPr="00CC7041" w:rsidRDefault="00286CD6" w:rsidP="00D94DA1">
            <w:pPr>
              <w:jc w:val="center"/>
              <w:rPr>
                <w:rFonts w:asciiTheme="majorBidi" w:hAnsiTheme="majorBidi" w:cstheme="majorBidi"/>
                <w:color w:val="000000"/>
                <w:sz w:val="16"/>
                <w:szCs w:val="16"/>
              </w:rPr>
            </w:pPr>
          </w:p>
        </w:tc>
        <w:tc>
          <w:tcPr>
            <w:tcW w:w="244" w:type="pct"/>
            <w:gridSpan w:val="2"/>
            <w:tcBorders>
              <w:left w:val="nil"/>
              <w:bottom w:val="nil"/>
              <w:right w:val="nil"/>
            </w:tcBorders>
            <w:shd w:val="clear" w:color="000000" w:fill="FFFFFF"/>
          </w:tcPr>
          <w:p w14:paraId="23F989EF" w14:textId="55A54338"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31" w:type="pct"/>
            <w:gridSpan w:val="2"/>
            <w:tcBorders>
              <w:left w:val="nil"/>
              <w:bottom w:val="nil"/>
              <w:right w:val="nil"/>
            </w:tcBorders>
            <w:shd w:val="clear" w:color="000000" w:fill="FFFFFF"/>
          </w:tcPr>
          <w:p w14:paraId="6C6F0B98" w14:textId="2DFA50D3"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r>
      <w:tr w:rsidR="00286CD6" w:rsidRPr="00106C1D" w14:paraId="4ABABD9E" w14:textId="7B1CC6F1" w:rsidTr="00286CD6">
        <w:trPr>
          <w:trHeight w:val="245"/>
        </w:trPr>
        <w:tc>
          <w:tcPr>
            <w:tcW w:w="906" w:type="pct"/>
            <w:vMerge/>
            <w:tcBorders>
              <w:top w:val="nil"/>
              <w:left w:val="nil"/>
              <w:bottom w:val="single" w:sz="4" w:space="0" w:color="auto"/>
              <w:right w:val="nil"/>
            </w:tcBorders>
            <w:hideMark/>
          </w:tcPr>
          <w:p w14:paraId="57D9B176" w14:textId="77777777" w:rsidR="00286CD6" w:rsidRPr="00CC7041" w:rsidRDefault="00286CD6" w:rsidP="00B030DD">
            <w:pPr>
              <w:jc w:val="center"/>
              <w:rPr>
                <w:rFonts w:asciiTheme="majorBidi" w:hAnsiTheme="majorBidi" w:cstheme="majorBidi"/>
                <w:color w:val="000000"/>
                <w:sz w:val="16"/>
                <w:szCs w:val="16"/>
              </w:rPr>
            </w:pPr>
          </w:p>
        </w:tc>
        <w:tc>
          <w:tcPr>
            <w:tcW w:w="141" w:type="pct"/>
            <w:tcBorders>
              <w:top w:val="nil"/>
              <w:left w:val="nil"/>
              <w:bottom w:val="single" w:sz="4" w:space="0" w:color="auto"/>
              <w:right w:val="nil"/>
            </w:tcBorders>
            <w:shd w:val="clear" w:color="000000" w:fill="FFFFFF"/>
          </w:tcPr>
          <w:p w14:paraId="573AE1D9"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single" w:sz="4" w:space="0" w:color="auto"/>
              <w:right w:val="nil"/>
            </w:tcBorders>
            <w:shd w:val="clear" w:color="000000" w:fill="FFFFFF"/>
            <w:hideMark/>
          </w:tcPr>
          <w:p w14:paraId="5579DC99" w14:textId="3E1F70E5"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top w:val="nil"/>
              <w:left w:val="nil"/>
              <w:bottom w:val="single" w:sz="4" w:space="0" w:color="auto"/>
              <w:right w:val="nil"/>
            </w:tcBorders>
            <w:shd w:val="clear" w:color="000000" w:fill="FFFFFF"/>
            <w:hideMark/>
          </w:tcPr>
          <w:p w14:paraId="3F10C687"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top w:val="nil"/>
              <w:left w:val="nil"/>
              <w:bottom w:val="single" w:sz="4" w:space="0" w:color="auto"/>
              <w:right w:val="nil"/>
            </w:tcBorders>
            <w:shd w:val="clear" w:color="000000" w:fill="FFFFFF"/>
            <w:hideMark/>
          </w:tcPr>
          <w:p w14:paraId="019D06EF"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top w:val="nil"/>
              <w:left w:val="nil"/>
              <w:bottom w:val="single" w:sz="4" w:space="0" w:color="auto"/>
              <w:right w:val="nil"/>
            </w:tcBorders>
            <w:shd w:val="clear" w:color="000000" w:fill="FFFFFF"/>
            <w:hideMark/>
          </w:tcPr>
          <w:p w14:paraId="001FA2CB"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top w:val="nil"/>
              <w:left w:val="nil"/>
              <w:bottom w:val="single" w:sz="4" w:space="0" w:color="auto"/>
              <w:right w:val="nil"/>
            </w:tcBorders>
            <w:shd w:val="clear" w:color="000000" w:fill="FFFFFF"/>
            <w:hideMark/>
          </w:tcPr>
          <w:p w14:paraId="58B5006A"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2007</w:t>
            </w:r>
          </w:p>
        </w:tc>
        <w:tc>
          <w:tcPr>
            <w:tcW w:w="245" w:type="pct"/>
            <w:tcBorders>
              <w:top w:val="nil"/>
              <w:left w:val="nil"/>
              <w:bottom w:val="single" w:sz="4" w:space="0" w:color="auto"/>
              <w:right w:val="nil"/>
            </w:tcBorders>
            <w:shd w:val="clear" w:color="000000" w:fill="FFFFFF"/>
            <w:hideMark/>
          </w:tcPr>
          <w:p w14:paraId="32DDD077"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2020</w:t>
            </w:r>
          </w:p>
        </w:tc>
        <w:tc>
          <w:tcPr>
            <w:tcW w:w="252" w:type="pct"/>
            <w:tcBorders>
              <w:top w:val="nil"/>
              <w:left w:val="nil"/>
              <w:bottom w:val="single" w:sz="4" w:space="0" w:color="auto"/>
              <w:right w:val="nil"/>
            </w:tcBorders>
            <w:shd w:val="clear" w:color="000000" w:fill="FFFFFF"/>
            <w:hideMark/>
          </w:tcPr>
          <w:p w14:paraId="02932D2A"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2020</w:t>
            </w:r>
          </w:p>
        </w:tc>
        <w:tc>
          <w:tcPr>
            <w:tcW w:w="94" w:type="pct"/>
            <w:tcBorders>
              <w:top w:val="nil"/>
              <w:left w:val="nil"/>
              <w:bottom w:val="single" w:sz="4" w:space="0" w:color="auto"/>
              <w:right w:val="nil"/>
            </w:tcBorders>
            <w:shd w:val="clear" w:color="000000" w:fill="FFFFFF"/>
          </w:tcPr>
          <w:p w14:paraId="3B1E899C"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single" w:sz="4" w:space="0" w:color="auto"/>
              <w:right w:val="nil"/>
            </w:tcBorders>
            <w:shd w:val="clear" w:color="000000" w:fill="FFFFFF"/>
            <w:hideMark/>
          </w:tcPr>
          <w:p w14:paraId="6338661E" w14:textId="62E30AB4"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top w:val="nil"/>
              <w:left w:val="nil"/>
              <w:bottom w:val="single" w:sz="4" w:space="0" w:color="auto"/>
              <w:right w:val="nil"/>
            </w:tcBorders>
            <w:shd w:val="clear" w:color="000000" w:fill="FFFFFF"/>
            <w:hideMark/>
          </w:tcPr>
          <w:p w14:paraId="05B28025"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6" w:type="pct"/>
            <w:tcBorders>
              <w:top w:val="nil"/>
              <w:left w:val="nil"/>
              <w:bottom w:val="single" w:sz="4" w:space="0" w:color="auto"/>
              <w:right w:val="nil"/>
            </w:tcBorders>
            <w:shd w:val="clear" w:color="000000" w:fill="FFFFFF"/>
            <w:hideMark/>
          </w:tcPr>
          <w:p w14:paraId="2BEABD7F"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2007</w:t>
            </w:r>
          </w:p>
        </w:tc>
        <w:tc>
          <w:tcPr>
            <w:tcW w:w="94" w:type="pct"/>
            <w:tcBorders>
              <w:top w:val="nil"/>
              <w:left w:val="nil"/>
              <w:bottom w:val="single" w:sz="4" w:space="0" w:color="auto"/>
              <w:right w:val="nil"/>
            </w:tcBorders>
            <w:shd w:val="clear" w:color="000000" w:fill="FFFFFF"/>
          </w:tcPr>
          <w:p w14:paraId="7BE9C432"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single" w:sz="4" w:space="0" w:color="auto"/>
              <w:right w:val="nil"/>
            </w:tcBorders>
            <w:shd w:val="clear" w:color="000000" w:fill="FFFFFF"/>
            <w:hideMark/>
          </w:tcPr>
          <w:p w14:paraId="6774717F" w14:textId="05B495F6"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top w:val="nil"/>
              <w:left w:val="nil"/>
              <w:bottom w:val="single" w:sz="4" w:space="0" w:color="auto"/>
              <w:right w:val="nil"/>
            </w:tcBorders>
            <w:shd w:val="clear" w:color="000000" w:fill="FFFFFF"/>
            <w:hideMark/>
          </w:tcPr>
          <w:p w14:paraId="79331676"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6" w:type="pct"/>
            <w:tcBorders>
              <w:top w:val="nil"/>
              <w:left w:val="nil"/>
              <w:bottom w:val="single" w:sz="4" w:space="0" w:color="auto"/>
              <w:right w:val="nil"/>
            </w:tcBorders>
            <w:shd w:val="clear" w:color="000000" w:fill="FFFFFF"/>
            <w:hideMark/>
          </w:tcPr>
          <w:p w14:paraId="37F19A57"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2007</w:t>
            </w:r>
          </w:p>
        </w:tc>
        <w:tc>
          <w:tcPr>
            <w:tcW w:w="94" w:type="pct"/>
            <w:tcBorders>
              <w:top w:val="nil"/>
              <w:left w:val="nil"/>
              <w:bottom w:val="single" w:sz="4" w:space="0" w:color="auto"/>
              <w:right w:val="nil"/>
            </w:tcBorders>
            <w:shd w:val="clear" w:color="000000" w:fill="FFFFFF"/>
          </w:tcPr>
          <w:p w14:paraId="137FE9D7" w14:textId="77777777" w:rsidR="00286CD6" w:rsidRPr="00CC7041" w:rsidRDefault="00286CD6" w:rsidP="00D94DA1">
            <w:pPr>
              <w:jc w:val="center"/>
              <w:rPr>
                <w:rFonts w:asciiTheme="majorBidi" w:hAnsiTheme="majorBidi" w:cstheme="majorBidi"/>
                <w:color w:val="000000"/>
                <w:sz w:val="16"/>
                <w:szCs w:val="16"/>
              </w:rPr>
            </w:pPr>
          </w:p>
        </w:tc>
        <w:tc>
          <w:tcPr>
            <w:tcW w:w="244" w:type="pct"/>
            <w:gridSpan w:val="2"/>
            <w:tcBorders>
              <w:top w:val="nil"/>
              <w:left w:val="nil"/>
              <w:bottom w:val="single" w:sz="4" w:space="0" w:color="auto"/>
              <w:right w:val="nil"/>
            </w:tcBorders>
            <w:shd w:val="clear" w:color="000000" w:fill="FFFFFF"/>
          </w:tcPr>
          <w:p w14:paraId="627B3CF3" w14:textId="5B1D70DE"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2020</w:t>
            </w:r>
          </w:p>
        </w:tc>
        <w:tc>
          <w:tcPr>
            <w:tcW w:w="231" w:type="pct"/>
            <w:gridSpan w:val="2"/>
            <w:tcBorders>
              <w:top w:val="nil"/>
              <w:left w:val="nil"/>
              <w:bottom w:val="single" w:sz="4" w:space="0" w:color="auto"/>
              <w:right w:val="nil"/>
            </w:tcBorders>
            <w:shd w:val="clear" w:color="000000" w:fill="FFFFFF"/>
          </w:tcPr>
          <w:p w14:paraId="1A090E27" w14:textId="76FB82B8"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2020</w:t>
            </w:r>
          </w:p>
        </w:tc>
      </w:tr>
      <w:tr w:rsidR="00286CD6" w:rsidRPr="00106C1D" w14:paraId="5FDE6F50" w14:textId="6870B8B8" w:rsidTr="00286CD6">
        <w:trPr>
          <w:trHeight w:val="245"/>
        </w:trPr>
        <w:tc>
          <w:tcPr>
            <w:tcW w:w="906" w:type="pct"/>
            <w:tcBorders>
              <w:top w:val="single" w:sz="4" w:space="0" w:color="auto"/>
              <w:left w:val="nil"/>
              <w:bottom w:val="single" w:sz="4" w:space="0" w:color="auto"/>
              <w:right w:val="nil"/>
            </w:tcBorders>
          </w:tcPr>
          <w:p w14:paraId="79093135" w14:textId="77777777" w:rsidR="00286CD6" w:rsidRPr="00CC7041" w:rsidRDefault="00286CD6" w:rsidP="00B030DD">
            <w:pP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Total</w:t>
            </w:r>
          </w:p>
        </w:tc>
        <w:tc>
          <w:tcPr>
            <w:tcW w:w="141" w:type="pct"/>
            <w:tcBorders>
              <w:top w:val="single" w:sz="4" w:space="0" w:color="auto"/>
              <w:left w:val="nil"/>
              <w:bottom w:val="single" w:sz="4" w:space="0" w:color="auto"/>
              <w:right w:val="nil"/>
            </w:tcBorders>
            <w:shd w:val="clear" w:color="000000" w:fill="FFFFFF"/>
          </w:tcPr>
          <w:p w14:paraId="0CBF1235" w14:textId="77777777" w:rsidR="00286CD6" w:rsidRPr="00CC7041" w:rsidRDefault="00286CD6" w:rsidP="00D94DA1">
            <w:pPr>
              <w:jc w:val="center"/>
              <w:rPr>
                <w:rFonts w:asciiTheme="majorBidi" w:hAnsiTheme="majorBidi" w:cstheme="majorBidi"/>
                <w:b/>
                <w:bCs/>
                <w:color w:val="000000"/>
                <w:sz w:val="16"/>
                <w:szCs w:val="16"/>
              </w:rPr>
            </w:pPr>
          </w:p>
        </w:tc>
        <w:tc>
          <w:tcPr>
            <w:tcW w:w="245" w:type="pct"/>
            <w:tcBorders>
              <w:top w:val="single" w:sz="4" w:space="0" w:color="auto"/>
              <w:left w:val="nil"/>
              <w:bottom w:val="single" w:sz="4" w:space="0" w:color="auto"/>
              <w:right w:val="nil"/>
            </w:tcBorders>
            <w:shd w:val="clear" w:color="000000" w:fill="FFFFFF"/>
          </w:tcPr>
          <w:p w14:paraId="70B1C426" w14:textId="08F727D0" w:rsidR="00286CD6" w:rsidRPr="00CC7041" w:rsidRDefault="00286CD6" w:rsidP="00D94DA1">
            <w:pPr>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248</w:t>
            </w:r>
          </w:p>
        </w:tc>
        <w:tc>
          <w:tcPr>
            <w:tcW w:w="245" w:type="pct"/>
            <w:tcBorders>
              <w:top w:val="single" w:sz="4" w:space="0" w:color="auto"/>
              <w:left w:val="nil"/>
              <w:bottom w:val="single" w:sz="4" w:space="0" w:color="auto"/>
              <w:right w:val="nil"/>
            </w:tcBorders>
            <w:shd w:val="clear" w:color="000000" w:fill="FFFFFF"/>
          </w:tcPr>
          <w:p w14:paraId="6EBED66B" w14:textId="77777777" w:rsidR="00286CD6" w:rsidRPr="00CC7041" w:rsidRDefault="00286CD6" w:rsidP="00D94DA1">
            <w:pPr>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241</w:t>
            </w:r>
          </w:p>
        </w:tc>
        <w:tc>
          <w:tcPr>
            <w:tcW w:w="245" w:type="pct"/>
            <w:tcBorders>
              <w:top w:val="single" w:sz="4" w:space="0" w:color="auto"/>
              <w:left w:val="nil"/>
              <w:bottom w:val="single" w:sz="4" w:space="0" w:color="auto"/>
              <w:right w:val="nil"/>
            </w:tcBorders>
            <w:shd w:val="clear" w:color="000000" w:fill="FFFFFF"/>
          </w:tcPr>
          <w:p w14:paraId="2A34C760" w14:textId="77777777" w:rsidR="00286CD6" w:rsidRPr="00CC7041" w:rsidRDefault="00286CD6" w:rsidP="00D94DA1">
            <w:pPr>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8</w:t>
            </w:r>
          </w:p>
        </w:tc>
        <w:tc>
          <w:tcPr>
            <w:tcW w:w="245" w:type="pct"/>
            <w:tcBorders>
              <w:top w:val="single" w:sz="4" w:space="0" w:color="auto"/>
              <w:left w:val="nil"/>
              <w:bottom w:val="single" w:sz="4" w:space="0" w:color="auto"/>
              <w:right w:val="nil"/>
            </w:tcBorders>
            <w:shd w:val="clear" w:color="000000" w:fill="FFFFFF"/>
          </w:tcPr>
          <w:p w14:paraId="45D17522" w14:textId="77777777" w:rsidR="00286CD6" w:rsidRPr="00CC7041" w:rsidRDefault="00286CD6" w:rsidP="00D94DA1">
            <w:pPr>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6</w:t>
            </w:r>
          </w:p>
        </w:tc>
        <w:tc>
          <w:tcPr>
            <w:tcW w:w="245" w:type="pct"/>
            <w:tcBorders>
              <w:top w:val="single" w:sz="4" w:space="0" w:color="auto"/>
              <w:left w:val="nil"/>
              <w:bottom w:val="single" w:sz="4" w:space="0" w:color="auto"/>
              <w:right w:val="nil"/>
            </w:tcBorders>
            <w:shd w:val="clear" w:color="000000" w:fill="FFFFFF"/>
          </w:tcPr>
          <w:p w14:paraId="0F87693A" w14:textId="77777777" w:rsidR="00286CD6" w:rsidRPr="00CC7041" w:rsidRDefault="00286CD6" w:rsidP="00D94DA1">
            <w:pPr>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403</w:t>
            </w:r>
          </w:p>
        </w:tc>
        <w:tc>
          <w:tcPr>
            <w:tcW w:w="245" w:type="pct"/>
            <w:tcBorders>
              <w:top w:val="single" w:sz="4" w:space="0" w:color="auto"/>
              <w:left w:val="nil"/>
              <w:bottom w:val="single" w:sz="4" w:space="0" w:color="auto"/>
              <w:right w:val="nil"/>
            </w:tcBorders>
            <w:shd w:val="clear" w:color="000000" w:fill="FFFFFF"/>
          </w:tcPr>
          <w:p w14:paraId="58DCA1AC" w14:textId="77777777" w:rsidR="00286CD6" w:rsidRPr="00CC7041" w:rsidRDefault="00286CD6" w:rsidP="00D94DA1">
            <w:pPr>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214</w:t>
            </w:r>
          </w:p>
        </w:tc>
        <w:tc>
          <w:tcPr>
            <w:tcW w:w="252" w:type="pct"/>
            <w:tcBorders>
              <w:top w:val="single" w:sz="4" w:space="0" w:color="auto"/>
              <w:left w:val="nil"/>
              <w:bottom w:val="single" w:sz="4" w:space="0" w:color="auto"/>
              <w:right w:val="nil"/>
            </w:tcBorders>
            <w:shd w:val="clear" w:color="000000" w:fill="FFFFFF"/>
          </w:tcPr>
          <w:p w14:paraId="233327E4" w14:textId="77777777" w:rsidR="00286CD6" w:rsidRPr="00CC7041" w:rsidRDefault="00286CD6" w:rsidP="00D94DA1">
            <w:pPr>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177</w:t>
            </w:r>
          </w:p>
        </w:tc>
        <w:tc>
          <w:tcPr>
            <w:tcW w:w="94" w:type="pct"/>
            <w:tcBorders>
              <w:top w:val="single" w:sz="4" w:space="0" w:color="auto"/>
              <w:left w:val="nil"/>
              <w:bottom w:val="single" w:sz="4" w:space="0" w:color="auto"/>
              <w:right w:val="nil"/>
            </w:tcBorders>
            <w:shd w:val="clear" w:color="000000" w:fill="FFFFFF"/>
          </w:tcPr>
          <w:p w14:paraId="0620A976" w14:textId="77777777" w:rsidR="00286CD6" w:rsidRPr="00CC7041" w:rsidRDefault="00286CD6" w:rsidP="00D94DA1">
            <w:pPr>
              <w:jc w:val="center"/>
              <w:rPr>
                <w:rFonts w:asciiTheme="majorBidi" w:hAnsiTheme="majorBidi" w:cstheme="majorBidi"/>
                <w:b/>
                <w:bCs/>
                <w:color w:val="000000"/>
                <w:sz w:val="16"/>
                <w:szCs w:val="16"/>
              </w:rPr>
            </w:pPr>
          </w:p>
        </w:tc>
        <w:tc>
          <w:tcPr>
            <w:tcW w:w="245" w:type="pct"/>
            <w:tcBorders>
              <w:top w:val="single" w:sz="4" w:space="0" w:color="auto"/>
              <w:left w:val="nil"/>
              <w:bottom w:val="single" w:sz="4" w:space="0" w:color="auto"/>
              <w:right w:val="nil"/>
            </w:tcBorders>
            <w:shd w:val="clear" w:color="000000" w:fill="FFFFFF"/>
          </w:tcPr>
          <w:p w14:paraId="7C8E1896" w14:textId="1D9206EE" w:rsidR="00286CD6" w:rsidRPr="00CC7041" w:rsidRDefault="00286CD6" w:rsidP="00D94DA1">
            <w:pPr>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38</w:t>
            </w:r>
          </w:p>
        </w:tc>
        <w:tc>
          <w:tcPr>
            <w:tcW w:w="245" w:type="pct"/>
            <w:tcBorders>
              <w:top w:val="single" w:sz="4" w:space="0" w:color="auto"/>
              <w:left w:val="nil"/>
              <w:bottom w:val="single" w:sz="4" w:space="0" w:color="auto"/>
              <w:right w:val="nil"/>
            </w:tcBorders>
            <w:shd w:val="clear" w:color="000000" w:fill="FFFFFF"/>
          </w:tcPr>
          <w:p w14:paraId="72522C9F" w14:textId="77777777" w:rsidR="00286CD6" w:rsidRPr="00CC7041" w:rsidRDefault="00286CD6" w:rsidP="00D94DA1">
            <w:pPr>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146</w:t>
            </w:r>
          </w:p>
        </w:tc>
        <w:tc>
          <w:tcPr>
            <w:tcW w:w="246" w:type="pct"/>
            <w:tcBorders>
              <w:top w:val="single" w:sz="4" w:space="0" w:color="auto"/>
              <w:left w:val="nil"/>
              <w:bottom w:val="single" w:sz="4" w:space="0" w:color="auto"/>
              <w:right w:val="nil"/>
            </w:tcBorders>
            <w:shd w:val="clear" w:color="000000" w:fill="FFFFFF"/>
          </w:tcPr>
          <w:p w14:paraId="5586D2F6" w14:textId="77777777" w:rsidR="00286CD6" w:rsidRPr="00CC7041" w:rsidRDefault="00286CD6" w:rsidP="00D94DA1">
            <w:pPr>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196</w:t>
            </w:r>
          </w:p>
        </w:tc>
        <w:tc>
          <w:tcPr>
            <w:tcW w:w="94" w:type="pct"/>
            <w:tcBorders>
              <w:top w:val="single" w:sz="4" w:space="0" w:color="auto"/>
              <w:left w:val="nil"/>
              <w:bottom w:val="single" w:sz="4" w:space="0" w:color="auto"/>
              <w:right w:val="nil"/>
            </w:tcBorders>
            <w:shd w:val="clear" w:color="000000" w:fill="FFFFFF"/>
          </w:tcPr>
          <w:p w14:paraId="1A28FEC2" w14:textId="77777777" w:rsidR="00286CD6" w:rsidRPr="00CC7041" w:rsidRDefault="00286CD6" w:rsidP="00D94DA1">
            <w:pPr>
              <w:jc w:val="center"/>
              <w:rPr>
                <w:rFonts w:asciiTheme="majorBidi" w:hAnsiTheme="majorBidi" w:cstheme="majorBidi"/>
                <w:b/>
                <w:bCs/>
                <w:color w:val="000000"/>
                <w:sz w:val="16"/>
                <w:szCs w:val="16"/>
              </w:rPr>
            </w:pPr>
          </w:p>
        </w:tc>
        <w:tc>
          <w:tcPr>
            <w:tcW w:w="245" w:type="pct"/>
            <w:tcBorders>
              <w:top w:val="single" w:sz="4" w:space="0" w:color="auto"/>
              <w:left w:val="nil"/>
              <w:bottom w:val="single" w:sz="4" w:space="0" w:color="auto"/>
              <w:right w:val="nil"/>
            </w:tcBorders>
            <w:shd w:val="clear" w:color="000000" w:fill="FFFFFF"/>
          </w:tcPr>
          <w:p w14:paraId="3058034E" w14:textId="5218BD74" w:rsidR="00286CD6" w:rsidRPr="00CC7041" w:rsidRDefault="00286CD6" w:rsidP="00D94DA1">
            <w:pPr>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210</w:t>
            </w:r>
          </w:p>
        </w:tc>
        <w:tc>
          <w:tcPr>
            <w:tcW w:w="245" w:type="pct"/>
            <w:tcBorders>
              <w:top w:val="single" w:sz="4" w:space="0" w:color="auto"/>
              <w:left w:val="nil"/>
              <w:bottom w:val="single" w:sz="4" w:space="0" w:color="auto"/>
              <w:right w:val="nil"/>
            </w:tcBorders>
            <w:shd w:val="clear" w:color="000000" w:fill="FFFFFF"/>
          </w:tcPr>
          <w:p w14:paraId="3B839C4E" w14:textId="77777777" w:rsidR="00286CD6" w:rsidRPr="00CC7041" w:rsidRDefault="00286CD6" w:rsidP="00D94DA1">
            <w:pPr>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95</w:t>
            </w:r>
          </w:p>
        </w:tc>
        <w:tc>
          <w:tcPr>
            <w:tcW w:w="246" w:type="pct"/>
            <w:tcBorders>
              <w:top w:val="single" w:sz="4" w:space="0" w:color="auto"/>
              <w:left w:val="nil"/>
              <w:bottom w:val="single" w:sz="4" w:space="0" w:color="auto"/>
              <w:right w:val="nil"/>
            </w:tcBorders>
            <w:shd w:val="clear" w:color="000000" w:fill="FFFFFF"/>
          </w:tcPr>
          <w:p w14:paraId="4310356D" w14:textId="77777777" w:rsidR="00286CD6" w:rsidRPr="00CC7041" w:rsidRDefault="00286CD6" w:rsidP="00D94DA1">
            <w:pPr>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207</w:t>
            </w:r>
          </w:p>
        </w:tc>
        <w:tc>
          <w:tcPr>
            <w:tcW w:w="94" w:type="pct"/>
            <w:tcBorders>
              <w:top w:val="single" w:sz="4" w:space="0" w:color="auto"/>
              <w:left w:val="nil"/>
              <w:bottom w:val="single" w:sz="4" w:space="0" w:color="auto"/>
              <w:right w:val="nil"/>
            </w:tcBorders>
            <w:shd w:val="clear" w:color="000000" w:fill="FFFFFF"/>
          </w:tcPr>
          <w:p w14:paraId="3B47F01C" w14:textId="77777777" w:rsidR="00286CD6" w:rsidRPr="00CC7041" w:rsidRDefault="00286CD6" w:rsidP="00D94DA1">
            <w:pPr>
              <w:jc w:val="center"/>
              <w:rPr>
                <w:rFonts w:asciiTheme="majorBidi" w:hAnsiTheme="majorBidi" w:cstheme="majorBidi"/>
                <w:b/>
                <w:bCs/>
                <w:color w:val="000000"/>
                <w:sz w:val="16"/>
                <w:szCs w:val="16"/>
              </w:rPr>
            </w:pPr>
          </w:p>
        </w:tc>
        <w:tc>
          <w:tcPr>
            <w:tcW w:w="244" w:type="pct"/>
            <w:gridSpan w:val="2"/>
            <w:tcBorders>
              <w:top w:val="single" w:sz="4" w:space="0" w:color="auto"/>
              <w:left w:val="nil"/>
              <w:bottom w:val="single" w:sz="4" w:space="0" w:color="auto"/>
              <w:right w:val="nil"/>
            </w:tcBorders>
            <w:shd w:val="clear" w:color="000000" w:fill="FFFFFF"/>
          </w:tcPr>
          <w:p w14:paraId="60114A11" w14:textId="2D3A93E1" w:rsidR="00286CD6" w:rsidRPr="00CC7041" w:rsidRDefault="00286CD6" w:rsidP="00D94DA1">
            <w:pPr>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214</w:t>
            </w:r>
          </w:p>
        </w:tc>
        <w:tc>
          <w:tcPr>
            <w:tcW w:w="231" w:type="pct"/>
            <w:gridSpan w:val="2"/>
            <w:tcBorders>
              <w:top w:val="single" w:sz="4" w:space="0" w:color="auto"/>
              <w:left w:val="nil"/>
              <w:bottom w:val="single" w:sz="4" w:space="0" w:color="auto"/>
              <w:right w:val="nil"/>
            </w:tcBorders>
            <w:shd w:val="clear" w:color="000000" w:fill="FFFFFF"/>
          </w:tcPr>
          <w:p w14:paraId="476B60C8" w14:textId="002ED09F" w:rsidR="00286CD6" w:rsidRPr="00CC7041" w:rsidRDefault="00286CD6" w:rsidP="00D94DA1">
            <w:pPr>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177</w:t>
            </w:r>
          </w:p>
        </w:tc>
      </w:tr>
      <w:tr w:rsidR="00286CD6" w:rsidRPr="00106C1D" w14:paraId="4A2D0BA8" w14:textId="7D6CAEBF" w:rsidTr="00286CD6">
        <w:trPr>
          <w:trHeight w:val="245"/>
        </w:trPr>
        <w:tc>
          <w:tcPr>
            <w:tcW w:w="4616" w:type="pct"/>
            <w:gridSpan w:val="19"/>
            <w:tcBorders>
              <w:top w:val="single" w:sz="4" w:space="0" w:color="auto"/>
              <w:left w:val="nil"/>
              <w:bottom w:val="single" w:sz="4" w:space="0" w:color="auto"/>
              <w:right w:val="nil"/>
            </w:tcBorders>
            <w:shd w:val="clear" w:color="000000" w:fill="FFFFFF"/>
          </w:tcPr>
          <w:p w14:paraId="3AB8449D" w14:textId="51D3460D" w:rsidR="00286CD6" w:rsidRPr="00D018CE" w:rsidRDefault="00286CD6" w:rsidP="009B6425">
            <w:pPr>
              <w:spacing w:after="120"/>
              <w:rPr>
                <w:rFonts w:asciiTheme="majorBidi" w:hAnsiTheme="majorBidi" w:cstheme="majorBidi"/>
                <w:b/>
                <w:bCs/>
                <w:color w:val="000000"/>
                <w:sz w:val="16"/>
                <w:szCs w:val="16"/>
              </w:rPr>
            </w:pPr>
            <w:r w:rsidRPr="00D018CE">
              <w:rPr>
                <w:rFonts w:asciiTheme="majorBidi" w:hAnsiTheme="majorBidi" w:cstheme="majorBidi"/>
                <w:b/>
                <w:bCs/>
                <w:sz w:val="16"/>
                <w:szCs w:val="16"/>
                <w:lang w:eastAsia="en-GB"/>
              </w:rPr>
              <w:t xml:space="preserve">Panel B: </w:t>
            </w:r>
            <w:r w:rsidRPr="00D3659A">
              <w:rPr>
                <w:rFonts w:asciiTheme="majorBidi" w:hAnsiTheme="majorBidi" w:cstheme="majorBidi"/>
                <w:b/>
                <w:bCs/>
                <w:sz w:val="16"/>
                <w:szCs w:val="16"/>
                <w:lang w:eastAsia="en-GB"/>
              </w:rPr>
              <w:t>Explanations</w:t>
            </w:r>
          </w:p>
        </w:tc>
        <w:tc>
          <w:tcPr>
            <w:tcW w:w="208" w:type="pct"/>
            <w:gridSpan w:val="2"/>
            <w:tcBorders>
              <w:top w:val="single" w:sz="4" w:space="0" w:color="auto"/>
              <w:left w:val="nil"/>
              <w:bottom w:val="single" w:sz="4" w:space="0" w:color="auto"/>
              <w:right w:val="nil"/>
            </w:tcBorders>
            <w:shd w:val="clear" w:color="000000" w:fill="FFFFFF"/>
          </w:tcPr>
          <w:p w14:paraId="21B37F78" w14:textId="77777777" w:rsidR="00286CD6" w:rsidRPr="00CC7041" w:rsidRDefault="00286CD6" w:rsidP="00B030DD">
            <w:pPr>
              <w:spacing w:after="120"/>
              <w:jc w:val="both"/>
              <w:rPr>
                <w:rFonts w:asciiTheme="majorBidi" w:hAnsiTheme="majorBidi" w:cstheme="majorBidi"/>
                <w:b/>
                <w:bCs/>
                <w:sz w:val="16"/>
                <w:szCs w:val="16"/>
                <w:lang w:eastAsia="en-GB"/>
              </w:rPr>
            </w:pPr>
          </w:p>
        </w:tc>
        <w:tc>
          <w:tcPr>
            <w:tcW w:w="176" w:type="pct"/>
            <w:tcBorders>
              <w:top w:val="single" w:sz="4" w:space="0" w:color="auto"/>
              <w:left w:val="nil"/>
              <w:bottom w:val="single" w:sz="4" w:space="0" w:color="auto"/>
              <w:right w:val="nil"/>
            </w:tcBorders>
            <w:shd w:val="clear" w:color="000000" w:fill="FFFFFF"/>
          </w:tcPr>
          <w:p w14:paraId="4D78CA46" w14:textId="77777777" w:rsidR="00286CD6" w:rsidRPr="00CC7041" w:rsidRDefault="00286CD6" w:rsidP="00B030DD">
            <w:pPr>
              <w:spacing w:after="120"/>
              <w:jc w:val="both"/>
              <w:rPr>
                <w:rFonts w:asciiTheme="majorBidi" w:hAnsiTheme="majorBidi" w:cstheme="majorBidi"/>
                <w:b/>
                <w:bCs/>
                <w:sz w:val="16"/>
                <w:szCs w:val="16"/>
                <w:lang w:eastAsia="en-GB"/>
              </w:rPr>
            </w:pPr>
          </w:p>
        </w:tc>
      </w:tr>
      <w:tr w:rsidR="00286CD6" w:rsidRPr="00106C1D" w14:paraId="1DE6D146" w14:textId="2DF4C70F" w:rsidTr="00286CD6">
        <w:trPr>
          <w:trHeight w:val="445"/>
        </w:trPr>
        <w:tc>
          <w:tcPr>
            <w:tcW w:w="906" w:type="pct"/>
            <w:tcBorders>
              <w:top w:val="single" w:sz="4" w:space="0" w:color="auto"/>
              <w:left w:val="nil"/>
              <w:right w:val="nil"/>
            </w:tcBorders>
            <w:shd w:val="clear" w:color="000000" w:fill="FFFFFF"/>
            <w:hideMark/>
          </w:tcPr>
          <w:p w14:paraId="3D2516F4" w14:textId="77777777" w:rsidR="00286CD6" w:rsidRPr="00CC7041" w:rsidRDefault="00286CD6" w:rsidP="00B030DD">
            <w:pPr>
              <w:jc w:val="center"/>
              <w:rPr>
                <w:rFonts w:asciiTheme="majorBidi" w:hAnsiTheme="majorBidi" w:cstheme="majorBidi"/>
                <w:b/>
                <w:bCs/>
                <w:color w:val="000000"/>
                <w:sz w:val="16"/>
                <w:szCs w:val="16"/>
                <w:lang w:val="de-DE"/>
              </w:rPr>
            </w:pPr>
          </w:p>
        </w:tc>
        <w:tc>
          <w:tcPr>
            <w:tcW w:w="141" w:type="pct"/>
            <w:tcBorders>
              <w:top w:val="single" w:sz="4" w:space="0" w:color="auto"/>
              <w:left w:val="nil"/>
              <w:right w:val="nil"/>
            </w:tcBorders>
            <w:shd w:val="clear" w:color="000000" w:fill="FFFFFF"/>
          </w:tcPr>
          <w:p w14:paraId="6E113A14" w14:textId="77777777" w:rsidR="00286CD6" w:rsidRPr="00CC7041" w:rsidRDefault="00286CD6" w:rsidP="00B030DD">
            <w:pPr>
              <w:jc w:val="center"/>
              <w:rPr>
                <w:rFonts w:asciiTheme="majorBidi" w:hAnsiTheme="majorBidi" w:cstheme="majorBidi"/>
                <w:color w:val="000000"/>
                <w:sz w:val="16"/>
                <w:szCs w:val="16"/>
              </w:rPr>
            </w:pPr>
          </w:p>
        </w:tc>
        <w:tc>
          <w:tcPr>
            <w:tcW w:w="245" w:type="pct"/>
            <w:tcBorders>
              <w:top w:val="single" w:sz="4" w:space="0" w:color="auto"/>
              <w:left w:val="nil"/>
              <w:right w:val="nil"/>
            </w:tcBorders>
            <w:shd w:val="clear" w:color="000000" w:fill="FFFFFF"/>
            <w:hideMark/>
          </w:tcPr>
          <w:p w14:paraId="52EE7032" w14:textId="7B7C63E5" w:rsidR="00286CD6" w:rsidRPr="00CC7041" w:rsidRDefault="00286CD6" w:rsidP="00D94DA1">
            <w:pPr>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[I]</w:t>
            </w:r>
          </w:p>
        </w:tc>
        <w:tc>
          <w:tcPr>
            <w:tcW w:w="245" w:type="pct"/>
            <w:tcBorders>
              <w:top w:val="single" w:sz="4" w:space="0" w:color="auto"/>
              <w:left w:val="nil"/>
              <w:right w:val="nil"/>
            </w:tcBorders>
            <w:shd w:val="clear" w:color="000000" w:fill="FFFFFF"/>
            <w:hideMark/>
          </w:tcPr>
          <w:p w14:paraId="20531B0A" w14:textId="77777777" w:rsidR="00286CD6" w:rsidRPr="00CC7041" w:rsidRDefault="00286CD6" w:rsidP="00D94DA1">
            <w:pPr>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[II]</w:t>
            </w:r>
          </w:p>
        </w:tc>
        <w:tc>
          <w:tcPr>
            <w:tcW w:w="245" w:type="pct"/>
            <w:tcBorders>
              <w:top w:val="single" w:sz="4" w:space="0" w:color="auto"/>
              <w:left w:val="nil"/>
              <w:right w:val="nil"/>
            </w:tcBorders>
            <w:shd w:val="clear" w:color="000000" w:fill="FFFFFF"/>
            <w:hideMark/>
          </w:tcPr>
          <w:p w14:paraId="2F40FF30" w14:textId="77777777" w:rsidR="00286CD6" w:rsidRPr="00CC7041" w:rsidRDefault="00286CD6" w:rsidP="00D94DA1">
            <w:pPr>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[III]</w:t>
            </w:r>
          </w:p>
        </w:tc>
        <w:tc>
          <w:tcPr>
            <w:tcW w:w="245" w:type="pct"/>
            <w:tcBorders>
              <w:top w:val="single" w:sz="4" w:space="0" w:color="auto"/>
              <w:left w:val="nil"/>
              <w:right w:val="nil"/>
            </w:tcBorders>
            <w:shd w:val="clear" w:color="000000" w:fill="FFFFFF"/>
            <w:hideMark/>
          </w:tcPr>
          <w:p w14:paraId="6B8AA2E3" w14:textId="77777777" w:rsidR="00286CD6" w:rsidRPr="00CC7041" w:rsidRDefault="00286CD6" w:rsidP="00D94DA1">
            <w:pPr>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[IV]</w:t>
            </w:r>
          </w:p>
        </w:tc>
        <w:tc>
          <w:tcPr>
            <w:tcW w:w="245" w:type="pct"/>
            <w:tcBorders>
              <w:top w:val="single" w:sz="4" w:space="0" w:color="auto"/>
              <w:left w:val="nil"/>
              <w:right w:val="nil"/>
            </w:tcBorders>
            <w:shd w:val="clear" w:color="000000" w:fill="FFFFFF"/>
            <w:hideMark/>
          </w:tcPr>
          <w:p w14:paraId="4097BF1F" w14:textId="77777777" w:rsidR="00286CD6" w:rsidRPr="00CC7041" w:rsidRDefault="00286CD6" w:rsidP="00D94DA1">
            <w:pPr>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[V]</w:t>
            </w:r>
          </w:p>
        </w:tc>
        <w:tc>
          <w:tcPr>
            <w:tcW w:w="245" w:type="pct"/>
            <w:tcBorders>
              <w:top w:val="single" w:sz="4" w:space="0" w:color="auto"/>
              <w:left w:val="nil"/>
              <w:right w:val="nil"/>
            </w:tcBorders>
            <w:shd w:val="clear" w:color="000000" w:fill="FFFFFF"/>
            <w:hideMark/>
          </w:tcPr>
          <w:p w14:paraId="188BEE64" w14:textId="77777777" w:rsidR="00286CD6" w:rsidRPr="00CC7041" w:rsidRDefault="00286CD6" w:rsidP="00D94DA1">
            <w:pPr>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[VI]</w:t>
            </w:r>
          </w:p>
        </w:tc>
        <w:tc>
          <w:tcPr>
            <w:tcW w:w="252" w:type="pct"/>
            <w:tcBorders>
              <w:top w:val="single" w:sz="4" w:space="0" w:color="auto"/>
              <w:left w:val="nil"/>
              <w:right w:val="nil"/>
            </w:tcBorders>
            <w:shd w:val="clear" w:color="000000" w:fill="FFFFFF"/>
            <w:hideMark/>
          </w:tcPr>
          <w:p w14:paraId="4B453BE8" w14:textId="77777777" w:rsidR="00286CD6" w:rsidRPr="00CC7041" w:rsidRDefault="00286CD6" w:rsidP="00D94DA1">
            <w:pPr>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[VII]</w:t>
            </w:r>
          </w:p>
        </w:tc>
        <w:tc>
          <w:tcPr>
            <w:tcW w:w="94" w:type="pct"/>
            <w:tcBorders>
              <w:top w:val="single" w:sz="4" w:space="0" w:color="auto"/>
              <w:left w:val="nil"/>
              <w:right w:val="nil"/>
            </w:tcBorders>
            <w:shd w:val="clear" w:color="000000" w:fill="FFFFFF"/>
          </w:tcPr>
          <w:p w14:paraId="62BF952B"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single" w:sz="4" w:space="0" w:color="auto"/>
              <w:left w:val="nil"/>
              <w:right w:val="nil"/>
            </w:tcBorders>
            <w:shd w:val="clear" w:color="000000" w:fill="FFFFFF"/>
            <w:hideMark/>
          </w:tcPr>
          <w:p w14:paraId="3A181B5B" w14:textId="0C66E72E" w:rsidR="00286CD6" w:rsidRPr="00CC7041" w:rsidRDefault="00286CD6" w:rsidP="00D94DA1">
            <w:pPr>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[I]</w:t>
            </w:r>
          </w:p>
        </w:tc>
        <w:tc>
          <w:tcPr>
            <w:tcW w:w="245" w:type="pct"/>
            <w:tcBorders>
              <w:top w:val="single" w:sz="4" w:space="0" w:color="auto"/>
              <w:left w:val="nil"/>
              <w:right w:val="nil"/>
            </w:tcBorders>
            <w:shd w:val="clear" w:color="000000" w:fill="FFFFFF"/>
            <w:hideMark/>
          </w:tcPr>
          <w:p w14:paraId="49DE575D" w14:textId="77777777" w:rsidR="00286CD6" w:rsidRPr="00CC7041" w:rsidRDefault="00286CD6" w:rsidP="00D94DA1">
            <w:pPr>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[II]</w:t>
            </w:r>
          </w:p>
        </w:tc>
        <w:tc>
          <w:tcPr>
            <w:tcW w:w="246" w:type="pct"/>
            <w:tcBorders>
              <w:top w:val="single" w:sz="4" w:space="0" w:color="auto"/>
              <w:left w:val="nil"/>
              <w:right w:val="nil"/>
            </w:tcBorders>
            <w:shd w:val="clear" w:color="000000" w:fill="FFFFFF"/>
            <w:hideMark/>
          </w:tcPr>
          <w:p w14:paraId="71CA5470" w14:textId="77777777" w:rsidR="00286CD6" w:rsidRPr="00CC7041" w:rsidRDefault="00286CD6" w:rsidP="00D94DA1">
            <w:pPr>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[V]</w:t>
            </w:r>
          </w:p>
        </w:tc>
        <w:tc>
          <w:tcPr>
            <w:tcW w:w="94" w:type="pct"/>
            <w:tcBorders>
              <w:top w:val="single" w:sz="4" w:space="0" w:color="auto"/>
              <w:left w:val="nil"/>
              <w:right w:val="nil"/>
            </w:tcBorders>
            <w:shd w:val="clear" w:color="000000" w:fill="FFFFFF"/>
          </w:tcPr>
          <w:p w14:paraId="7CD9A38C"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single" w:sz="4" w:space="0" w:color="auto"/>
              <w:left w:val="nil"/>
              <w:right w:val="nil"/>
            </w:tcBorders>
            <w:shd w:val="clear" w:color="000000" w:fill="FFFFFF"/>
            <w:noWrap/>
            <w:hideMark/>
          </w:tcPr>
          <w:p w14:paraId="7A163BBA" w14:textId="394A9241" w:rsidR="00286CD6" w:rsidRPr="00CC7041" w:rsidRDefault="00286CD6" w:rsidP="00D94DA1">
            <w:pPr>
              <w:jc w:val="center"/>
              <w:rPr>
                <w:rFonts w:asciiTheme="majorBidi" w:hAnsiTheme="majorBidi" w:cstheme="majorBidi"/>
                <w:color w:val="000000"/>
                <w:sz w:val="16"/>
                <w:szCs w:val="16"/>
                <w:lang w:val="de-DE"/>
              </w:rPr>
            </w:pPr>
            <w:r w:rsidRPr="00CC7041">
              <w:rPr>
                <w:rFonts w:asciiTheme="majorBidi" w:hAnsiTheme="majorBidi" w:cstheme="majorBidi"/>
                <w:color w:val="000000"/>
                <w:sz w:val="16"/>
                <w:szCs w:val="16"/>
              </w:rPr>
              <w:t>[I]</w:t>
            </w:r>
          </w:p>
        </w:tc>
        <w:tc>
          <w:tcPr>
            <w:tcW w:w="245" w:type="pct"/>
            <w:tcBorders>
              <w:top w:val="single" w:sz="4" w:space="0" w:color="auto"/>
              <w:left w:val="nil"/>
              <w:right w:val="nil"/>
            </w:tcBorders>
            <w:shd w:val="clear" w:color="000000" w:fill="FFFFFF"/>
            <w:noWrap/>
            <w:hideMark/>
          </w:tcPr>
          <w:p w14:paraId="41FE5644" w14:textId="77777777" w:rsidR="00286CD6" w:rsidRPr="00CC7041" w:rsidRDefault="00286CD6" w:rsidP="00D94DA1">
            <w:pPr>
              <w:jc w:val="center"/>
              <w:rPr>
                <w:rFonts w:asciiTheme="majorBidi" w:hAnsiTheme="majorBidi" w:cstheme="majorBidi"/>
                <w:color w:val="000000"/>
                <w:sz w:val="16"/>
                <w:szCs w:val="16"/>
                <w:lang w:val="de-DE"/>
              </w:rPr>
            </w:pPr>
            <w:r w:rsidRPr="00CC7041">
              <w:rPr>
                <w:rFonts w:asciiTheme="majorBidi" w:hAnsiTheme="majorBidi" w:cstheme="majorBidi"/>
                <w:color w:val="000000"/>
                <w:sz w:val="16"/>
                <w:szCs w:val="16"/>
              </w:rPr>
              <w:t>[II]</w:t>
            </w:r>
          </w:p>
        </w:tc>
        <w:tc>
          <w:tcPr>
            <w:tcW w:w="246" w:type="pct"/>
            <w:tcBorders>
              <w:top w:val="single" w:sz="4" w:space="0" w:color="auto"/>
              <w:left w:val="nil"/>
              <w:right w:val="nil"/>
            </w:tcBorders>
            <w:shd w:val="clear" w:color="000000" w:fill="FFFFFF"/>
            <w:noWrap/>
            <w:hideMark/>
          </w:tcPr>
          <w:p w14:paraId="554046BE" w14:textId="77777777" w:rsidR="00286CD6" w:rsidRPr="00CC7041" w:rsidRDefault="00286CD6" w:rsidP="00D94DA1">
            <w:pPr>
              <w:jc w:val="center"/>
              <w:rPr>
                <w:rFonts w:asciiTheme="majorBidi" w:hAnsiTheme="majorBidi" w:cstheme="majorBidi"/>
                <w:color w:val="000000"/>
                <w:sz w:val="16"/>
                <w:szCs w:val="16"/>
                <w:lang w:val="de-DE"/>
              </w:rPr>
            </w:pPr>
            <w:r w:rsidRPr="00CC7041">
              <w:rPr>
                <w:rFonts w:asciiTheme="majorBidi" w:hAnsiTheme="majorBidi" w:cstheme="majorBidi"/>
                <w:color w:val="000000"/>
                <w:sz w:val="16"/>
                <w:szCs w:val="16"/>
              </w:rPr>
              <w:t>[V]</w:t>
            </w:r>
          </w:p>
        </w:tc>
        <w:tc>
          <w:tcPr>
            <w:tcW w:w="94" w:type="pct"/>
            <w:tcBorders>
              <w:top w:val="single" w:sz="4" w:space="0" w:color="auto"/>
              <w:left w:val="nil"/>
              <w:right w:val="nil"/>
            </w:tcBorders>
            <w:shd w:val="clear" w:color="000000" w:fill="FFFFFF"/>
          </w:tcPr>
          <w:p w14:paraId="4A9ABAD4" w14:textId="77777777" w:rsidR="00286CD6" w:rsidRPr="00CC7041" w:rsidRDefault="00286CD6" w:rsidP="00D94DA1">
            <w:pPr>
              <w:jc w:val="center"/>
              <w:rPr>
                <w:rFonts w:asciiTheme="majorBidi" w:hAnsiTheme="majorBidi" w:cstheme="majorBidi"/>
                <w:color w:val="000000"/>
                <w:sz w:val="16"/>
                <w:szCs w:val="16"/>
              </w:rPr>
            </w:pPr>
          </w:p>
        </w:tc>
        <w:tc>
          <w:tcPr>
            <w:tcW w:w="244" w:type="pct"/>
            <w:gridSpan w:val="2"/>
            <w:tcBorders>
              <w:top w:val="single" w:sz="4" w:space="0" w:color="auto"/>
              <w:left w:val="nil"/>
              <w:right w:val="nil"/>
            </w:tcBorders>
            <w:shd w:val="clear" w:color="000000" w:fill="FFFFFF"/>
          </w:tcPr>
          <w:p w14:paraId="42AC6280" w14:textId="16154F95"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[VI]</w:t>
            </w:r>
          </w:p>
        </w:tc>
        <w:tc>
          <w:tcPr>
            <w:tcW w:w="231" w:type="pct"/>
            <w:gridSpan w:val="2"/>
            <w:tcBorders>
              <w:top w:val="single" w:sz="4" w:space="0" w:color="auto"/>
              <w:left w:val="nil"/>
              <w:right w:val="nil"/>
            </w:tcBorders>
            <w:shd w:val="clear" w:color="000000" w:fill="FFFFFF"/>
          </w:tcPr>
          <w:p w14:paraId="228545F2" w14:textId="5FB7B28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[VII]</w:t>
            </w:r>
          </w:p>
        </w:tc>
      </w:tr>
      <w:tr w:rsidR="00286CD6" w:rsidRPr="00106C1D" w14:paraId="68C7B599" w14:textId="6DD910EE" w:rsidTr="00286CD6">
        <w:trPr>
          <w:trHeight w:val="445"/>
        </w:trPr>
        <w:tc>
          <w:tcPr>
            <w:tcW w:w="906" w:type="pct"/>
            <w:vMerge w:val="restart"/>
            <w:tcBorders>
              <w:left w:val="nil"/>
              <w:right w:val="nil"/>
            </w:tcBorders>
            <w:shd w:val="clear" w:color="000000" w:fill="FFFFFF"/>
          </w:tcPr>
          <w:p w14:paraId="3AF733A3" w14:textId="77777777" w:rsidR="00286CD6" w:rsidRPr="00CC7041" w:rsidRDefault="00286CD6" w:rsidP="00B030DD">
            <w:pPr>
              <w:jc w:val="center"/>
              <w:rPr>
                <w:rFonts w:asciiTheme="majorBidi" w:hAnsiTheme="majorBidi" w:cstheme="majorBidi"/>
                <w:b/>
                <w:bCs/>
                <w:color w:val="000000"/>
                <w:sz w:val="16"/>
                <w:szCs w:val="16"/>
                <w:lang w:val="de-DE"/>
              </w:rPr>
            </w:pPr>
          </w:p>
        </w:tc>
        <w:tc>
          <w:tcPr>
            <w:tcW w:w="141" w:type="pct"/>
            <w:tcBorders>
              <w:left w:val="nil"/>
              <w:right w:val="nil"/>
            </w:tcBorders>
            <w:shd w:val="clear" w:color="000000" w:fill="FFFFFF"/>
          </w:tcPr>
          <w:p w14:paraId="39AAF422" w14:textId="77777777" w:rsidR="00286CD6" w:rsidRPr="00CC7041" w:rsidRDefault="00286CD6" w:rsidP="00B030DD">
            <w:pPr>
              <w:jc w:val="center"/>
              <w:rPr>
                <w:rFonts w:asciiTheme="majorBidi" w:hAnsiTheme="majorBidi" w:cstheme="majorBidi"/>
                <w:color w:val="000000"/>
                <w:sz w:val="16"/>
                <w:szCs w:val="16"/>
              </w:rPr>
            </w:pPr>
          </w:p>
        </w:tc>
        <w:tc>
          <w:tcPr>
            <w:tcW w:w="245" w:type="pct"/>
            <w:tcBorders>
              <w:left w:val="nil"/>
              <w:right w:val="nil"/>
            </w:tcBorders>
            <w:shd w:val="clear" w:color="000000" w:fill="FFFFFF"/>
          </w:tcPr>
          <w:p w14:paraId="3884B973" w14:textId="25EE1511"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45" w:type="pct"/>
            <w:tcBorders>
              <w:left w:val="nil"/>
              <w:right w:val="nil"/>
            </w:tcBorders>
            <w:shd w:val="clear" w:color="000000" w:fill="FFFFFF"/>
          </w:tcPr>
          <w:p w14:paraId="56CB4452"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245" w:type="pct"/>
            <w:tcBorders>
              <w:left w:val="nil"/>
              <w:right w:val="nil"/>
            </w:tcBorders>
            <w:shd w:val="clear" w:color="000000" w:fill="FFFFFF"/>
          </w:tcPr>
          <w:p w14:paraId="4F08EBEF"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AU</w:t>
            </w:r>
          </w:p>
        </w:tc>
        <w:tc>
          <w:tcPr>
            <w:tcW w:w="245" w:type="pct"/>
            <w:tcBorders>
              <w:left w:val="nil"/>
              <w:right w:val="nil"/>
            </w:tcBorders>
            <w:shd w:val="clear" w:color="000000" w:fill="FFFFFF"/>
          </w:tcPr>
          <w:p w14:paraId="24500A1D"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PT</w:t>
            </w:r>
          </w:p>
        </w:tc>
        <w:tc>
          <w:tcPr>
            <w:tcW w:w="245" w:type="pct"/>
            <w:tcBorders>
              <w:left w:val="nil"/>
              <w:right w:val="nil"/>
            </w:tcBorders>
            <w:shd w:val="clear" w:color="000000" w:fill="FFFFFF"/>
          </w:tcPr>
          <w:p w14:paraId="2DA0CFA8"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245" w:type="pct"/>
            <w:tcBorders>
              <w:left w:val="nil"/>
              <w:right w:val="nil"/>
            </w:tcBorders>
            <w:shd w:val="clear" w:color="000000" w:fill="FFFFFF"/>
          </w:tcPr>
          <w:p w14:paraId="0D4B20B3"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52" w:type="pct"/>
            <w:tcBorders>
              <w:left w:val="nil"/>
              <w:right w:val="nil"/>
            </w:tcBorders>
            <w:shd w:val="clear" w:color="000000" w:fill="FFFFFF"/>
          </w:tcPr>
          <w:p w14:paraId="16321D24"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94" w:type="pct"/>
            <w:tcBorders>
              <w:left w:val="nil"/>
              <w:right w:val="nil"/>
            </w:tcBorders>
            <w:shd w:val="clear" w:color="000000" w:fill="FFFFFF"/>
          </w:tcPr>
          <w:p w14:paraId="74E04351"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left w:val="nil"/>
              <w:right w:val="nil"/>
            </w:tcBorders>
            <w:shd w:val="clear" w:color="000000" w:fill="FFFFFF"/>
          </w:tcPr>
          <w:p w14:paraId="1B94A4B4" w14:textId="6ACA7B12"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45" w:type="pct"/>
            <w:tcBorders>
              <w:left w:val="nil"/>
              <w:right w:val="nil"/>
            </w:tcBorders>
            <w:shd w:val="clear" w:color="000000" w:fill="FFFFFF"/>
          </w:tcPr>
          <w:p w14:paraId="307F50D4"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246" w:type="pct"/>
            <w:tcBorders>
              <w:left w:val="nil"/>
              <w:right w:val="nil"/>
            </w:tcBorders>
            <w:shd w:val="clear" w:color="000000" w:fill="FFFFFF"/>
          </w:tcPr>
          <w:p w14:paraId="1F4C9AC7"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94" w:type="pct"/>
            <w:tcBorders>
              <w:left w:val="nil"/>
              <w:right w:val="nil"/>
            </w:tcBorders>
            <w:shd w:val="clear" w:color="000000" w:fill="FFFFFF"/>
          </w:tcPr>
          <w:p w14:paraId="52268A0A"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left w:val="nil"/>
              <w:right w:val="nil"/>
            </w:tcBorders>
            <w:shd w:val="clear" w:color="000000" w:fill="FFFFFF"/>
            <w:noWrap/>
          </w:tcPr>
          <w:p w14:paraId="58DA7BE3" w14:textId="44642D31"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45" w:type="pct"/>
            <w:tcBorders>
              <w:left w:val="nil"/>
              <w:right w:val="nil"/>
            </w:tcBorders>
            <w:shd w:val="clear" w:color="000000" w:fill="FFFFFF"/>
            <w:noWrap/>
          </w:tcPr>
          <w:p w14:paraId="50CFAB20"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246" w:type="pct"/>
            <w:tcBorders>
              <w:left w:val="nil"/>
              <w:right w:val="nil"/>
            </w:tcBorders>
            <w:shd w:val="clear" w:color="000000" w:fill="FFFFFF"/>
            <w:noWrap/>
          </w:tcPr>
          <w:p w14:paraId="49E4C789"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94" w:type="pct"/>
            <w:tcBorders>
              <w:left w:val="nil"/>
              <w:right w:val="nil"/>
            </w:tcBorders>
            <w:shd w:val="clear" w:color="000000" w:fill="FFFFFF"/>
          </w:tcPr>
          <w:p w14:paraId="308DBD3F" w14:textId="77777777" w:rsidR="00286CD6" w:rsidRPr="00CC7041" w:rsidRDefault="00286CD6" w:rsidP="00D94DA1">
            <w:pPr>
              <w:jc w:val="center"/>
              <w:rPr>
                <w:rFonts w:asciiTheme="majorBidi" w:hAnsiTheme="majorBidi" w:cstheme="majorBidi"/>
                <w:color w:val="000000"/>
                <w:sz w:val="16"/>
                <w:szCs w:val="16"/>
              </w:rPr>
            </w:pPr>
          </w:p>
        </w:tc>
        <w:tc>
          <w:tcPr>
            <w:tcW w:w="244" w:type="pct"/>
            <w:gridSpan w:val="2"/>
            <w:tcBorders>
              <w:left w:val="nil"/>
              <w:right w:val="nil"/>
            </w:tcBorders>
            <w:shd w:val="clear" w:color="000000" w:fill="FFFFFF"/>
          </w:tcPr>
          <w:p w14:paraId="70C84A7C" w14:textId="2CFE3D98"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31" w:type="pct"/>
            <w:gridSpan w:val="2"/>
            <w:tcBorders>
              <w:left w:val="nil"/>
              <w:right w:val="nil"/>
            </w:tcBorders>
            <w:shd w:val="clear" w:color="000000" w:fill="FFFFFF"/>
          </w:tcPr>
          <w:p w14:paraId="3B6B6742" w14:textId="2548D91C"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r>
      <w:tr w:rsidR="00286CD6" w:rsidRPr="00106C1D" w14:paraId="4BF056E8" w14:textId="22651EED" w:rsidTr="00286CD6">
        <w:trPr>
          <w:trHeight w:val="164"/>
        </w:trPr>
        <w:tc>
          <w:tcPr>
            <w:tcW w:w="906" w:type="pct"/>
            <w:vMerge/>
            <w:tcBorders>
              <w:left w:val="nil"/>
              <w:bottom w:val="single" w:sz="4" w:space="0" w:color="auto"/>
              <w:right w:val="nil"/>
            </w:tcBorders>
            <w:shd w:val="clear" w:color="000000" w:fill="FFFFFF"/>
          </w:tcPr>
          <w:p w14:paraId="508E9ED3" w14:textId="77777777" w:rsidR="00286CD6" w:rsidRPr="00CC7041" w:rsidRDefault="00286CD6" w:rsidP="00B030DD">
            <w:pPr>
              <w:jc w:val="center"/>
              <w:rPr>
                <w:rFonts w:asciiTheme="majorBidi" w:hAnsiTheme="majorBidi" w:cstheme="majorBidi"/>
                <w:b/>
                <w:bCs/>
                <w:color w:val="000000"/>
                <w:sz w:val="16"/>
                <w:szCs w:val="16"/>
                <w:lang w:val="de-DE"/>
              </w:rPr>
            </w:pPr>
          </w:p>
        </w:tc>
        <w:tc>
          <w:tcPr>
            <w:tcW w:w="141" w:type="pct"/>
            <w:tcBorders>
              <w:left w:val="nil"/>
              <w:bottom w:val="single" w:sz="4" w:space="0" w:color="auto"/>
              <w:right w:val="nil"/>
            </w:tcBorders>
            <w:shd w:val="clear" w:color="000000" w:fill="FFFFFF"/>
          </w:tcPr>
          <w:p w14:paraId="23F6C692" w14:textId="77777777" w:rsidR="00286CD6" w:rsidRPr="00CC7041" w:rsidRDefault="00286CD6" w:rsidP="00B030DD">
            <w:pPr>
              <w:jc w:val="center"/>
              <w:rPr>
                <w:rFonts w:asciiTheme="majorBidi" w:hAnsiTheme="majorBidi" w:cstheme="majorBidi"/>
                <w:color w:val="000000"/>
                <w:sz w:val="16"/>
                <w:szCs w:val="16"/>
              </w:rPr>
            </w:pPr>
          </w:p>
        </w:tc>
        <w:tc>
          <w:tcPr>
            <w:tcW w:w="245" w:type="pct"/>
            <w:tcBorders>
              <w:left w:val="nil"/>
              <w:bottom w:val="single" w:sz="4" w:space="0" w:color="auto"/>
              <w:right w:val="nil"/>
            </w:tcBorders>
            <w:shd w:val="clear" w:color="000000" w:fill="FFFFFF"/>
          </w:tcPr>
          <w:p w14:paraId="0A6FE23E" w14:textId="6E6496B6"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left w:val="nil"/>
              <w:bottom w:val="single" w:sz="4" w:space="0" w:color="auto"/>
              <w:right w:val="nil"/>
            </w:tcBorders>
            <w:shd w:val="clear" w:color="000000" w:fill="FFFFFF"/>
          </w:tcPr>
          <w:p w14:paraId="014712FC"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left w:val="nil"/>
              <w:bottom w:val="single" w:sz="4" w:space="0" w:color="auto"/>
              <w:right w:val="nil"/>
            </w:tcBorders>
            <w:shd w:val="clear" w:color="000000" w:fill="FFFFFF"/>
          </w:tcPr>
          <w:p w14:paraId="1EAFF257"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left w:val="nil"/>
              <w:bottom w:val="single" w:sz="4" w:space="0" w:color="auto"/>
              <w:right w:val="nil"/>
            </w:tcBorders>
            <w:shd w:val="clear" w:color="000000" w:fill="FFFFFF"/>
          </w:tcPr>
          <w:p w14:paraId="5EF0AE33"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left w:val="nil"/>
              <w:bottom w:val="single" w:sz="4" w:space="0" w:color="auto"/>
              <w:right w:val="nil"/>
            </w:tcBorders>
            <w:shd w:val="clear" w:color="000000" w:fill="FFFFFF"/>
          </w:tcPr>
          <w:p w14:paraId="5257C184"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2007</w:t>
            </w:r>
          </w:p>
        </w:tc>
        <w:tc>
          <w:tcPr>
            <w:tcW w:w="245" w:type="pct"/>
            <w:tcBorders>
              <w:left w:val="nil"/>
              <w:bottom w:val="single" w:sz="4" w:space="0" w:color="auto"/>
              <w:right w:val="nil"/>
            </w:tcBorders>
            <w:shd w:val="clear" w:color="000000" w:fill="FFFFFF"/>
          </w:tcPr>
          <w:p w14:paraId="0BA7C52A"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2020</w:t>
            </w:r>
          </w:p>
        </w:tc>
        <w:tc>
          <w:tcPr>
            <w:tcW w:w="252" w:type="pct"/>
            <w:tcBorders>
              <w:left w:val="nil"/>
              <w:bottom w:val="single" w:sz="4" w:space="0" w:color="auto"/>
              <w:right w:val="nil"/>
            </w:tcBorders>
            <w:shd w:val="clear" w:color="000000" w:fill="FFFFFF"/>
          </w:tcPr>
          <w:p w14:paraId="3E43986D"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2020</w:t>
            </w:r>
          </w:p>
        </w:tc>
        <w:tc>
          <w:tcPr>
            <w:tcW w:w="94" w:type="pct"/>
            <w:tcBorders>
              <w:left w:val="nil"/>
              <w:bottom w:val="single" w:sz="4" w:space="0" w:color="auto"/>
              <w:right w:val="nil"/>
            </w:tcBorders>
            <w:shd w:val="clear" w:color="000000" w:fill="FFFFFF"/>
          </w:tcPr>
          <w:p w14:paraId="01438165"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left w:val="nil"/>
              <w:bottom w:val="single" w:sz="4" w:space="0" w:color="auto"/>
              <w:right w:val="nil"/>
            </w:tcBorders>
            <w:shd w:val="clear" w:color="000000" w:fill="FFFFFF"/>
          </w:tcPr>
          <w:p w14:paraId="423B61F8" w14:textId="5A837C46"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left w:val="nil"/>
              <w:bottom w:val="single" w:sz="4" w:space="0" w:color="auto"/>
              <w:right w:val="nil"/>
            </w:tcBorders>
            <w:shd w:val="clear" w:color="000000" w:fill="FFFFFF"/>
          </w:tcPr>
          <w:p w14:paraId="7B2A2ECC"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6" w:type="pct"/>
            <w:tcBorders>
              <w:left w:val="nil"/>
              <w:bottom w:val="single" w:sz="4" w:space="0" w:color="auto"/>
              <w:right w:val="nil"/>
            </w:tcBorders>
            <w:shd w:val="clear" w:color="000000" w:fill="FFFFFF"/>
          </w:tcPr>
          <w:p w14:paraId="1C5241CC"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2007</w:t>
            </w:r>
          </w:p>
        </w:tc>
        <w:tc>
          <w:tcPr>
            <w:tcW w:w="94" w:type="pct"/>
            <w:tcBorders>
              <w:left w:val="nil"/>
              <w:bottom w:val="single" w:sz="4" w:space="0" w:color="auto"/>
              <w:right w:val="nil"/>
            </w:tcBorders>
            <w:shd w:val="clear" w:color="000000" w:fill="FFFFFF"/>
          </w:tcPr>
          <w:p w14:paraId="7C9B2C83"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left w:val="nil"/>
              <w:bottom w:val="single" w:sz="4" w:space="0" w:color="auto"/>
              <w:right w:val="nil"/>
            </w:tcBorders>
            <w:shd w:val="clear" w:color="000000" w:fill="FFFFFF"/>
            <w:noWrap/>
          </w:tcPr>
          <w:p w14:paraId="1AB2E1FD" w14:textId="2B8A8849"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left w:val="nil"/>
              <w:bottom w:val="single" w:sz="4" w:space="0" w:color="auto"/>
              <w:right w:val="nil"/>
            </w:tcBorders>
            <w:shd w:val="clear" w:color="000000" w:fill="FFFFFF"/>
            <w:noWrap/>
          </w:tcPr>
          <w:p w14:paraId="5B946733"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6" w:type="pct"/>
            <w:tcBorders>
              <w:left w:val="nil"/>
              <w:bottom w:val="single" w:sz="4" w:space="0" w:color="auto"/>
              <w:right w:val="nil"/>
            </w:tcBorders>
            <w:shd w:val="clear" w:color="000000" w:fill="FFFFFF"/>
            <w:noWrap/>
          </w:tcPr>
          <w:p w14:paraId="6747E385"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2007</w:t>
            </w:r>
          </w:p>
        </w:tc>
        <w:tc>
          <w:tcPr>
            <w:tcW w:w="94" w:type="pct"/>
            <w:tcBorders>
              <w:left w:val="nil"/>
              <w:bottom w:val="single" w:sz="4" w:space="0" w:color="auto"/>
              <w:right w:val="nil"/>
            </w:tcBorders>
            <w:shd w:val="clear" w:color="000000" w:fill="FFFFFF"/>
          </w:tcPr>
          <w:p w14:paraId="067D8A5A" w14:textId="77777777" w:rsidR="00286CD6" w:rsidRPr="00CC7041" w:rsidRDefault="00286CD6" w:rsidP="00D94DA1">
            <w:pPr>
              <w:jc w:val="center"/>
              <w:rPr>
                <w:rFonts w:asciiTheme="majorBidi" w:hAnsiTheme="majorBidi" w:cstheme="majorBidi"/>
                <w:color w:val="000000"/>
                <w:sz w:val="16"/>
                <w:szCs w:val="16"/>
              </w:rPr>
            </w:pPr>
          </w:p>
        </w:tc>
        <w:tc>
          <w:tcPr>
            <w:tcW w:w="244" w:type="pct"/>
            <w:gridSpan w:val="2"/>
            <w:tcBorders>
              <w:left w:val="nil"/>
              <w:bottom w:val="single" w:sz="4" w:space="0" w:color="auto"/>
              <w:right w:val="nil"/>
            </w:tcBorders>
            <w:shd w:val="clear" w:color="000000" w:fill="FFFFFF"/>
          </w:tcPr>
          <w:p w14:paraId="454CFE1F" w14:textId="48A1E93C"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2020</w:t>
            </w:r>
          </w:p>
        </w:tc>
        <w:tc>
          <w:tcPr>
            <w:tcW w:w="231" w:type="pct"/>
            <w:gridSpan w:val="2"/>
            <w:tcBorders>
              <w:left w:val="nil"/>
              <w:bottom w:val="single" w:sz="4" w:space="0" w:color="auto"/>
              <w:right w:val="nil"/>
            </w:tcBorders>
            <w:shd w:val="clear" w:color="000000" w:fill="FFFFFF"/>
          </w:tcPr>
          <w:p w14:paraId="1C603CAC" w14:textId="76BDC882"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2020</w:t>
            </w:r>
          </w:p>
        </w:tc>
      </w:tr>
      <w:tr w:rsidR="00286CD6" w:rsidRPr="00106C1D" w14:paraId="3D6F1A25" w14:textId="33044C68" w:rsidTr="00286CD6">
        <w:trPr>
          <w:trHeight w:val="245"/>
        </w:trPr>
        <w:tc>
          <w:tcPr>
            <w:tcW w:w="906" w:type="pct"/>
            <w:vMerge w:val="restart"/>
            <w:tcBorders>
              <w:top w:val="nil"/>
              <w:left w:val="nil"/>
              <w:right w:val="nil"/>
            </w:tcBorders>
            <w:shd w:val="clear" w:color="000000" w:fill="FFFFFF"/>
            <w:hideMark/>
          </w:tcPr>
          <w:p w14:paraId="5E42EA35" w14:textId="77777777" w:rsidR="00286CD6" w:rsidRPr="00CC7041" w:rsidRDefault="00286CD6" w:rsidP="00B030DD">
            <w:pPr>
              <w:rPr>
                <w:rFonts w:asciiTheme="majorBidi" w:hAnsiTheme="majorBidi" w:cstheme="majorBidi"/>
                <w:color w:val="000000"/>
                <w:sz w:val="16"/>
                <w:szCs w:val="16"/>
              </w:rPr>
            </w:pPr>
            <w:r w:rsidRPr="00CC7041">
              <w:rPr>
                <w:rFonts w:asciiTheme="majorBidi" w:hAnsiTheme="majorBidi" w:cstheme="majorBidi"/>
                <w:color w:val="000000"/>
                <w:sz w:val="16"/>
                <w:szCs w:val="16"/>
              </w:rPr>
              <w:t xml:space="preserve">[1] Firm not incorporated in the country (Worldscope error) </w:t>
            </w:r>
          </w:p>
          <w:p w14:paraId="481FCA9F" w14:textId="77777777" w:rsidR="00286CD6" w:rsidRPr="00CC7041" w:rsidRDefault="00286CD6" w:rsidP="00B030DD">
            <w:pPr>
              <w:rPr>
                <w:rFonts w:asciiTheme="majorBidi" w:hAnsiTheme="majorBidi" w:cstheme="majorBidi"/>
                <w:color w:val="000000"/>
                <w:sz w:val="16"/>
                <w:szCs w:val="16"/>
              </w:rPr>
            </w:pPr>
            <w:r w:rsidRPr="00CC7041">
              <w:rPr>
                <w:rFonts w:asciiTheme="majorBidi" w:hAnsiTheme="majorBidi" w:cstheme="majorBidi"/>
                <w:color w:val="000000"/>
                <w:sz w:val="16"/>
                <w:szCs w:val="16"/>
              </w:rPr>
              <w:t> </w:t>
            </w:r>
          </w:p>
        </w:tc>
        <w:tc>
          <w:tcPr>
            <w:tcW w:w="141" w:type="pct"/>
            <w:tcBorders>
              <w:top w:val="nil"/>
              <w:left w:val="nil"/>
              <w:right w:val="nil"/>
            </w:tcBorders>
            <w:shd w:val="clear" w:color="000000" w:fill="FFFFFF"/>
          </w:tcPr>
          <w:p w14:paraId="40F683D9" w14:textId="467955F1" w:rsidR="00286CD6" w:rsidRPr="00CC7041" w:rsidRDefault="00286CD6" w:rsidP="00B030DD">
            <w:pPr>
              <w:jc w:val="center"/>
              <w:rPr>
                <w:rFonts w:asciiTheme="majorBidi" w:hAnsiTheme="majorBidi" w:cstheme="majorBidi"/>
                <w:color w:val="000000"/>
                <w:sz w:val="16"/>
                <w:szCs w:val="16"/>
              </w:rPr>
            </w:pPr>
            <w:r>
              <w:rPr>
                <w:rFonts w:asciiTheme="majorBidi" w:hAnsiTheme="majorBidi" w:cstheme="majorBidi"/>
                <w:color w:val="000000"/>
                <w:sz w:val="16"/>
                <w:szCs w:val="16"/>
              </w:rPr>
              <w:t>N</w:t>
            </w:r>
          </w:p>
        </w:tc>
        <w:tc>
          <w:tcPr>
            <w:tcW w:w="245" w:type="pct"/>
            <w:tcBorders>
              <w:top w:val="nil"/>
              <w:left w:val="nil"/>
              <w:bottom w:val="nil"/>
              <w:right w:val="nil"/>
            </w:tcBorders>
            <w:shd w:val="clear" w:color="000000" w:fill="FFFFFF"/>
            <w:hideMark/>
          </w:tcPr>
          <w:p w14:paraId="06AD07AA" w14:textId="4D2C8BA8"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370BA654"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p>
        </w:tc>
        <w:tc>
          <w:tcPr>
            <w:tcW w:w="245" w:type="pct"/>
            <w:tcBorders>
              <w:top w:val="nil"/>
              <w:left w:val="nil"/>
              <w:bottom w:val="nil"/>
              <w:right w:val="nil"/>
            </w:tcBorders>
            <w:shd w:val="clear" w:color="000000" w:fill="FFFFFF"/>
            <w:hideMark/>
          </w:tcPr>
          <w:p w14:paraId="54F8A660"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6213A41D"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268BD450"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16</w:t>
            </w:r>
          </w:p>
        </w:tc>
        <w:tc>
          <w:tcPr>
            <w:tcW w:w="245" w:type="pct"/>
            <w:tcBorders>
              <w:top w:val="nil"/>
              <w:left w:val="nil"/>
              <w:bottom w:val="nil"/>
              <w:right w:val="nil"/>
            </w:tcBorders>
            <w:shd w:val="clear" w:color="000000" w:fill="FFFFFF"/>
            <w:hideMark/>
          </w:tcPr>
          <w:p w14:paraId="5D5CCA7E"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w:t>
            </w:r>
          </w:p>
        </w:tc>
        <w:tc>
          <w:tcPr>
            <w:tcW w:w="252" w:type="pct"/>
            <w:tcBorders>
              <w:top w:val="nil"/>
              <w:left w:val="nil"/>
              <w:bottom w:val="nil"/>
              <w:right w:val="nil"/>
            </w:tcBorders>
            <w:shd w:val="clear" w:color="000000" w:fill="FFFFFF"/>
            <w:hideMark/>
          </w:tcPr>
          <w:p w14:paraId="4BD11DE9"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w:t>
            </w:r>
          </w:p>
        </w:tc>
        <w:tc>
          <w:tcPr>
            <w:tcW w:w="94" w:type="pct"/>
            <w:tcBorders>
              <w:top w:val="nil"/>
              <w:left w:val="nil"/>
              <w:bottom w:val="nil"/>
              <w:right w:val="nil"/>
            </w:tcBorders>
            <w:shd w:val="clear" w:color="000000" w:fill="FFFFFF"/>
          </w:tcPr>
          <w:p w14:paraId="2814B719"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30756131" w14:textId="15C7ABC1"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221E5DB5"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6" w:type="pct"/>
            <w:tcBorders>
              <w:top w:val="nil"/>
              <w:left w:val="nil"/>
              <w:bottom w:val="nil"/>
              <w:right w:val="nil"/>
            </w:tcBorders>
            <w:shd w:val="clear" w:color="000000" w:fill="FFFFFF"/>
            <w:hideMark/>
          </w:tcPr>
          <w:p w14:paraId="01FDB87B"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p>
        </w:tc>
        <w:tc>
          <w:tcPr>
            <w:tcW w:w="94" w:type="pct"/>
            <w:tcBorders>
              <w:top w:val="nil"/>
              <w:left w:val="nil"/>
              <w:bottom w:val="nil"/>
              <w:right w:val="nil"/>
            </w:tcBorders>
            <w:shd w:val="clear" w:color="000000" w:fill="FFFFFF"/>
          </w:tcPr>
          <w:p w14:paraId="050CBFA4"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7D9B0459" w14:textId="68078F2E"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3F02B6FB"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p>
        </w:tc>
        <w:tc>
          <w:tcPr>
            <w:tcW w:w="246" w:type="pct"/>
            <w:tcBorders>
              <w:top w:val="nil"/>
              <w:left w:val="nil"/>
              <w:bottom w:val="nil"/>
              <w:right w:val="nil"/>
            </w:tcBorders>
            <w:shd w:val="clear" w:color="000000" w:fill="FFFFFF"/>
            <w:hideMark/>
          </w:tcPr>
          <w:p w14:paraId="66329445"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14</w:t>
            </w:r>
          </w:p>
        </w:tc>
        <w:tc>
          <w:tcPr>
            <w:tcW w:w="94" w:type="pct"/>
            <w:tcBorders>
              <w:top w:val="nil"/>
              <w:left w:val="nil"/>
              <w:bottom w:val="nil"/>
              <w:right w:val="nil"/>
            </w:tcBorders>
            <w:shd w:val="clear" w:color="000000" w:fill="FFFFFF"/>
          </w:tcPr>
          <w:p w14:paraId="145271D9" w14:textId="77777777" w:rsidR="00286CD6" w:rsidRPr="00CC7041" w:rsidRDefault="00286CD6" w:rsidP="00D94DA1">
            <w:pPr>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4B7EB0C8" w14:textId="19315339"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w:t>
            </w:r>
          </w:p>
        </w:tc>
        <w:tc>
          <w:tcPr>
            <w:tcW w:w="231" w:type="pct"/>
            <w:gridSpan w:val="2"/>
            <w:tcBorders>
              <w:top w:val="nil"/>
              <w:left w:val="nil"/>
              <w:bottom w:val="nil"/>
              <w:right w:val="nil"/>
            </w:tcBorders>
            <w:shd w:val="clear" w:color="000000" w:fill="FFFFFF"/>
          </w:tcPr>
          <w:p w14:paraId="46F3F4EB" w14:textId="69C20C0D"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w:t>
            </w:r>
          </w:p>
        </w:tc>
      </w:tr>
      <w:tr w:rsidR="00286CD6" w:rsidRPr="00106C1D" w14:paraId="6DC2596A" w14:textId="1807AB9F" w:rsidTr="00286CD6">
        <w:trPr>
          <w:trHeight w:val="354"/>
        </w:trPr>
        <w:tc>
          <w:tcPr>
            <w:tcW w:w="906" w:type="pct"/>
            <w:vMerge/>
            <w:tcBorders>
              <w:left w:val="nil"/>
              <w:bottom w:val="nil"/>
              <w:right w:val="nil"/>
            </w:tcBorders>
            <w:shd w:val="clear" w:color="000000" w:fill="FFFFFF"/>
          </w:tcPr>
          <w:p w14:paraId="6A4AD9AD" w14:textId="77777777" w:rsidR="00286CD6" w:rsidRPr="00CC7041" w:rsidRDefault="00286CD6" w:rsidP="00B030DD">
            <w:pPr>
              <w:rPr>
                <w:rFonts w:asciiTheme="majorBidi" w:hAnsiTheme="majorBidi" w:cstheme="majorBidi"/>
                <w:color w:val="000000"/>
                <w:sz w:val="16"/>
                <w:szCs w:val="16"/>
              </w:rPr>
            </w:pPr>
          </w:p>
        </w:tc>
        <w:tc>
          <w:tcPr>
            <w:tcW w:w="141" w:type="pct"/>
            <w:tcBorders>
              <w:left w:val="nil"/>
              <w:bottom w:val="nil"/>
              <w:right w:val="nil"/>
            </w:tcBorders>
            <w:shd w:val="clear" w:color="000000" w:fill="FFFFFF"/>
          </w:tcPr>
          <w:p w14:paraId="732D20EA" w14:textId="3C629FB8" w:rsidR="00286CD6" w:rsidRPr="00CC7041" w:rsidRDefault="00286CD6" w:rsidP="00B030DD">
            <w:pPr>
              <w:jc w:val="center"/>
              <w:rPr>
                <w:rFonts w:asciiTheme="majorBidi" w:hAnsiTheme="majorBidi" w:cstheme="majorBidi"/>
                <w:color w:val="000000"/>
                <w:sz w:val="16"/>
                <w:szCs w:val="16"/>
              </w:rPr>
            </w:pPr>
            <w:r>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548DB2B0" w14:textId="4C2CF12D"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5B0CF8E8" w14:textId="5C3C1A82"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0.8</w:t>
            </w:r>
          </w:p>
        </w:tc>
        <w:tc>
          <w:tcPr>
            <w:tcW w:w="245" w:type="pct"/>
            <w:tcBorders>
              <w:top w:val="nil"/>
              <w:left w:val="nil"/>
              <w:bottom w:val="nil"/>
              <w:right w:val="nil"/>
            </w:tcBorders>
            <w:shd w:val="clear" w:color="000000" w:fill="FFFFFF"/>
          </w:tcPr>
          <w:p w14:paraId="1BB5B67F"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2526F44A"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62767FAA" w14:textId="08D1C2F3" w:rsidR="00286CD6" w:rsidRPr="00CC7041" w:rsidRDefault="00286CD6" w:rsidP="00D94DA1">
            <w:pPr>
              <w:jc w:val="center"/>
              <w:rPr>
                <w:rFonts w:asciiTheme="majorBidi" w:hAnsiTheme="majorBidi" w:cstheme="majorBidi"/>
                <w:color w:val="000000"/>
                <w:sz w:val="16"/>
                <w:szCs w:val="16"/>
              </w:rPr>
            </w:pPr>
            <w:r>
              <w:rPr>
                <w:rFonts w:asciiTheme="majorBidi" w:hAnsiTheme="majorBidi" w:cstheme="majorBidi"/>
                <w:color w:val="000000"/>
                <w:sz w:val="16"/>
                <w:szCs w:val="16"/>
              </w:rPr>
              <w:t>4</w:t>
            </w:r>
          </w:p>
        </w:tc>
        <w:tc>
          <w:tcPr>
            <w:tcW w:w="245" w:type="pct"/>
            <w:tcBorders>
              <w:top w:val="nil"/>
              <w:left w:val="nil"/>
              <w:bottom w:val="nil"/>
              <w:right w:val="nil"/>
            </w:tcBorders>
            <w:shd w:val="clear" w:color="000000" w:fill="FFFFFF"/>
          </w:tcPr>
          <w:p w14:paraId="770C9337" w14:textId="72308FF5"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0.</w:t>
            </w:r>
            <w:r>
              <w:rPr>
                <w:rFonts w:asciiTheme="majorBidi" w:hAnsiTheme="majorBidi" w:cstheme="majorBidi"/>
                <w:color w:val="000000"/>
                <w:sz w:val="16"/>
                <w:szCs w:val="16"/>
              </w:rPr>
              <w:t>5</w:t>
            </w:r>
          </w:p>
        </w:tc>
        <w:tc>
          <w:tcPr>
            <w:tcW w:w="252" w:type="pct"/>
            <w:tcBorders>
              <w:top w:val="nil"/>
              <w:left w:val="nil"/>
              <w:bottom w:val="nil"/>
              <w:right w:val="nil"/>
            </w:tcBorders>
            <w:shd w:val="clear" w:color="000000" w:fill="FFFFFF"/>
          </w:tcPr>
          <w:p w14:paraId="3878ABDA" w14:textId="4C0FA63C"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r>
              <w:rPr>
                <w:rFonts w:asciiTheme="majorBidi" w:hAnsiTheme="majorBidi" w:cstheme="majorBidi"/>
                <w:color w:val="000000"/>
                <w:sz w:val="16"/>
                <w:szCs w:val="16"/>
              </w:rPr>
              <w:t>3</w:t>
            </w:r>
          </w:p>
        </w:tc>
        <w:tc>
          <w:tcPr>
            <w:tcW w:w="94" w:type="pct"/>
            <w:tcBorders>
              <w:top w:val="nil"/>
              <w:left w:val="nil"/>
              <w:bottom w:val="nil"/>
              <w:right w:val="nil"/>
            </w:tcBorders>
            <w:shd w:val="clear" w:color="000000" w:fill="FFFFFF"/>
          </w:tcPr>
          <w:p w14:paraId="32B48B84"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tcPr>
          <w:p w14:paraId="0865A23D" w14:textId="3DC110F6"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3E0DC20C"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6" w:type="pct"/>
            <w:tcBorders>
              <w:top w:val="nil"/>
              <w:left w:val="nil"/>
              <w:bottom w:val="nil"/>
              <w:right w:val="nil"/>
            </w:tcBorders>
            <w:shd w:val="clear" w:color="000000" w:fill="FFFFFF"/>
          </w:tcPr>
          <w:p w14:paraId="30DA0F91" w14:textId="0F692BEF"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w:t>
            </w:r>
          </w:p>
        </w:tc>
        <w:tc>
          <w:tcPr>
            <w:tcW w:w="94" w:type="pct"/>
            <w:tcBorders>
              <w:top w:val="nil"/>
              <w:left w:val="nil"/>
              <w:bottom w:val="nil"/>
              <w:right w:val="nil"/>
            </w:tcBorders>
            <w:shd w:val="clear" w:color="000000" w:fill="FFFFFF"/>
          </w:tcPr>
          <w:p w14:paraId="60C9D106"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tcPr>
          <w:p w14:paraId="3893F2E9" w14:textId="5520A795"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1EDAA831" w14:textId="50C72506"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2.1</w:t>
            </w:r>
          </w:p>
        </w:tc>
        <w:tc>
          <w:tcPr>
            <w:tcW w:w="246" w:type="pct"/>
            <w:tcBorders>
              <w:top w:val="nil"/>
              <w:left w:val="nil"/>
              <w:bottom w:val="nil"/>
              <w:right w:val="nil"/>
            </w:tcBorders>
            <w:shd w:val="clear" w:color="000000" w:fill="FFFFFF"/>
          </w:tcPr>
          <w:p w14:paraId="45732795" w14:textId="02E42FAD"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6.</w:t>
            </w:r>
            <w:r>
              <w:rPr>
                <w:rFonts w:asciiTheme="majorBidi" w:hAnsiTheme="majorBidi" w:cstheme="majorBidi"/>
                <w:color w:val="000000"/>
                <w:sz w:val="16"/>
                <w:szCs w:val="16"/>
              </w:rPr>
              <w:t>8</w:t>
            </w:r>
          </w:p>
        </w:tc>
        <w:tc>
          <w:tcPr>
            <w:tcW w:w="94" w:type="pct"/>
            <w:tcBorders>
              <w:top w:val="nil"/>
              <w:left w:val="nil"/>
              <w:bottom w:val="nil"/>
              <w:right w:val="nil"/>
            </w:tcBorders>
            <w:shd w:val="clear" w:color="000000" w:fill="FFFFFF"/>
          </w:tcPr>
          <w:p w14:paraId="54C6994C" w14:textId="77777777" w:rsidR="00286CD6" w:rsidRPr="00CC7041" w:rsidRDefault="00286CD6" w:rsidP="00D94DA1">
            <w:pPr>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74536785" w14:textId="39E657E4"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0.</w:t>
            </w:r>
            <w:r>
              <w:rPr>
                <w:rFonts w:asciiTheme="majorBidi" w:hAnsiTheme="majorBidi" w:cstheme="majorBidi"/>
                <w:color w:val="000000"/>
                <w:sz w:val="16"/>
                <w:szCs w:val="16"/>
              </w:rPr>
              <w:t>5</w:t>
            </w:r>
          </w:p>
        </w:tc>
        <w:tc>
          <w:tcPr>
            <w:tcW w:w="231" w:type="pct"/>
            <w:gridSpan w:val="2"/>
            <w:tcBorders>
              <w:top w:val="nil"/>
              <w:left w:val="nil"/>
              <w:bottom w:val="nil"/>
              <w:right w:val="nil"/>
            </w:tcBorders>
            <w:shd w:val="clear" w:color="000000" w:fill="FFFFFF"/>
          </w:tcPr>
          <w:p w14:paraId="794FBAD7" w14:textId="7DF748C4"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r>
              <w:rPr>
                <w:rFonts w:asciiTheme="majorBidi" w:hAnsiTheme="majorBidi" w:cstheme="majorBidi"/>
                <w:color w:val="000000"/>
                <w:sz w:val="16"/>
                <w:szCs w:val="16"/>
              </w:rPr>
              <w:t>3</w:t>
            </w:r>
          </w:p>
        </w:tc>
      </w:tr>
      <w:tr w:rsidR="00286CD6" w:rsidRPr="00106C1D" w14:paraId="34478F06" w14:textId="02BFC045" w:rsidTr="00286CD6">
        <w:trPr>
          <w:trHeight w:val="450"/>
        </w:trPr>
        <w:tc>
          <w:tcPr>
            <w:tcW w:w="906" w:type="pct"/>
            <w:vMerge w:val="restart"/>
            <w:tcBorders>
              <w:top w:val="nil"/>
              <w:left w:val="nil"/>
              <w:right w:val="nil"/>
            </w:tcBorders>
            <w:shd w:val="clear" w:color="000000" w:fill="FFFFFF"/>
            <w:hideMark/>
          </w:tcPr>
          <w:p w14:paraId="53ED32FD" w14:textId="77777777" w:rsidR="00286CD6" w:rsidRPr="00CC7041" w:rsidRDefault="00286CD6" w:rsidP="00B030DD">
            <w:pPr>
              <w:rPr>
                <w:rFonts w:asciiTheme="majorBidi" w:hAnsiTheme="majorBidi" w:cstheme="majorBidi"/>
                <w:color w:val="000000"/>
                <w:sz w:val="16"/>
                <w:szCs w:val="16"/>
              </w:rPr>
            </w:pPr>
            <w:r w:rsidRPr="00CC7041">
              <w:rPr>
                <w:rFonts w:asciiTheme="majorBidi" w:hAnsiTheme="majorBidi" w:cstheme="majorBidi"/>
                <w:color w:val="000000"/>
                <w:sz w:val="16"/>
                <w:szCs w:val="16"/>
              </w:rPr>
              <w:t xml:space="preserve">[2] Firm does not provide consolidated statements – Case 1: Worldscope records this (correctly) </w:t>
            </w:r>
          </w:p>
          <w:p w14:paraId="4DC9FAF0" w14:textId="77777777" w:rsidR="00286CD6" w:rsidRPr="00CC7041" w:rsidRDefault="00286CD6" w:rsidP="00B030DD">
            <w:pPr>
              <w:rPr>
                <w:rFonts w:asciiTheme="majorBidi" w:hAnsiTheme="majorBidi" w:cstheme="majorBidi"/>
                <w:color w:val="000000"/>
                <w:sz w:val="16"/>
                <w:szCs w:val="16"/>
              </w:rPr>
            </w:pPr>
            <w:r w:rsidRPr="00CC7041">
              <w:rPr>
                <w:rFonts w:asciiTheme="majorBidi" w:hAnsiTheme="majorBidi" w:cstheme="majorBidi"/>
                <w:color w:val="000000"/>
                <w:sz w:val="16"/>
                <w:szCs w:val="16"/>
              </w:rPr>
              <w:t> </w:t>
            </w:r>
          </w:p>
        </w:tc>
        <w:tc>
          <w:tcPr>
            <w:tcW w:w="141" w:type="pct"/>
            <w:tcBorders>
              <w:top w:val="nil"/>
              <w:left w:val="nil"/>
              <w:right w:val="nil"/>
            </w:tcBorders>
            <w:shd w:val="clear" w:color="000000" w:fill="FFFFFF"/>
          </w:tcPr>
          <w:p w14:paraId="39DD9BDF" w14:textId="7BDB584F" w:rsidR="00286CD6" w:rsidRPr="00CC7041" w:rsidRDefault="00286CD6" w:rsidP="00B030DD">
            <w:pPr>
              <w:jc w:val="center"/>
              <w:rPr>
                <w:rFonts w:asciiTheme="majorBidi" w:hAnsiTheme="majorBidi" w:cstheme="majorBidi"/>
                <w:color w:val="000000"/>
                <w:sz w:val="16"/>
                <w:szCs w:val="16"/>
              </w:rPr>
            </w:pPr>
            <w:r>
              <w:rPr>
                <w:rFonts w:asciiTheme="majorBidi" w:hAnsiTheme="majorBidi" w:cstheme="majorBidi"/>
                <w:color w:val="000000"/>
                <w:sz w:val="16"/>
                <w:szCs w:val="16"/>
              </w:rPr>
              <w:t>N</w:t>
            </w:r>
          </w:p>
        </w:tc>
        <w:tc>
          <w:tcPr>
            <w:tcW w:w="245" w:type="pct"/>
            <w:tcBorders>
              <w:top w:val="nil"/>
              <w:left w:val="nil"/>
              <w:bottom w:val="nil"/>
              <w:right w:val="nil"/>
            </w:tcBorders>
            <w:shd w:val="clear" w:color="000000" w:fill="FFFFFF"/>
            <w:hideMark/>
          </w:tcPr>
          <w:p w14:paraId="58AC99A9" w14:textId="25549B7C"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53</w:t>
            </w:r>
          </w:p>
        </w:tc>
        <w:tc>
          <w:tcPr>
            <w:tcW w:w="245" w:type="pct"/>
            <w:tcBorders>
              <w:top w:val="nil"/>
              <w:left w:val="nil"/>
              <w:bottom w:val="nil"/>
              <w:right w:val="nil"/>
            </w:tcBorders>
            <w:shd w:val="clear" w:color="000000" w:fill="FFFFFF"/>
            <w:hideMark/>
          </w:tcPr>
          <w:p w14:paraId="708FC561"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125</w:t>
            </w:r>
          </w:p>
        </w:tc>
        <w:tc>
          <w:tcPr>
            <w:tcW w:w="245" w:type="pct"/>
            <w:tcBorders>
              <w:top w:val="nil"/>
              <w:left w:val="nil"/>
              <w:bottom w:val="nil"/>
              <w:right w:val="nil"/>
            </w:tcBorders>
            <w:shd w:val="clear" w:color="000000" w:fill="FFFFFF"/>
            <w:hideMark/>
          </w:tcPr>
          <w:p w14:paraId="56940409"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p>
        </w:tc>
        <w:tc>
          <w:tcPr>
            <w:tcW w:w="245" w:type="pct"/>
            <w:tcBorders>
              <w:top w:val="nil"/>
              <w:left w:val="nil"/>
              <w:bottom w:val="nil"/>
              <w:right w:val="nil"/>
            </w:tcBorders>
            <w:shd w:val="clear" w:color="000000" w:fill="FFFFFF"/>
            <w:hideMark/>
          </w:tcPr>
          <w:p w14:paraId="076BB965"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4AB40F4A"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291</w:t>
            </w:r>
          </w:p>
        </w:tc>
        <w:tc>
          <w:tcPr>
            <w:tcW w:w="245" w:type="pct"/>
            <w:tcBorders>
              <w:top w:val="nil"/>
              <w:left w:val="nil"/>
              <w:bottom w:val="nil"/>
              <w:right w:val="nil"/>
            </w:tcBorders>
            <w:shd w:val="clear" w:color="000000" w:fill="FFFFFF"/>
            <w:hideMark/>
          </w:tcPr>
          <w:p w14:paraId="78BB5B2D"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8</w:t>
            </w:r>
          </w:p>
        </w:tc>
        <w:tc>
          <w:tcPr>
            <w:tcW w:w="252" w:type="pct"/>
            <w:tcBorders>
              <w:top w:val="nil"/>
              <w:left w:val="nil"/>
              <w:bottom w:val="nil"/>
              <w:right w:val="nil"/>
            </w:tcBorders>
            <w:shd w:val="clear" w:color="000000" w:fill="FFFFFF"/>
            <w:hideMark/>
          </w:tcPr>
          <w:p w14:paraId="46A5D09F"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94" w:type="pct"/>
            <w:tcBorders>
              <w:top w:val="nil"/>
              <w:left w:val="nil"/>
              <w:bottom w:val="nil"/>
              <w:right w:val="nil"/>
            </w:tcBorders>
            <w:shd w:val="clear" w:color="000000" w:fill="FFFFFF"/>
          </w:tcPr>
          <w:p w14:paraId="1BC20F23"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62414697" w14:textId="5359168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14</w:t>
            </w:r>
          </w:p>
        </w:tc>
        <w:tc>
          <w:tcPr>
            <w:tcW w:w="245" w:type="pct"/>
            <w:tcBorders>
              <w:top w:val="nil"/>
              <w:left w:val="nil"/>
              <w:bottom w:val="nil"/>
              <w:right w:val="nil"/>
            </w:tcBorders>
            <w:shd w:val="clear" w:color="000000" w:fill="FFFFFF"/>
            <w:hideMark/>
          </w:tcPr>
          <w:p w14:paraId="7D3DFF18"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98</w:t>
            </w:r>
          </w:p>
        </w:tc>
        <w:tc>
          <w:tcPr>
            <w:tcW w:w="246" w:type="pct"/>
            <w:tcBorders>
              <w:top w:val="nil"/>
              <w:left w:val="nil"/>
              <w:bottom w:val="nil"/>
              <w:right w:val="nil"/>
            </w:tcBorders>
            <w:shd w:val="clear" w:color="000000" w:fill="FFFFFF"/>
            <w:hideMark/>
          </w:tcPr>
          <w:p w14:paraId="4E703FAB"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179</w:t>
            </w:r>
          </w:p>
        </w:tc>
        <w:tc>
          <w:tcPr>
            <w:tcW w:w="94" w:type="pct"/>
            <w:tcBorders>
              <w:top w:val="nil"/>
              <w:left w:val="nil"/>
              <w:bottom w:val="nil"/>
              <w:right w:val="nil"/>
            </w:tcBorders>
            <w:shd w:val="clear" w:color="000000" w:fill="FFFFFF"/>
          </w:tcPr>
          <w:p w14:paraId="695F272E"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43475804" w14:textId="3964C17A"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39</w:t>
            </w:r>
          </w:p>
        </w:tc>
        <w:tc>
          <w:tcPr>
            <w:tcW w:w="245" w:type="pct"/>
            <w:tcBorders>
              <w:top w:val="nil"/>
              <w:left w:val="nil"/>
              <w:bottom w:val="nil"/>
              <w:right w:val="nil"/>
            </w:tcBorders>
            <w:shd w:val="clear" w:color="000000" w:fill="FFFFFF"/>
            <w:hideMark/>
          </w:tcPr>
          <w:p w14:paraId="23086394"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27</w:t>
            </w:r>
          </w:p>
        </w:tc>
        <w:tc>
          <w:tcPr>
            <w:tcW w:w="246" w:type="pct"/>
            <w:tcBorders>
              <w:top w:val="nil"/>
              <w:left w:val="nil"/>
              <w:bottom w:val="nil"/>
              <w:right w:val="nil"/>
            </w:tcBorders>
            <w:shd w:val="clear" w:color="000000" w:fill="FFFFFF"/>
            <w:hideMark/>
          </w:tcPr>
          <w:p w14:paraId="13E0DB3E"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112</w:t>
            </w:r>
          </w:p>
        </w:tc>
        <w:tc>
          <w:tcPr>
            <w:tcW w:w="94" w:type="pct"/>
            <w:tcBorders>
              <w:top w:val="nil"/>
              <w:left w:val="nil"/>
              <w:bottom w:val="nil"/>
              <w:right w:val="nil"/>
            </w:tcBorders>
            <w:shd w:val="clear" w:color="000000" w:fill="FFFFFF"/>
          </w:tcPr>
          <w:p w14:paraId="63DD006D" w14:textId="77777777" w:rsidR="00286CD6" w:rsidRPr="00CC7041" w:rsidRDefault="00286CD6" w:rsidP="00D94DA1">
            <w:pPr>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19B30359" w14:textId="61F3DFC9"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8</w:t>
            </w:r>
          </w:p>
        </w:tc>
        <w:tc>
          <w:tcPr>
            <w:tcW w:w="231" w:type="pct"/>
            <w:gridSpan w:val="2"/>
            <w:tcBorders>
              <w:top w:val="nil"/>
              <w:left w:val="nil"/>
              <w:bottom w:val="nil"/>
              <w:right w:val="nil"/>
            </w:tcBorders>
            <w:shd w:val="clear" w:color="000000" w:fill="FFFFFF"/>
          </w:tcPr>
          <w:p w14:paraId="113FDBC7" w14:textId="62AE6639"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r>
      <w:tr w:rsidR="00286CD6" w:rsidRPr="00106C1D" w14:paraId="56CF51A6" w14:textId="59DF2A6D" w:rsidTr="00286CD6">
        <w:trPr>
          <w:trHeight w:val="450"/>
        </w:trPr>
        <w:tc>
          <w:tcPr>
            <w:tcW w:w="906" w:type="pct"/>
            <w:vMerge/>
            <w:tcBorders>
              <w:left w:val="nil"/>
              <w:bottom w:val="nil"/>
              <w:right w:val="nil"/>
            </w:tcBorders>
            <w:shd w:val="clear" w:color="000000" w:fill="FFFFFF"/>
          </w:tcPr>
          <w:p w14:paraId="3846A72E" w14:textId="77777777" w:rsidR="00286CD6" w:rsidRPr="00CC7041" w:rsidRDefault="00286CD6" w:rsidP="00B030DD">
            <w:pPr>
              <w:rPr>
                <w:rFonts w:asciiTheme="majorBidi" w:hAnsiTheme="majorBidi" w:cstheme="majorBidi"/>
                <w:color w:val="000000"/>
                <w:sz w:val="16"/>
                <w:szCs w:val="16"/>
              </w:rPr>
            </w:pPr>
          </w:p>
        </w:tc>
        <w:tc>
          <w:tcPr>
            <w:tcW w:w="141" w:type="pct"/>
            <w:tcBorders>
              <w:left w:val="nil"/>
              <w:bottom w:val="nil"/>
              <w:right w:val="nil"/>
            </w:tcBorders>
            <w:shd w:val="clear" w:color="000000" w:fill="FFFFFF"/>
          </w:tcPr>
          <w:p w14:paraId="049C70BF" w14:textId="5D3DA8B3" w:rsidR="00286CD6" w:rsidRPr="00CC7041" w:rsidRDefault="00286CD6" w:rsidP="00B030DD">
            <w:pPr>
              <w:jc w:val="center"/>
              <w:rPr>
                <w:rFonts w:asciiTheme="majorBidi" w:hAnsiTheme="majorBidi" w:cstheme="majorBidi"/>
                <w:color w:val="000000"/>
                <w:sz w:val="16"/>
                <w:szCs w:val="16"/>
              </w:rPr>
            </w:pPr>
            <w:r>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09886CED" w14:textId="12AF8C0B"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21.</w:t>
            </w:r>
            <w:r>
              <w:rPr>
                <w:rFonts w:asciiTheme="majorBidi" w:hAnsiTheme="majorBidi" w:cstheme="majorBidi"/>
                <w:color w:val="000000"/>
                <w:sz w:val="16"/>
                <w:szCs w:val="16"/>
              </w:rPr>
              <w:t>4</w:t>
            </w:r>
          </w:p>
        </w:tc>
        <w:tc>
          <w:tcPr>
            <w:tcW w:w="245" w:type="pct"/>
            <w:tcBorders>
              <w:top w:val="nil"/>
              <w:left w:val="nil"/>
              <w:bottom w:val="nil"/>
              <w:right w:val="nil"/>
            </w:tcBorders>
            <w:shd w:val="clear" w:color="000000" w:fill="FFFFFF"/>
          </w:tcPr>
          <w:p w14:paraId="51C77213" w14:textId="739C4E7F"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51.</w:t>
            </w:r>
            <w:r>
              <w:rPr>
                <w:rFonts w:asciiTheme="majorBidi" w:hAnsiTheme="majorBidi" w:cstheme="majorBidi"/>
                <w:color w:val="000000"/>
                <w:sz w:val="16"/>
                <w:szCs w:val="16"/>
              </w:rPr>
              <w:t>9</w:t>
            </w:r>
          </w:p>
        </w:tc>
        <w:tc>
          <w:tcPr>
            <w:tcW w:w="245" w:type="pct"/>
            <w:tcBorders>
              <w:top w:val="nil"/>
              <w:left w:val="nil"/>
              <w:bottom w:val="nil"/>
              <w:right w:val="nil"/>
            </w:tcBorders>
            <w:shd w:val="clear" w:color="000000" w:fill="FFFFFF"/>
          </w:tcPr>
          <w:p w14:paraId="6B7022A9" w14:textId="4E7C496F"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25</w:t>
            </w:r>
          </w:p>
        </w:tc>
        <w:tc>
          <w:tcPr>
            <w:tcW w:w="245" w:type="pct"/>
            <w:tcBorders>
              <w:top w:val="nil"/>
              <w:left w:val="nil"/>
              <w:bottom w:val="nil"/>
              <w:right w:val="nil"/>
            </w:tcBorders>
            <w:shd w:val="clear" w:color="000000" w:fill="FFFFFF"/>
          </w:tcPr>
          <w:p w14:paraId="47EE8C7A"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2590117E" w14:textId="111A055D"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72.2</w:t>
            </w:r>
          </w:p>
        </w:tc>
        <w:tc>
          <w:tcPr>
            <w:tcW w:w="245" w:type="pct"/>
            <w:tcBorders>
              <w:top w:val="nil"/>
              <w:left w:val="nil"/>
              <w:bottom w:val="nil"/>
              <w:right w:val="nil"/>
            </w:tcBorders>
            <w:shd w:val="clear" w:color="000000" w:fill="FFFFFF"/>
          </w:tcPr>
          <w:p w14:paraId="22FBDB34" w14:textId="2E4C72B0"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3.7</w:t>
            </w:r>
          </w:p>
        </w:tc>
        <w:tc>
          <w:tcPr>
            <w:tcW w:w="252" w:type="pct"/>
            <w:tcBorders>
              <w:top w:val="nil"/>
              <w:left w:val="nil"/>
              <w:bottom w:val="nil"/>
              <w:right w:val="nil"/>
            </w:tcBorders>
            <w:shd w:val="clear" w:color="000000" w:fill="FFFFFF"/>
          </w:tcPr>
          <w:p w14:paraId="331517DC" w14:textId="77777777" w:rsidR="00286CD6" w:rsidRPr="00CC7041" w:rsidRDefault="00286CD6" w:rsidP="00D94DA1">
            <w:pPr>
              <w:jc w:val="center"/>
              <w:rPr>
                <w:rFonts w:asciiTheme="majorBidi" w:hAnsiTheme="majorBidi" w:cstheme="majorBidi"/>
                <w:color w:val="000000"/>
                <w:sz w:val="16"/>
                <w:szCs w:val="16"/>
              </w:rPr>
            </w:pPr>
          </w:p>
        </w:tc>
        <w:tc>
          <w:tcPr>
            <w:tcW w:w="94" w:type="pct"/>
            <w:tcBorders>
              <w:top w:val="nil"/>
              <w:left w:val="nil"/>
              <w:bottom w:val="nil"/>
              <w:right w:val="nil"/>
            </w:tcBorders>
            <w:shd w:val="clear" w:color="000000" w:fill="FFFFFF"/>
          </w:tcPr>
          <w:p w14:paraId="60038BC9"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tcPr>
          <w:p w14:paraId="4B410EB7" w14:textId="7ECB803C"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36.8</w:t>
            </w:r>
          </w:p>
        </w:tc>
        <w:tc>
          <w:tcPr>
            <w:tcW w:w="245" w:type="pct"/>
            <w:tcBorders>
              <w:top w:val="nil"/>
              <w:left w:val="nil"/>
              <w:bottom w:val="nil"/>
              <w:right w:val="nil"/>
            </w:tcBorders>
            <w:shd w:val="clear" w:color="000000" w:fill="FFFFFF"/>
          </w:tcPr>
          <w:p w14:paraId="19DE5A60" w14:textId="22E79CC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67.1</w:t>
            </w:r>
          </w:p>
        </w:tc>
        <w:tc>
          <w:tcPr>
            <w:tcW w:w="246" w:type="pct"/>
            <w:tcBorders>
              <w:top w:val="nil"/>
              <w:left w:val="nil"/>
              <w:bottom w:val="nil"/>
              <w:right w:val="nil"/>
            </w:tcBorders>
            <w:shd w:val="clear" w:color="000000" w:fill="FFFFFF"/>
          </w:tcPr>
          <w:p w14:paraId="023DCAD4" w14:textId="2A7644A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91.3</w:t>
            </w:r>
          </w:p>
        </w:tc>
        <w:tc>
          <w:tcPr>
            <w:tcW w:w="94" w:type="pct"/>
            <w:tcBorders>
              <w:top w:val="nil"/>
              <w:left w:val="nil"/>
              <w:bottom w:val="nil"/>
              <w:right w:val="nil"/>
            </w:tcBorders>
            <w:shd w:val="clear" w:color="000000" w:fill="FFFFFF"/>
          </w:tcPr>
          <w:p w14:paraId="77D10C0D"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tcPr>
          <w:p w14:paraId="179AD21A" w14:textId="026F02F4"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18.</w:t>
            </w:r>
            <w:r>
              <w:rPr>
                <w:rFonts w:asciiTheme="majorBidi" w:hAnsiTheme="majorBidi" w:cstheme="majorBidi"/>
                <w:color w:val="000000"/>
                <w:sz w:val="16"/>
                <w:szCs w:val="16"/>
              </w:rPr>
              <w:t>6</w:t>
            </w:r>
          </w:p>
        </w:tc>
        <w:tc>
          <w:tcPr>
            <w:tcW w:w="245" w:type="pct"/>
            <w:tcBorders>
              <w:top w:val="nil"/>
              <w:left w:val="nil"/>
              <w:bottom w:val="nil"/>
              <w:right w:val="nil"/>
            </w:tcBorders>
            <w:shd w:val="clear" w:color="000000" w:fill="FFFFFF"/>
          </w:tcPr>
          <w:p w14:paraId="297AF3EF" w14:textId="77AB4DFE"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28.4</w:t>
            </w:r>
          </w:p>
        </w:tc>
        <w:tc>
          <w:tcPr>
            <w:tcW w:w="246" w:type="pct"/>
            <w:tcBorders>
              <w:top w:val="nil"/>
              <w:left w:val="nil"/>
              <w:bottom w:val="nil"/>
              <w:right w:val="nil"/>
            </w:tcBorders>
            <w:shd w:val="clear" w:color="000000" w:fill="FFFFFF"/>
          </w:tcPr>
          <w:p w14:paraId="6CECE30D" w14:textId="01DC0F8D"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54.</w:t>
            </w:r>
            <w:r>
              <w:rPr>
                <w:rFonts w:asciiTheme="majorBidi" w:hAnsiTheme="majorBidi" w:cstheme="majorBidi"/>
                <w:color w:val="000000"/>
                <w:sz w:val="16"/>
                <w:szCs w:val="16"/>
              </w:rPr>
              <w:t>1</w:t>
            </w:r>
          </w:p>
        </w:tc>
        <w:tc>
          <w:tcPr>
            <w:tcW w:w="94" w:type="pct"/>
            <w:tcBorders>
              <w:top w:val="nil"/>
              <w:left w:val="nil"/>
              <w:bottom w:val="nil"/>
              <w:right w:val="nil"/>
            </w:tcBorders>
            <w:shd w:val="clear" w:color="000000" w:fill="FFFFFF"/>
          </w:tcPr>
          <w:p w14:paraId="6032F3F0" w14:textId="77777777" w:rsidR="00286CD6" w:rsidRPr="00CC7041" w:rsidRDefault="00286CD6" w:rsidP="00D94DA1">
            <w:pPr>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643A1CB0" w14:textId="306650B5"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3.7</w:t>
            </w:r>
          </w:p>
        </w:tc>
        <w:tc>
          <w:tcPr>
            <w:tcW w:w="231" w:type="pct"/>
            <w:gridSpan w:val="2"/>
            <w:tcBorders>
              <w:top w:val="nil"/>
              <w:left w:val="nil"/>
              <w:bottom w:val="nil"/>
              <w:right w:val="nil"/>
            </w:tcBorders>
            <w:shd w:val="clear" w:color="000000" w:fill="FFFFFF"/>
          </w:tcPr>
          <w:p w14:paraId="616B6CDD" w14:textId="77777777" w:rsidR="00286CD6" w:rsidRPr="00CC7041" w:rsidRDefault="00286CD6" w:rsidP="00D94DA1">
            <w:pPr>
              <w:jc w:val="center"/>
              <w:rPr>
                <w:rFonts w:asciiTheme="majorBidi" w:hAnsiTheme="majorBidi" w:cstheme="majorBidi"/>
                <w:color w:val="000000"/>
                <w:sz w:val="16"/>
                <w:szCs w:val="16"/>
              </w:rPr>
            </w:pPr>
          </w:p>
        </w:tc>
      </w:tr>
      <w:tr w:rsidR="00286CD6" w:rsidRPr="00106C1D" w14:paraId="0E02464D" w14:textId="713C4F3F" w:rsidTr="00286CD6">
        <w:trPr>
          <w:trHeight w:val="245"/>
        </w:trPr>
        <w:tc>
          <w:tcPr>
            <w:tcW w:w="906" w:type="pct"/>
            <w:vMerge w:val="restart"/>
            <w:tcBorders>
              <w:top w:val="nil"/>
              <w:left w:val="nil"/>
              <w:right w:val="nil"/>
            </w:tcBorders>
            <w:shd w:val="clear" w:color="000000" w:fill="FFFFFF"/>
            <w:hideMark/>
          </w:tcPr>
          <w:p w14:paraId="6A7C24BE" w14:textId="77777777" w:rsidR="00286CD6" w:rsidRPr="00CC7041" w:rsidRDefault="00286CD6" w:rsidP="00B030DD">
            <w:pPr>
              <w:rPr>
                <w:rFonts w:asciiTheme="majorBidi" w:hAnsiTheme="majorBidi" w:cstheme="majorBidi"/>
                <w:color w:val="000000"/>
                <w:sz w:val="16"/>
                <w:szCs w:val="16"/>
              </w:rPr>
            </w:pPr>
            <w:r w:rsidRPr="00CC7041">
              <w:rPr>
                <w:rFonts w:asciiTheme="majorBidi" w:hAnsiTheme="majorBidi" w:cstheme="majorBidi"/>
                <w:color w:val="000000"/>
                <w:sz w:val="16"/>
                <w:szCs w:val="16"/>
              </w:rPr>
              <w:t xml:space="preserve">[3] Firm does not provide consolidated statements – Case 2: Worldscope error </w:t>
            </w:r>
          </w:p>
          <w:p w14:paraId="379A8C41" w14:textId="77777777" w:rsidR="00286CD6" w:rsidRPr="00CC7041" w:rsidRDefault="00286CD6" w:rsidP="00B030DD">
            <w:pPr>
              <w:rPr>
                <w:rFonts w:asciiTheme="majorBidi" w:hAnsiTheme="majorBidi" w:cstheme="majorBidi"/>
                <w:color w:val="000000"/>
                <w:sz w:val="16"/>
                <w:szCs w:val="16"/>
              </w:rPr>
            </w:pPr>
            <w:r w:rsidRPr="00CC7041">
              <w:rPr>
                <w:rFonts w:asciiTheme="majorBidi" w:hAnsiTheme="majorBidi" w:cstheme="majorBidi"/>
                <w:color w:val="000000"/>
                <w:sz w:val="16"/>
                <w:szCs w:val="16"/>
              </w:rPr>
              <w:t> </w:t>
            </w:r>
          </w:p>
        </w:tc>
        <w:tc>
          <w:tcPr>
            <w:tcW w:w="141" w:type="pct"/>
            <w:tcBorders>
              <w:top w:val="nil"/>
              <w:left w:val="nil"/>
              <w:right w:val="nil"/>
            </w:tcBorders>
            <w:shd w:val="clear" w:color="000000" w:fill="FFFFFF"/>
          </w:tcPr>
          <w:p w14:paraId="4A64B87F" w14:textId="0D3E3172" w:rsidR="00286CD6" w:rsidRPr="00CC7041" w:rsidRDefault="00286CD6" w:rsidP="00B030DD">
            <w:pPr>
              <w:jc w:val="center"/>
              <w:rPr>
                <w:rFonts w:asciiTheme="majorBidi" w:hAnsiTheme="majorBidi" w:cstheme="majorBidi"/>
                <w:color w:val="000000"/>
                <w:sz w:val="16"/>
                <w:szCs w:val="16"/>
              </w:rPr>
            </w:pPr>
            <w:r>
              <w:rPr>
                <w:rFonts w:asciiTheme="majorBidi" w:hAnsiTheme="majorBidi" w:cstheme="majorBidi"/>
                <w:color w:val="000000"/>
                <w:sz w:val="16"/>
                <w:szCs w:val="16"/>
              </w:rPr>
              <w:t>N</w:t>
            </w:r>
          </w:p>
        </w:tc>
        <w:tc>
          <w:tcPr>
            <w:tcW w:w="245" w:type="pct"/>
            <w:tcBorders>
              <w:top w:val="nil"/>
              <w:left w:val="nil"/>
              <w:bottom w:val="nil"/>
              <w:right w:val="nil"/>
            </w:tcBorders>
            <w:shd w:val="clear" w:color="000000" w:fill="FFFFFF"/>
            <w:hideMark/>
          </w:tcPr>
          <w:p w14:paraId="3F035D6C" w14:textId="009E0CFB"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113</w:t>
            </w:r>
          </w:p>
        </w:tc>
        <w:tc>
          <w:tcPr>
            <w:tcW w:w="245" w:type="pct"/>
            <w:tcBorders>
              <w:top w:val="nil"/>
              <w:left w:val="nil"/>
              <w:bottom w:val="nil"/>
              <w:right w:val="nil"/>
            </w:tcBorders>
            <w:shd w:val="clear" w:color="000000" w:fill="FFFFFF"/>
            <w:hideMark/>
          </w:tcPr>
          <w:p w14:paraId="7F23E0D5"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77</w:t>
            </w:r>
          </w:p>
        </w:tc>
        <w:tc>
          <w:tcPr>
            <w:tcW w:w="245" w:type="pct"/>
            <w:tcBorders>
              <w:top w:val="nil"/>
              <w:left w:val="nil"/>
              <w:bottom w:val="nil"/>
              <w:right w:val="nil"/>
            </w:tcBorders>
            <w:shd w:val="clear" w:color="000000" w:fill="FFFFFF"/>
            <w:hideMark/>
          </w:tcPr>
          <w:p w14:paraId="1E753B19"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6</w:t>
            </w:r>
          </w:p>
        </w:tc>
        <w:tc>
          <w:tcPr>
            <w:tcW w:w="245" w:type="pct"/>
            <w:tcBorders>
              <w:top w:val="nil"/>
              <w:left w:val="nil"/>
              <w:bottom w:val="nil"/>
              <w:right w:val="nil"/>
            </w:tcBorders>
            <w:shd w:val="clear" w:color="000000" w:fill="FFFFFF"/>
            <w:hideMark/>
          </w:tcPr>
          <w:p w14:paraId="12690155"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w:t>
            </w:r>
          </w:p>
        </w:tc>
        <w:tc>
          <w:tcPr>
            <w:tcW w:w="245" w:type="pct"/>
            <w:tcBorders>
              <w:top w:val="nil"/>
              <w:left w:val="nil"/>
              <w:bottom w:val="nil"/>
              <w:right w:val="nil"/>
            </w:tcBorders>
            <w:shd w:val="clear" w:color="000000" w:fill="FFFFFF"/>
            <w:hideMark/>
          </w:tcPr>
          <w:p w14:paraId="6164C5C9"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31</w:t>
            </w:r>
          </w:p>
        </w:tc>
        <w:tc>
          <w:tcPr>
            <w:tcW w:w="245" w:type="pct"/>
            <w:tcBorders>
              <w:top w:val="nil"/>
              <w:left w:val="nil"/>
              <w:bottom w:val="nil"/>
              <w:right w:val="nil"/>
            </w:tcBorders>
            <w:shd w:val="clear" w:color="000000" w:fill="FFFFFF"/>
            <w:hideMark/>
          </w:tcPr>
          <w:p w14:paraId="72049ACA"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122</w:t>
            </w:r>
          </w:p>
        </w:tc>
        <w:tc>
          <w:tcPr>
            <w:tcW w:w="252" w:type="pct"/>
            <w:tcBorders>
              <w:top w:val="nil"/>
              <w:left w:val="nil"/>
              <w:bottom w:val="nil"/>
              <w:right w:val="nil"/>
            </w:tcBorders>
            <w:shd w:val="clear" w:color="000000" w:fill="FFFFFF"/>
            <w:hideMark/>
          </w:tcPr>
          <w:p w14:paraId="35B3315E"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154</w:t>
            </w:r>
          </w:p>
        </w:tc>
        <w:tc>
          <w:tcPr>
            <w:tcW w:w="94" w:type="pct"/>
            <w:tcBorders>
              <w:top w:val="nil"/>
              <w:left w:val="nil"/>
              <w:bottom w:val="nil"/>
              <w:right w:val="nil"/>
            </w:tcBorders>
            <w:shd w:val="clear" w:color="000000" w:fill="FFFFFF"/>
          </w:tcPr>
          <w:p w14:paraId="113776A1"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3679B1E6" w14:textId="03167FF4"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w:t>
            </w:r>
          </w:p>
        </w:tc>
        <w:tc>
          <w:tcPr>
            <w:tcW w:w="245" w:type="pct"/>
            <w:tcBorders>
              <w:top w:val="nil"/>
              <w:left w:val="nil"/>
              <w:bottom w:val="nil"/>
              <w:right w:val="nil"/>
            </w:tcBorders>
            <w:shd w:val="clear" w:color="000000" w:fill="FFFFFF"/>
            <w:hideMark/>
          </w:tcPr>
          <w:p w14:paraId="75AA9AB8"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47</w:t>
            </w:r>
          </w:p>
        </w:tc>
        <w:tc>
          <w:tcPr>
            <w:tcW w:w="246" w:type="pct"/>
            <w:tcBorders>
              <w:top w:val="nil"/>
              <w:left w:val="nil"/>
              <w:bottom w:val="nil"/>
              <w:right w:val="nil"/>
            </w:tcBorders>
            <w:shd w:val="clear" w:color="000000" w:fill="FFFFFF"/>
            <w:hideMark/>
          </w:tcPr>
          <w:p w14:paraId="2CFE80B4"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14</w:t>
            </w:r>
          </w:p>
        </w:tc>
        <w:tc>
          <w:tcPr>
            <w:tcW w:w="94" w:type="pct"/>
            <w:tcBorders>
              <w:top w:val="nil"/>
              <w:left w:val="nil"/>
              <w:bottom w:val="nil"/>
              <w:right w:val="nil"/>
            </w:tcBorders>
            <w:shd w:val="clear" w:color="000000" w:fill="FFFFFF"/>
          </w:tcPr>
          <w:p w14:paraId="02133F2D"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3A9C369C" w14:textId="29C83E85"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93</w:t>
            </w:r>
          </w:p>
        </w:tc>
        <w:tc>
          <w:tcPr>
            <w:tcW w:w="245" w:type="pct"/>
            <w:tcBorders>
              <w:top w:val="nil"/>
              <w:left w:val="nil"/>
              <w:bottom w:val="nil"/>
              <w:right w:val="nil"/>
            </w:tcBorders>
            <w:shd w:val="clear" w:color="000000" w:fill="FFFFFF"/>
            <w:hideMark/>
          </w:tcPr>
          <w:p w14:paraId="15E7C183"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30</w:t>
            </w:r>
          </w:p>
        </w:tc>
        <w:tc>
          <w:tcPr>
            <w:tcW w:w="246" w:type="pct"/>
            <w:tcBorders>
              <w:top w:val="nil"/>
              <w:left w:val="nil"/>
              <w:bottom w:val="nil"/>
              <w:right w:val="nil"/>
            </w:tcBorders>
            <w:shd w:val="clear" w:color="000000" w:fill="FFFFFF"/>
            <w:hideMark/>
          </w:tcPr>
          <w:p w14:paraId="76F772F6"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17</w:t>
            </w:r>
          </w:p>
        </w:tc>
        <w:tc>
          <w:tcPr>
            <w:tcW w:w="94" w:type="pct"/>
            <w:tcBorders>
              <w:top w:val="nil"/>
              <w:left w:val="nil"/>
              <w:bottom w:val="nil"/>
              <w:right w:val="nil"/>
            </w:tcBorders>
            <w:shd w:val="clear" w:color="000000" w:fill="FFFFFF"/>
          </w:tcPr>
          <w:p w14:paraId="2EE6C2D1" w14:textId="77777777" w:rsidR="00286CD6" w:rsidRPr="00CC7041" w:rsidRDefault="00286CD6" w:rsidP="00D94DA1">
            <w:pPr>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4BE67E85" w14:textId="1DC52345"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122</w:t>
            </w:r>
          </w:p>
        </w:tc>
        <w:tc>
          <w:tcPr>
            <w:tcW w:w="231" w:type="pct"/>
            <w:gridSpan w:val="2"/>
            <w:tcBorders>
              <w:top w:val="nil"/>
              <w:left w:val="nil"/>
              <w:bottom w:val="nil"/>
              <w:right w:val="nil"/>
            </w:tcBorders>
            <w:shd w:val="clear" w:color="000000" w:fill="FFFFFF"/>
          </w:tcPr>
          <w:p w14:paraId="31B9127B" w14:textId="57948760"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154</w:t>
            </w:r>
          </w:p>
        </w:tc>
      </w:tr>
      <w:tr w:rsidR="00286CD6" w:rsidRPr="00106C1D" w14:paraId="7C7D2A9F" w14:textId="2406D66C" w:rsidTr="00286CD6">
        <w:trPr>
          <w:trHeight w:val="452"/>
        </w:trPr>
        <w:tc>
          <w:tcPr>
            <w:tcW w:w="906" w:type="pct"/>
            <w:vMerge/>
            <w:tcBorders>
              <w:left w:val="nil"/>
              <w:bottom w:val="nil"/>
              <w:right w:val="nil"/>
            </w:tcBorders>
            <w:shd w:val="clear" w:color="000000" w:fill="FFFFFF"/>
          </w:tcPr>
          <w:p w14:paraId="084FA010" w14:textId="77777777" w:rsidR="00286CD6" w:rsidRPr="00CC7041" w:rsidRDefault="00286CD6" w:rsidP="00B030DD">
            <w:pPr>
              <w:rPr>
                <w:rFonts w:asciiTheme="majorBidi" w:hAnsiTheme="majorBidi" w:cstheme="majorBidi"/>
                <w:color w:val="000000"/>
                <w:sz w:val="16"/>
                <w:szCs w:val="16"/>
              </w:rPr>
            </w:pPr>
          </w:p>
        </w:tc>
        <w:tc>
          <w:tcPr>
            <w:tcW w:w="141" w:type="pct"/>
            <w:tcBorders>
              <w:left w:val="nil"/>
              <w:bottom w:val="nil"/>
              <w:right w:val="nil"/>
            </w:tcBorders>
            <w:shd w:val="clear" w:color="000000" w:fill="FFFFFF"/>
          </w:tcPr>
          <w:p w14:paraId="40E548C1" w14:textId="7FCAE3F7" w:rsidR="00286CD6" w:rsidRPr="00CC7041" w:rsidRDefault="00286CD6" w:rsidP="00B030DD">
            <w:pPr>
              <w:jc w:val="center"/>
              <w:rPr>
                <w:rFonts w:asciiTheme="majorBidi" w:hAnsiTheme="majorBidi" w:cstheme="majorBidi"/>
                <w:color w:val="000000"/>
                <w:sz w:val="16"/>
                <w:szCs w:val="16"/>
              </w:rPr>
            </w:pPr>
            <w:r>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71BC401B" w14:textId="16E490D0"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45.6</w:t>
            </w:r>
          </w:p>
        </w:tc>
        <w:tc>
          <w:tcPr>
            <w:tcW w:w="245" w:type="pct"/>
            <w:tcBorders>
              <w:top w:val="nil"/>
              <w:left w:val="nil"/>
              <w:bottom w:val="nil"/>
              <w:right w:val="nil"/>
            </w:tcBorders>
            <w:shd w:val="clear" w:color="000000" w:fill="FFFFFF"/>
          </w:tcPr>
          <w:p w14:paraId="5DF431C9" w14:textId="5994327C"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w:t>
            </w:r>
            <w:r>
              <w:rPr>
                <w:rFonts w:asciiTheme="majorBidi" w:hAnsiTheme="majorBidi" w:cstheme="majorBidi"/>
                <w:color w:val="000000"/>
                <w:sz w:val="16"/>
                <w:szCs w:val="16"/>
              </w:rPr>
              <w:t>2</w:t>
            </w:r>
          </w:p>
        </w:tc>
        <w:tc>
          <w:tcPr>
            <w:tcW w:w="245" w:type="pct"/>
            <w:tcBorders>
              <w:top w:val="nil"/>
              <w:left w:val="nil"/>
              <w:bottom w:val="nil"/>
              <w:right w:val="nil"/>
            </w:tcBorders>
            <w:shd w:val="clear" w:color="000000" w:fill="FFFFFF"/>
          </w:tcPr>
          <w:p w14:paraId="7C26CE19" w14:textId="25619E5C"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75</w:t>
            </w:r>
          </w:p>
        </w:tc>
        <w:tc>
          <w:tcPr>
            <w:tcW w:w="245" w:type="pct"/>
            <w:tcBorders>
              <w:top w:val="nil"/>
              <w:left w:val="nil"/>
              <w:bottom w:val="nil"/>
              <w:right w:val="nil"/>
            </w:tcBorders>
            <w:shd w:val="clear" w:color="000000" w:fill="FFFFFF"/>
          </w:tcPr>
          <w:p w14:paraId="77BD8C5D" w14:textId="2D04E4B3"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66.7</w:t>
            </w:r>
          </w:p>
        </w:tc>
        <w:tc>
          <w:tcPr>
            <w:tcW w:w="245" w:type="pct"/>
            <w:tcBorders>
              <w:top w:val="nil"/>
              <w:left w:val="nil"/>
              <w:bottom w:val="nil"/>
              <w:right w:val="nil"/>
            </w:tcBorders>
            <w:shd w:val="clear" w:color="000000" w:fill="FFFFFF"/>
          </w:tcPr>
          <w:p w14:paraId="3DBED295" w14:textId="2FC66020"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w:t>
            </w:r>
            <w:r>
              <w:rPr>
                <w:rFonts w:asciiTheme="majorBidi" w:hAnsiTheme="majorBidi" w:cstheme="majorBidi"/>
                <w:color w:val="000000"/>
                <w:sz w:val="16"/>
                <w:szCs w:val="16"/>
              </w:rPr>
              <w:t>7</w:t>
            </w:r>
          </w:p>
        </w:tc>
        <w:tc>
          <w:tcPr>
            <w:tcW w:w="245" w:type="pct"/>
            <w:tcBorders>
              <w:top w:val="nil"/>
              <w:left w:val="nil"/>
              <w:bottom w:val="nil"/>
              <w:right w:val="nil"/>
            </w:tcBorders>
            <w:shd w:val="clear" w:color="000000" w:fill="FFFFFF"/>
          </w:tcPr>
          <w:p w14:paraId="5CA16F46" w14:textId="68626ED5"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57</w:t>
            </w:r>
          </w:p>
        </w:tc>
        <w:tc>
          <w:tcPr>
            <w:tcW w:w="252" w:type="pct"/>
            <w:tcBorders>
              <w:top w:val="nil"/>
              <w:left w:val="nil"/>
              <w:bottom w:val="nil"/>
              <w:right w:val="nil"/>
            </w:tcBorders>
            <w:shd w:val="clear" w:color="000000" w:fill="FFFFFF"/>
          </w:tcPr>
          <w:p w14:paraId="3836C5C5" w14:textId="2342DEF6"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87</w:t>
            </w:r>
          </w:p>
        </w:tc>
        <w:tc>
          <w:tcPr>
            <w:tcW w:w="94" w:type="pct"/>
            <w:tcBorders>
              <w:top w:val="nil"/>
              <w:left w:val="nil"/>
              <w:bottom w:val="nil"/>
              <w:right w:val="nil"/>
            </w:tcBorders>
            <w:shd w:val="clear" w:color="000000" w:fill="FFFFFF"/>
          </w:tcPr>
          <w:p w14:paraId="71C75FCC"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tcPr>
          <w:p w14:paraId="284DDB47" w14:textId="17CEC0CE"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52.6</w:t>
            </w:r>
          </w:p>
        </w:tc>
        <w:tc>
          <w:tcPr>
            <w:tcW w:w="245" w:type="pct"/>
            <w:tcBorders>
              <w:top w:val="nil"/>
              <w:left w:val="nil"/>
              <w:bottom w:val="nil"/>
              <w:right w:val="nil"/>
            </w:tcBorders>
            <w:shd w:val="clear" w:color="000000" w:fill="FFFFFF"/>
          </w:tcPr>
          <w:p w14:paraId="4DE1FBEC" w14:textId="096D31B1"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32.</w:t>
            </w:r>
            <w:r>
              <w:rPr>
                <w:rFonts w:asciiTheme="majorBidi" w:hAnsiTheme="majorBidi" w:cstheme="majorBidi"/>
                <w:color w:val="000000"/>
                <w:sz w:val="16"/>
                <w:szCs w:val="16"/>
              </w:rPr>
              <w:t>2</w:t>
            </w:r>
          </w:p>
        </w:tc>
        <w:tc>
          <w:tcPr>
            <w:tcW w:w="246" w:type="pct"/>
            <w:tcBorders>
              <w:top w:val="nil"/>
              <w:left w:val="nil"/>
              <w:bottom w:val="nil"/>
              <w:right w:val="nil"/>
            </w:tcBorders>
            <w:shd w:val="clear" w:color="000000" w:fill="FFFFFF"/>
          </w:tcPr>
          <w:p w14:paraId="718A715C" w14:textId="3D18146A"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7.1</w:t>
            </w:r>
          </w:p>
        </w:tc>
        <w:tc>
          <w:tcPr>
            <w:tcW w:w="94" w:type="pct"/>
            <w:tcBorders>
              <w:top w:val="nil"/>
              <w:left w:val="nil"/>
              <w:bottom w:val="nil"/>
              <w:right w:val="nil"/>
            </w:tcBorders>
            <w:shd w:val="clear" w:color="000000" w:fill="FFFFFF"/>
          </w:tcPr>
          <w:p w14:paraId="2885B827"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tcPr>
          <w:p w14:paraId="672BD473" w14:textId="376B4012"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44.</w:t>
            </w:r>
            <w:r>
              <w:rPr>
                <w:rFonts w:asciiTheme="majorBidi" w:hAnsiTheme="majorBidi" w:cstheme="majorBidi"/>
                <w:color w:val="000000"/>
                <w:sz w:val="16"/>
                <w:szCs w:val="16"/>
              </w:rPr>
              <w:t>3</w:t>
            </w:r>
          </w:p>
        </w:tc>
        <w:tc>
          <w:tcPr>
            <w:tcW w:w="245" w:type="pct"/>
            <w:tcBorders>
              <w:top w:val="nil"/>
              <w:left w:val="nil"/>
              <w:bottom w:val="nil"/>
              <w:right w:val="nil"/>
            </w:tcBorders>
            <w:shd w:val="clear" w:color="000000" w:fill="FFFFFF"/>
          </w:tcPr>
          <w:p w14:paraId="17822DB3" w14:textId="623B1238"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31.</w:t>
            </w:r>
            <w:r>
              <w:rPr>
                <w:rFonts w:asciiTheme="majorBidi" w:hAnsiTheme="majorBidi" w:cstheme="majorBidi"/>
                <w:color w:val="000000"/>
                <w:sz w:val="16"/>
                <w:szCs w:val="16"/>
              </w:rPr>
              <w:t>6</w:t>
            </w:r>
          </w:p>
        </w:tc>
        <w:tc>
          <w:tcPr>
            <w:tcW w:w="246" w:type="pct"/>
            <w:tcBorders>
              <w:top w:val="nil"/>
              <w:left w:val="nil"/>
              <w:bottom w:val="nil"/>
              <w:right w:val="nil"/>
            </w:tcBorders>
            <w:shd w:val="clear" w:color="000000" w:fill="FFFFFF"/>
          </w:tcPr>
          <w:p w14:paraId="781FF168" w14:textId="0F36DA65"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8.2</w:t>
            </w:r>
          </w:p>
        </w:tc>
        <w:tc>
          <w:tcPr>
            <w:tcW w:w="94" w:type="pct"/>
            <w:tcBorders>
              <w:top w:val="nil"/>
              <w:left w:val="nil"/>
              <w:bottom w:val="nil"/>
              <w:right w:val="nil"/>
            </w:tcBorders>
            <w:shd w:val="clear" w:color="000000" w:fill="FFFFFF"/>
          </w:tcPr>
          <w:p w14:paraId="76482A26" w14:textId="77777777" w:rsidR="00286CD6" w:rsidRPr="00CC7041" w:rsidRDefault="00286CD6" w:rsidP="00D94DA1">
            <w:pPr>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174E95DB" w14:textId="65CCA0F8"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57</w:t>
            </w:r>
          </w:p>
        </w:tc>
        <w:tc>
          <w:tcPr>
            <w:tcW w:w="231" w:type="pct"/>
            <w:gridSpan w:val="2"/>
            <w:tcBorders>
              <w:top w:val="nil"/>
              <w:left w:val="nil"/>
              <w:bottom w:val="nil"/>
              <w:right w:val="nil"/>
            </w:tcBorders>
            <w:shd w:val="clear" w:color="000000" w:fill="FFFFFF"/>
          </w:tcPr>
          <w:p w14:paraId="355CA9A1" w14:textId="2C89F035"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87</w:t>
            </w:r>
          </w:p>
        </w:tc>
      </w:tr>
      <w:tr w:rsidR="00286CD6" w:rsidRPr="00106C1D" w14:paraId="1926BE85" w14:textId="3EE44866" w:rsidTr="00286CD6">
        <w:trPr>
          <w:trHeight w:val="245"/>
        </w:trPr>
        <w:tc>
          <w:tcPr>
            <w:tcW w:w="906" w:type="pct"/>
            <w:vMerge w:val="restart"/>
            <w:tcBorders>
              <w:top w:val="nil"/>
              <w:left w:val="nil"/>
              <w:right w:val="nil"/>
            </w:tcBorders>
            <w:shd w:val="clear" w:color="000000" w:fill="FFFFFF"/>
            <w:hideMark/>
          </w:tcPr>
          <w:p w14:paraId="68D9221A" w14:textId="77777777" w:rsidR="00286CD6" w:rsidRPr="00CC7041" w:rsidRDefault="00286CD6" w:rsidP="00B030DD">
            <w:pPr>
              <w:rPr>
                <w:rFonts w:asciiTheme="majorBidi" w:hAnsiTheme="majorBidi" w:cstheme="majorBidi"/>
                <w:color w:val="000000"/>
                <w:sz w:val="16"/>
                <w:szCs w:val="16"/>
              </w:rPr>
            </w:pPr>
            <w:r w:rsidRPr="00CC7041">
              <w:rPr>
                <w:rFonts w:asciiTheme="majorBidi" w:hAnsiTheme="majorBidi" w:cstheme="majorBidi"/>
                <w:color w:val="000000"/>
                <w:sz w:val="16"/>
                <w:szCs w:val="16"/>
              </w:rPr>
              <w:t xml:space="preserve">[4] Firm provides IFRS statements (but Worldscope records a different GAAP) </w:t>
            </w:r>
          </w:p>
          <w:p w14:paraId="6CFE2186" w14:textId="77777777" w:rsidR="00286CD6" w:rsidRPr="00CC7041" w:rsidRDefault="00286CD6" w:rsidP="00B030DD">
            <w:pPr>
              <w:rPr>
                <w:rFonts w:asciiTheme="majorBidi" w:hAnsiTheme="majorBidi" w:cstheme="majorBidi"/>
                <w:color w:val="000000"/>
                <w:sz w:val="16"/>
                <w:szCs w:val="16"/>
              </w:rPr>
            </w:pPr>
            <w:r w:rsidRPr="00CC7041">
              <w:rPr>
                <w:rFonts w:asciiTheme="majorBidi" w:hAnsiTheme="majorBidi" w:cstheme="majorBidi"/>
                <w:color w:val="000000"/>
                <w:sz w:val="16"/>
                <w:szCs w:val="16"/>
              </w:rPr>
              <w:t> </w:t>
            </w:r>
          </w:p>
        </w:tc>
        <w:tc>
          <w:tcPr>
            <w:tcW w:w="141" w:type="pct"/>
            <w:tcBorders>
              <w:top w:val="nil"/>
              <w:left w:val="nil"/>
              <w:right w:val="nil"/>
            </w:tcBorders>
            <w:shd w:val="clear" w:color="000000" w:fill="FFFFFF"/>
          </w:tcPr>
          <w:p w14:paraId="1EF7793F" w14:textId="4D333FD1" w:rsidR="00286CD6" w:rsidRPr="00CC7041" w:rsidRDefault="00286CD6" w:rsidP="00B030DD">
            <w:pPr>
              <w:jc w:val="center"/>
              <w:rPr>
                <w:rFonts w:asciiTheme="majorBidi" w:hAnsiTheme="majorBidi" w:cstheme="majorBidi"/>
                <w:color w:val="000000"/>
                <w:sz w:val="16"/>
                <w:szCs w:val="16"/>
              </w:rPr>
            </w:pPr>
            <w:r>
              <w:rPr>
                <w:rFonts w:asciiTheme="majorBidi" w:hAnsiTheme="majorBidi" w:cstheme="majorBidi"/>
                <w:color w:val="000000"/>
                <w:sz w:val="16"/>
                <w:szCs w:val="16"/>
              </w:rPr>
              <w:t>N</w:t>
            </w:r>
          </w:p>
        </w:tc>
        <w:tc>
          <w:tcPr>
            <w:tcW w:w="245" w:type="pct"/>
            <w:tcBorders>
              <w:top w:val="nil"/>
              <w:left w:val="nil"/>
              <w:bottom w:val="nil"/>
              <w:right w:val="nil"/>
            </w:tcBorders>
            <w:shd w:val="clear" w:color="000000" w:fill="FFFFFF"/>
            <w:hideMark/>
          </w:tcPr>
          <w:p w14:paraId="6C5908F7" w14:textId="3724EF2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6</w:t>
            </w:r>
          </w:p>
        </w:tc>
        <w:tc>
          <w:tcPr>
            <w:tcW w:w="245" w:type="pct"/>
            <w:tcBorders>
              <w:top w:val="nil"/>
              <w:left w:val="nil"/>
              <w:bottom w:val="nil"/>
              <w:right w:val="nil"/>
            </w:tcBorders>
            <w:shd w:val="clear" w:color="000000" w:fill="FFFFFF"/>
            <w:hideMark/>
          </w:tcPr>
          <w:p w14:paraId="2EB9CC2A"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6</w:t>
            </w:r>
          </w:p>
        </w:tc>
        <w:tc>
          <w:tcPr>
            <w:tcW w:w="245" w:type="pct"/>
            <w:tcBorders>
              <w:top w:val="nil"/>
              <w:left w:val="nil"/>
              <w:bottom w:val="nil"/>
              <w:right w:val="nil"/>
            </w:tcBorders>
            <w:shd w:val="clear" w:color="000000" w:fill="FFFFFF"/>
            <w:hideMark/>
          </w:tcPr>
          <w:p w14:paraId="28DA3868"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56B2BCC1"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22002330"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w:t>
            </w:r>
          </w:p>
        </w:tc>
        <w:tc>
          <w:tcPr>
            <w:tcW w:w="245" w:type="pct"/>
            <w:tcBorders>
              <w:top w:val="nil"/>
              <w:left w:val="nil"/>
              <w:bottom w:val="nil"/>
              <w:right w:val="nil"/>
            </w:tcBorders>
            <w:shd w:val="clear" w:color="000000" w:fill="FFFFFF"/>
            <w:hideMark/>
          </w:tcPr>
          <w:p w14:paraId="7A52B190"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w:t>
            </w:r>
          </w:p>
        </w:tc>
        <w:tc>
          <w:tcPr>
            <w:tcW w:w="252" w:type="pct"/>
            <w:tcBorders>
              <w:top w:val="nil"/>
              <w:left w:val="nil"/>
              <w:bottom w:val="nil"/>
              <w:right w:val="nil"/>
            </w:tcBorders>
            <w:shd w:val="clear" w:color="000000" w:fill="FFFFFF"/>
            <w:hideMark/>
          </w:tcPr>
          <w:p w14:paraId="5172EC4E"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8</w:t>
            </w:r>
          </w:p>
        </w:tc>
        <w:tc>
          <w:tcPr>
            <w:tcW w:w="94" w:type="pct"/>
            <w:tcBorders>
              <w:top w:val="nil"/>
              <w:left w:val="nil"/>
              <w:bottom w:val="nil"/>
              <w:right w:val="nil"/>
            </w:tcBorders>
            <w:shd w:val="clear" w:color="000000" w:fill="FFFFFF"/>
          </w:tcPr>
          <w:p w14:paraId="564BB228"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40E04414" w14:textId="08B30176"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w:t>
            </w:r>
          </w:p>
        </w:tc>
        <w:tc>
          <w:tcPr>
            <w:tcW w:w="245" w:type="pct"/>
            <w:tcBorders>
              <w:top w:val="nil"/>
              <w:left w:val="nil"/>
              <w:bottom w:val="nil"/>
              <w:right w:val="nil"/>
            </w:tcBorders>
            <w:shd w:val="clear" w:color="000000" w:fill="FFFFFF"/>
            <w:hideMark/>
          </w:tcPr>
          <w:p w14:paraId="76A081A3"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w:t>
            </w:r>
          </w:p>
        </w:tc>
        <w:tc>
          <w:tcPr>
            <w:tcW w:w="246" w:type="pct"/>
            <w:tcBorders>
              <w:top w:val="nil"/>
              <w:left w:val="nil"/>
              <w:bottom w:val="nil"/>
              <w:right w:val="nil"/>
            </w:tcBorders>
            <w:shd w:val="clear" w:color="000000" w:fill="FFFFFF"/>
            <w:hideMark/>
          </w:tcPr>
          <w:p w14:paraId="069A4A45"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w:t>
            </w:r>
          </w:p>
        </w:tc>
        <w:tc>
          <w:tcPr>
            <w:tcW w:w="94" w:type="pct"/>
            <w:tcBorders>
              <w:top w:val="nil"/>
              <w:left w:val="nil"/>
              <w:bottom w:val="nil"/>
              <w:right w:val="nil"/>
            </w:tcBorders>
            <w:shd w:val="clear" w:color="000000" w:fill="FFFFFF"/>
          </w:tcPr>
          <w:p w14:paraId="05536BDB"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681FFCE0" w14:textId="2CF670D5"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w:t>
            </w:r>
          </w:p>
        </w:tc>
        <w:tc>
          <w:tcPr>
            <w:tcW w:w="245" w:type="pct"/>
            <w:tcBorders>
              <w:top w:val="nil"/>
              <w:left w:val="nil"/>
              <w:bottom w:val="nil"/>
              <w:right w:val="nil"/>
            </w:tcBorders>
            <w:shd w:val="clear" w:color="000000" w:fill="FFFFFF"/>
            <w:hideMark/>
          </w:tcPr>
          <w:p w14:paraId="2E3505FA"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w:t>
            </w:r>
          </w:p>
        </w:tc>
        <w:tc>
          <w:tcPr>
            <w:tcW w:w="246" w:type="pct"/>
            <w:tcBorders>
              <w:top w:val="nil"/>
              <w:left w:val="nil"/>
              <w:bottom w:val="nil"/>
              <w:right w:val="nil"/>
            </w:tcBorders>
            <w:shd w:val="clear" w:color="000000" w:fill="FFFFFF"/>
            <w:hideMark/>
          </w:tcPr>
          <w:p w14:paraId="4333112D"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94" w:type="pct"/>
            <w:tcBorders>
              <w:top w:val="nil"/>
              <w:left w:val="nil"/>
              <w:bottom w:val="nil"/>
              <w:right w:val="nil"/>
            </w:tcBorders>
            <w:shd w:val="clear" w:color="000000" w:fill="FFFFFF"/>
          </w:tcPr>
          <w:p w14:paraId="32258B87" w14:textId="77777777" w:rsidR="00286CD6" w:rsidRPr="00CC7041" w:rsidRDefault="00286CD6" w:rsidP="00D94DA1">
            <w:pPr>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37F559D9" w14:textId="4985EEC3"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w:t>
            </w:r>
          </w:p>
        </w:tc>
        <w:tc>
          <w:tcPr>
            <w:tcW w:w="231" w:type="pct"/>
            <w:gridSpan w:val="2"/>
            <w:tcBorders>
              <w:top w:val="nil"/>
              <w:left w:val="nil"/>
              <w:bottom w:val="nil"/>
              <w:right w:val="nil"/>
            </w:tcBorders>
            <w:shd w:val="clear" w:color="000000" w:fill="FFFFFF"/>
          </w:tcPr>
          <w:p w14:paraId="56BA52C3" w14:textId="24DED66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8</w:t>
            </w:r>
          </w:p>
        </w:tc>
      </w:tr>
      <w:tr w:rsidR="00286CD6" w:rsidRPr="00106C1D" w14:paraId="153FC70F" w14:textId="4505D749" w:rsidTr="00286CD6">
        <w:trPr>
          <w:trHeight w:val="415"/>
        </w:trPr>
        <w:tc>
          <w:tcPr>
            <w:tcW w:w="906" w:type="pct"/>
            <w:vMerge/>
            <w:tcBorders>
              <w:left w:val="nil"/>
              <w:bottom w:val="nil"/>
              <w:right w:val="nil"/>
            </w:tcBorders>
            <w:shd w:val="clear" w:color="000000" w:fill="FFFFFF"/>
          </w:tcPr>
          <w:p w14:paraId="7E67BF9E" w14:textId="77777777" w:rsidR="00286CD6" w:rsidRPr="00CC7041" w:rsidRDefault="00286CD6" w:rsidP="00B030DD">
            <w:pPr>
              <w:rPr>
                <w:rFonts w:asciiTheme="majorBidi" w:hAnsiTheme="majorBidi" w:cstheme="majorBidi"/>
                <w:color w:val="000000"/>
                <w:sz w:val="16"/>
                <w:szCs w:val="16"/>
              </w:rPr>
            </w:pPr>
          </w:p>
        </w:tc>
        <w:tc>
          <w:tcPr>
            <w:tcW w:w="141" w:type="pct"/>
            <w:tcBorders>
              <w:left w:val="nil"/>
              <w:bottom w:val="nil"/>
              <w:right w:val="nil"/>
            </w:tcBorders>
            <w:shd w:val="clear" w:color="000000" w:fill="FFFFFF"/>
          </w:tcPr>
          <w:p w14:paraId="08AD849D" w14:textId="7483F3AB" w:rsidR="00286CD6" w:rsidRPr="00CC7041" w:rsidRDefault="00286CD6" w:rsidP="00B030DD">
            <w:pPr>
              <w:jc w:val="center"/>
              <w:rPr>
                <w:rFonts w:asciiTheme="majorBidi" w:hAnsiTheme="majorBidi" w:cstheme="majorBidi"/>
                <w:color w:val="000000"/>
                <w:sz w:val="16"/>
                <w:szCs w:val="16"/>
              </w:rPr>
            </w:pPr>
            <w:r>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6D2EFF4A" w14:textId="42D0FDCA"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2.4</w:t>
            </w:r>
          </w:p>
        </w:tc>
        <w:tc>
          <w:tcPr>
            <w:tcW w:w="245" w:type="pct"/>
            <w:tcBorders>
              <w:top w:val="nil"/>
              <w:left w:val="nil"/>
              <w:bottom w:val="nil"/>
              <w:right w:val="nil"/>
            </w:tcBorders>
            <w:shd w:val="clear" w:color="000000" w:fill="FFFFFF"/>
          </w:tcPr>
          <w:p w14:paraId="3F04B37E" w14:textId="66A514BC"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r>
              <w:rPr>
                <w:rFonts w:asciiTheme="majorBidi" w:hAnsiTheme="majorBidi" w:cstheme="majorBidi"/>
                <w:color w:val="000000"/>
                <w:sz w:val="16"/>
                <w:szCs w:val="16"/>
              </w:rPr>
              <w:t>5</w:t>
            </w:r>
          </w:p>
        </w:tc>
        <w:tc>
          <w:tcPr>
            <w:tcW w:w="245" w:type="pct"/>
            <w:tcBorders>
              <w:top w:val="nil"/>
              <w:left w:val="nil"/>
              <w:bottom w:val="nil"/>
              <w:right w:val="nil"/>
            </w:tcBorders>
            <w:shd w:val="clear" w:color="000000" w:fill="FFFFFF"/>
          </w:tcPr>
          <w:p w14:paraId="3266BB1F"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2A255FA4"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76D2E613" w14:textId="66194EC8"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0.</w:t>
            </w:r>
            <w:r>
              <w:rPr>
                <w:rFonts w:asciiTheme="majorBidi" w:hAnsiTheme="majorBidi" w:cstheme="majorBidi"/>
                <w:color w:val="000000"/>
                <w:sz w:val="16"/>
                <w:szCs w:val="16"/>
              </w:rPr>
              <w:t>3</w:t>
            </w:r>
          </w:p>
        </w:tc>
        <w:tc>
          <w:tcPr>
            <w:tcW w:w="245" w:type="pct"/>
            <w:tcBorders>
              <w:top w:val="nil"/>
              <w:left w:val="nil"/>
              <w:bottom w:val="nil"/>
              <w:right w:val="nil"/>
            </w:tcBorders>
            <w:shd w:val="clear" w:color="000000" w:fill="FFFFFF"/>
          </w:tcPr>
          <w:p w14:paraId="13D15C65" w14:textId="73F02A5E"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1.4</w:t>
            </w:r>
          </w:p>
        </w:tc>
        <w:tc>
          <w:tcPr>
            <w:tcW w:w="252" w:type="pct"/>
            <w:tcBorders>
              <w:top w:val="nil"/>
              <w:left w:val="nil"/>
              <w:bottom w:val="nil"/>
              <w:right w:val="nil"/>
            </w:tcBorders>
            <w:shd w:val="clear" w:color="000000" w:fill="FFFFFF"/>
          </w:tcPr>
          <w:p w14:paraId="61D23AF9" w14:textId="5F963E93"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4.5</w:t>
            </w:r>
          </w:p>
        </w:tc>
        <w:tc>
          <w:tcPr>
            <w:tcW w:w="94" w:type="pct"/>
            <w:tcBorders>
              <w:top w:val="nil"/>
              <w:left w:val="nil"/>
              <w:bottom w:val="nil"/>
              <w:right w:val="nil"/>
            </w:tcBorders>
            <w:shd w:val="clear" w:color="000000" w:fill="FFFFFF"/>
          </w:tcPr>
          <w:p w14:paraId="2DD0F436"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tcPr>
          <w:p w14:paraId="592D49B5" w14:textId="30FE7B6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w:t>
            </w:r>
            <w:r>
              <w:rPr>
                <w:rFonts w:asciiTheme="majorBidi" w:hAnsiTheme="majorBidi" w:cstheme="majorBidi"/>
                <w:color w:val="000000"/>
                <w:sz w:val="16"/>
                <w:szCs w:val="16"/>
              </w:rPr>
              <w:t>9</w:t>
            </w:r>
          </w:p>
        </w:tc>
        <w:tc>
          <w:tcPr>
            <w:tcW w:w="245" w:type="pct"/>
            <w:tcBorders>
              <w:top w:val="nil"/>
              <w:left w:val="nil"/>
              <w:bottom w:val="nil"/>
              <w:right w:val="nil"/>
            </w:tcBorders>
            <w:shd w:val="clear" w:color="000000" w:fill="FFFFFF"/>
          </w:tcPr>
          <w:p w14:paraId="39718A22" w14:textId="60A4F305"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0.</w:t>
            </w:r>
            <w:r>
              <w:rPr>
                <w:rFonts w:asciiTheme="majorBidi" w:hAnsiTheme="majorBidi" w:cstheme="majorBidi"/>
                <w:color w:val="000000"/>
                <w:sz w:val="16"/>
                <w:szCs w:val="16"/>
              </w:rPr>
              <w:t>7</w:t>
            </w:r>
          </w:p>
        </w:tc>
        <w:tc>
          <w:tcPr>
            <w:tcW w:w="246" w:type="pct"/>
            <w:tcBorders>
              <w:top w:val="nil"/>
              <w:left w:val="nil"/>
              <w:bottom w:val="nil"/>
              <w:right w:val="nil"/>
            </w:tcBorders>
            <w:shd w:val="clear" w:color="000000" w:fill="FFFFFF"/>
          </w:tcPr>
          <w:p w14:paraId="53CD0AF9" w14:textId="330BE980"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0.5</w:t>
            </w:r>
          </w:p>
        </w:tc>
        <w:tc>
          <w:tcPr>
            <w:tcW w:w="94" w:type="pct"/>
            <w:tcBorders>
              <w:top w:val="nil"/>
              <w:left w:val="nil"/>
              <w:bottom w:val="nil"/>
              <w:right w:val="nil"/>
            </w:tcBorders>
            <w:shd w:val="clear" w:color="000000" w:fill="FFFFFF"/>
          </w:tcPr>
          <w:p w14:paraId="564C3982"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tcPr>
          <w:p w14:paraId="7C2ADD60" w14:textId="6C5D672E"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1.4</w:t>
            </w:r>
          </w:p>
        </w:tc>
        <w:tc>
          <w:tcPr>
            <w:tcW w:w="245" w:type="pct"/>
            <w:tcBorders>
              <w:top w:val="nil"/>
              <w:left w:val="nil"/>
              <w:bottom w:val="nil"/>
              <w:right w:val="nil"/>
            </w:tcBorders>
            <w:shd w:val="clear" w:color="000000" w:fill="FFFFFF"/>
          </w:tcPr>
          <w:p w14:paraId="137BB3CC" w14:textId="68D0C7E0"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w:t>
            </w:r>
            <w:r>
              <w:rPr>
                <w:rFonts w:asciiTheme="majorBidi" w:hAnsiTheme="majorBidi" w:cstheme="majorBidi"/>
                <w:color w:val="000000"/>
                <w:sz w:val="16"/>
                <w:szCs w:val="16"/>
              </w:rPr>
              <w:t>3</w:t>
            </w:r>
          </w:p>
        </w:tc>
        <w:tc>
          <w:tcPr>
            <w:tcW w:w="246" w:type="pct"/>
            <w:tcBorders>
              <w:top w:val="nil"/>
              <w:left w:val="nil"/>
              <w:bottom w:val="nil"/>
              <w:right w:val="nil"/>
            </w:tcBorders>
            <w:shd w:val="clear" w:color="000000" w:fill="FFFFFF"/>
          </w:tcPr>
          <w:p w14:paraId="0BAD5FC5"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94" w:type="pct"/>
            <w:tcBorders>
              <w:top w:val="nil"/>
              <w:left w:val="nil"/>
              <w:bottom w:val="nil"/>
              <w:right w:val="nil"/>
            </w:tcBorders>
            <w:shd w:val="clear" w:color="000000" w:fill="FFFFFF"/>
          </w:tcPr>
          <w:p w14:paraId="297B0B57" w14:textId="77777777" w:rsidR="00286CD6" w:rsidRPr="00CC7041" w:rsidRDefault="00286CD6" w:rsidP="00D94DA1">
            <w:pPr>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2E6F505C" w14:textId="656687F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1.4</w:t>
            </w:r>
          </w:p>
        </w:tc>
        <w:tc>
          <w:tcPr>
            <w:tcW w:w="231" w:type="pct"/>
            <w:gridSpan w:val="2"/>
            <w:tcBorders>
              <w:top w:val="nil"/>
              <w:left w:val="nil"/>
              <w:bottom w:val="nil"/>
              <w:right w:val="nil"/>
            </w:tcBorders>
            <w:shd w:val="clear" w:color="000000" w:fill="FFFFFF"/>
          </w:tcPr>
          <w:p w14:paraId="0C20DA33" w14:textId="4B907544"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4.5</w:t>
            </w:r>
          </w:p>
        </w:tc>
      </w:tr>
      <w:tr w:rsidR="00286CD6" w:rsidRPr="00106C1D" w14:paraId="1D4E0501" w14:textId="635F7F5D" w:rsidTr="00286CD6">
        <w:trPr>
          <w:trHeight w:val="245"/>
        </w:trPr>
        <w:tc>
          <w:tcPr>
            <w:tcW w:w="906" w:type="pct"/>
            <w:vMerge w:val="restart"/>
            <w:tcBorders>
              <w:top w:val="nil"/>
              <w:left w:val="nil"/>
              <w:right w:val="nil"/>
            </w:tcBorders>
            <w:shd w:val="clear" w:color="000000" w:fill="FFFFFF"/>
            <w:hideMark/>
          </w:tcPr>
          <w:p w14:paraId="4AC450A8" w14:textId="77777777" w:rsidR="00286CD6" w:rsidRPr="00CC7041" w:rsidRDefault="00286CD6" w:rsidP="00B030DD">
            <w:pPr>
              <w:rPr>
                <w:rFonts w:asciiTheme="majorBidi" w:hAnsiTheme="majorBidi" w:cstheme="majorBidi"/>
                <w:color w:val="000000"/>
                <w:sz w:val="16"/>
                <w:szCs w:val="16"/>
              </w:rPr>
            </w:pPr>
            <w:r w:rsidRPr="00CC7041">
              <w:rPr>
                <w:rFonts w:asciiTheme="majorBidi" w:hAnsiTheme="majorBidi" w:cstheme="majorBidi"/>
                <w:color w:val="000000"/>
                <w:sz w:val="16"/>
                <w:szCs w:val="16"/>
              </w:rPr>
              <w:t xml:space="preserve">[5] Firm not listed in the year (although Worldscope contains accounting data) </w:t>
            </w:r>
          </w:p>
          <w:p w14:paraId="68571E70" w14:textId="77777777" w:rsidR="00286CD6" w:rsidRPr="00CC7041" w:rsidRDefault="00286CD6" w:rsidP="00B030DD">
            <w:pPr>
              <w:rPr>
                <w:rFonts w:asciiTheme="majorBidi" w:hAnsiTheme="majorBidi" w:cstheme="majorBidi"/>
                <w:color w:val="000000"/>
                <w:sz w:val="16"/>
                <w:szCs w:val="16"/>
              </w:rPr>
            </w:pPr>
            <w:r w:rsidRPr="00CC7041">
              <w:rPr>
                <w:rFonts w:asciiTheme="majorBidi" w:hAnsiTheme="majorBidi" w:cstheme="majorBidi"/>
                <w:color w:val="000000"/>
                <w:sz w:val="16"/>
                <w:szCs w:val="16"/>
              </w:rPr>
              <w:t> </w:t>
            </w:r>
          </w:p>
        </w:tc>
        <w:tc>
          <w:tcPr>
            <w:tcW w:w="141" w:type="pct"/>
            <w:tcBorders>
              <w:top w:val="nil"/>
              <w:left w:val="nil"/>
              <w:right w:val="nil"/>
            </w:tcBorders>
            <w:shd w:val="clear" w:color="000000" w:fill="FFFFFF"/>
          </w:tcPr>
          <w:p w14:paraId="3F879E66" w14:textId="20ABD514" w:rsidR="00286CD6" w:rsidRPr="00CC7041" w:rsidRDefault="00286CD6" w:rsidP="00B030DD">
            <w:pPr>
              <w:jc w:val="center"/>
              <w:rPr>
                <w:rFonts w:asciiTheme="majorBidi" w:hAnsiTheme="majorBidi" w:cstheme="majorBidi"/>
                <w:color w:val="000000"/>
                <w:sz w:val="16"/>
                <w:szCs w:val="16"/>
              </w:rPr>
            </w:pPr>
            <w:r>
              <w:rPr>
                <w:rFonts w:asciiTheme="majorBidi" w:hAnsiTheme="majorBidi" w:cstheme="majorBidi"/>
                <w:color w:val="000000"/>
                <w:sz w:val="16"/>
                <w:szCs w:val="16"/>
              </w:rPr>
              <w:t>N</w:t>
            </w:r>
          </w:p>
        </w:tc>
        <w:tc>
          <w:tcPr>
            <w:tcW w:w="245" w:type="pct"/>
            <w:tcBorders>
              <w:top w:val="nil"/>
              <w:left w:val="nil"/>
              <w:bottom w:val="nil"/>
              <w:right w:val="nil"/>
            </w:tcBorders>
            <w:shd w:val="clear" w:color="000000" w:fill="FFFFFF"/>
            <w:hideMark/>
          </w:tcPr>
          <w:p w14:paraId="71378D9E" w14:textId="03C534CF"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w:t>
            </w:r>
          </w:p>
        </w:tc>
        <w:tc>
          <w:tcPr>
            <w:tcW w:w="245" w:type="pct"/>
            <w:tcBorders>
              <w:top w:val="nil"/>
              <w:left w:val="nil"/>
              <w:bottom w:val="nil"/>
              <w:right w:val="nil"/>
            </w:tcBorders>
            <w:shd w:val="clear" w:color="000000" w:fill="FFFFFF"/>
            <w:hideMark/>
          </w:tcPr>
          <w:p w14:paraId="7B40EBEB"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p>
        </w:tc>
        <w:tc>
          <w:tcPr>
            <w:tcW w:w="245" w:type="pct"/>
            <w:tcBorders>
              <w:top w:val="nil"/>
              <w:left w:val="nil"/>
              <w:bottom w:val="nil"/>
              <w:right w:val="nil"/>
            </w:tcBorders>
            <w:shd w:val="clear" w:color="000000" w:fill="FFFFFF"/>
            <w:hideMark/>
          </w:tcPr>
          <w:p w14:paraId="04A78A97"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2A7C6BD8"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0241FEA9"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w:t>
            </w:r>
          </w:p>
        </w:tc>
        <w:tc>
          <w:tcPr>
            <w:tcW w:w="245" w:type="pct"/>
            <w:tcBorders>
              <w:top w:val="nil"/>
              <w:left w:val="nil"/>
              <w:bottom w:val="nil"/>
              <w:right w:val="nil"/>
            </w:tcBorders>
            <w:shd w:val="clear" w:color="000000" w:fill="FFFFFF"/>
            <w:hideMark/>
          </w:tcPr>
          <w:p w14:paraId="38D34DEC"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w:t>
            </w:r>
          </w:p>
        </w:tc>
        <w:tc>
          <w:tcPr>
            <w:tcW w:w="252" w:type="pct"/>
            <w:tcBorders>
              <w:top w:val="nil"/>
              <w:left w:val="nil"/>
              <w:bottom w:val="nil"/>
              <w:right w:val="nil"/>
            </w:tcBorders>
            <w:shd w:val="clear" w:color="000000" w:fill="FFFFFF"/>
            <w:hideMark/>
          </w:tcPr>
          <w:p w14:paraId="1D6116E1"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p>
        </w:tc>
        <w:tc>
          <w:tcPr>
            <w:tcW w:w="94" w:type="pct"/>
            <w:tcBorders>
              <w:top w:val="nil"/>
              <w:left w:val="nil"/>
              <w:bottom w:val="nil"/>
              <w:right w:val="nil"/>
            </w:tcBorders>
            <w:shd w:val="clear" w:color="000000" w:fill="FFFFFF"/>
          </w:tcPr>
          <w:p w14:paraId="5693DC99"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30B76C70" w14:textId="443594A2"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07C7CF18"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6" w:type="pct"/>
            <w:tcBorders>
              <w:top w:val="nil"/>
              <w:left w:val="nil"/>
              <w:bottom w:val="nil"/>
              <w:right w:val="nil"/>
            </w:tcBorders>
            <w:shd w:val="clear" w:color="000000" w:fill="FFFFFF"/>
            <w:hideMark/>
          </w:tcPr>
          <w:p w14:paraId="17608D5C"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94" w:type="pct"/>
            <w:tcBorders>
              <w:top w:val="nil"/>
              <w:left w:val="nil"/>
              <w:bottom w:val="nil"/>
              <w:right w:val="nil"/>
            </w:tcBorders>
            <w:shd w:val="clear" w:color="000000" w:fill="FFFFFF"/>
          </w:tcPr>
          <w:p w14:paraId="5417604B"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6E1BBA64" w14:textId="45471C59"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w:t>
            </w:r>
          </w:p>
        </w:tc>
        <w:tc>
          <w:tcPr>
            <w:tcW w:w="245" w:type="pct"/>
            <w:tcBorders>
              <w:top w:val="nil"/>
              <w:left w:val="nil"/>
              <w:bottom w:val="nil"/>
              <w:right w:val="nil"/>
            </w:tcBorders>
            <w:shd w:val="clear" w:color="000000" w:fill="FFFFFF"/>
            <w:hideMark/>
          </w:tcPr>
          <w:p w14:paraId="38CA8278"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p>
        </w:tc>
        <w:tc>
          <w:tcPr>
            <w:tcW w:w="246" w:type="pct"/>
            <w:tcBorders>
              <w:top w:val="nil"/>
              <w:left w:val="nil"/>
              <w:bottom w:val="nil"/>
              <w:right w:val="nil"/>
            </w:tcBorders>
            <w:shd w:val="clear" w:color="000000" w:fill="FFFFFF"/>
            <w:hideMark/>
          </w:tcPr>
          <w:p w14:paraId="4BFBFE0D"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w:t>
            </w:r>
          </w:p>
        </w:tc>
        <w:tc>
          <w:tcPr>
            <w:tcW w:w="94" w:type="pct"/>
            <w:tcBorders>
              <w:top w:val="nil"/>
              <w:left w:val="nil"/>
              <w:bottom w:val="nil"/>
              <w:right w:val="nil"/>
            </w:tcBorders>
            <w:shd w:val="clear" w:color="000000" w:fill="FFFFFF"/>
          </w:tcPr>
          <w:p w14:paraId="6396DEC6" w14:textId="77777777" w:rsidR="00286CD6" w:rsidRPr="00CC7041" w:rsidRDefault="00286CD6" w:rsidP="00D94DA1">
            <w:pPr>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374172FE" w14:textId="706EBEB3"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w:t>
            </w:r>
          </w:p>
        </w:tc>
        <w:tc>
          <w:tcPr>
            <w:tcW w:w="231" w:type="pct"/>
            <w:gridSpan w:val="2"/>
            <w:tcBorders>
              <w:top w:val="nil"/>
              <w:left w:val="nil"/>
              <w:bottom w:val="nil"/>
              <w:right w:val="nil"/>
            </w:tcBorders>
            <w:shd w:val="clear" w:color="000000" w:fill="FFFFFF"/>
          </w:tcPr>
          <w:p w14:paraId="61A5EC66" w14:textId="44C8E772"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p>
        </w:tc>
      </w:tr>
      <w:tr w:rsidR="00286CD6" w:rsidRPr="00106C1D" w14:paraId="173FFAED" w14:textId="356AE830" w:rsidTr="00286CD6">
        <w:trPr>
          <w:trHeight w:val="294"/>
        </w:trPr>
        <w:tc>
          <w:tcPr>
            <w:tcW w:w="906" w:type="pct"/>
            <w:vMerge/>
            <w:tcBorders>
              <w:left w:val="nil"/>
              <w:bottom w:val="nil"/>
              <w:right w:val="nil"/>
            </w:tcBorders>
            <w:shd w:val="clear" w:color="000000" w:fill="FFFFFF"/>
          </w:tcPr>
          <w:p w14:paraId="5522A764" w14:textId="77777777" w:rsidR="00286CD6" w:rsidRPr="00CC7041" w:rsidRDefault="00286CD6" w:rsidP="00B030DD">
            <w:pPr>
              <w:rPr>
                <w:rFonts w:asciiTheme="majorBidi" w:hAnsiTheme="majorBidi" w:cstheme="majorBidi"/>
                <w:color w:val="000000"/>
                <w:sz w:val="16"/>
                <w:szCs w:val="16"/>
              </w:rPr>
            </w:pPr>
          </w:p>
        </w:tc>
        <w:tc>
          <w:tcPr>
            <w:tcW w:w="141" w:type="pct"/>
            <w:tcBorders>
              <w:left w:val="nil"/>
              <w:bottom w:val="nil"/>
              <w:right w:val="nil"/>
            </w:tcBorders>
            <w:shd w:val="clear" w:color="000000" w:fill="FFFFFF"/>
          </w:tcPr>
          <w:p w14:paraId="0460CD32" w14:textId="1113928B" w:rsidR="00286CD6" w:rsidRPr="00CC7041" w:rsidRDefault="00286CD6" w:rsidP="00B030DD">
            <w:pPr>
              <w:jc w:val="center"/>
              <w:rPr>
                <w:rFonts w:asciiTheme="majorBidi" w:hAnsiTheme="majorBidi" w:cstheme="majorBidi"/>
                <w:color w:val="000000"/>
                <w:sz w:val="16"/>
                <w:szCs w:val="16"/>
              </w:rPr>
            </w:pPr>
            <w:r>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2D7C91BA" w14:textId="7FEF9162"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1.6</w:t>
            </w:r>
          </w:p>
        </w:tc>
        <w:tc>
          <w:tcPr>
            <w:tcW w:w="245" w:type="pct"/>
            <w:tcBorders>
              <w:top w:val="nil"/>
              <w:left w:val="nil"/>
              <w:bottom w:val="nil"/>
              <w:right w:val="nil"/>
            </w:tcBorders>
            <w:shd w:val="clear" w:color="000000" w:fill="FFFFFF"/>
          </w:tcPr>
          <w:p w14:paraId="1EEF63B7" w14:textId="24A95B15"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0.8</w:t>
            </w:r>
          </w:p>
        </w:tc>
        <w:tc>
          <w:tcPr>
            <w:tcW w:w="245" w:type="pct"/>
            <w:tcBorders>
              <w:top w:val="nil"/>
              <w:left w:val="nil"/>
              <w:bottom w:val="nil"/>
              <w:right w:val="nil"/>
            </w:tcBorders>
            <w:shd w:val="clear" w:color="000000" w:fill="FFFFFF"/>
          </w:tcPr>
          <w:p w14:paraId="60D12078"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51D79640"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56ABFC5A" w14:textId="1017FF7C" w:rsidR="00286CD6" w:rsidRPr="00CC7041" w:rsidRDefault="00286CD6" w:rsidP="00D94DA1">
            <w:pPr>
              <w:jc w:val="center"/>
              <w:rPr>
                <w:rFonts w:asciiTheme="majorBidi" w:hAnsiTheme="majorBidi" w:cstheme="majorBidi"/>
                <w:color w:val="000000"/>
                <w:sz w:val="16"/>
                <w:szCs w:val="16"/>
              </w:rPr>
            </w:pPr>
            <w:r>
              <w:rPr>
                <w:rFonts w:asciiTheme="majorBidi" w:hAnsiTheme="majorBidi" w:cstheme="majorBidi"/>
                <w:color w:val="000000"/>
                <w:sz w:val="16"/>
                <w:szCs w:val="16"/>
              </w:rPr>
              <w:t>1</w:t>
            </w:r>
          </w:p>
        </w:tc>
        <w:tc>
          <w:tcPr>
            <w:tcW w:w="245" w:type="pct"/>
            <w:tcBorders>
              <w:top w:val="nil"/>
              <w:left w:val="nil"/>
              <w:bottom w:val="nil"/>
              <w:right w:val="nil"/>
            </w:tcBorders>
            <w:shd w:val="clear" w:color="000000" w:fill="FFFFFF"/>
          </w:tcPr>
          <w:p w14:paraId="1EFCE024" w14:textId="03B0FD23"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w:t>
            </w:r>
            <w:r>
              <w:rPr>
                <w:rFonts w:asciiTheme="majorBidi" w:hAnsiTheme="majorBidi" w:cstheme="majorBidi"/>
                <w:color w:val="000000"/>
                <w:sz w:val="16"/>
                <w:szCs w:val="16"/>
              </w:rPr>
              <w:t>3</w:t>
            </w:r>
          </w:p>
        </w:tc>
        <w:tc>
          <w:tcPr>
            <w:tcW w:w="252" w:type="pct"/>
            <w:tcBorders>
              <w:top w:val="nil"/>
              <w:left w:val="nil"/>
              <w:bottom w:val="nil"/>
              <w:right w:val="nil"/>
            </w:tcBorders>
            <w:shd w:val="clear" w:color="000000" w:fill="FFFFFF"/>
          </w:tcPr>
          <w:p w14:paraId="662F7794" w14:textId="37EBC6F6"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1.1</w:t>
            </w:r>
          </w:p>
        </w:tc>
        <w:tc>
          <w:tcPr>
            <w:tcW w:w="94" w:type="pct"/>
            <w:tcBorders>
              <w:top w:val="nil"/>
              <w:left w:val="nil"/>
              <w:bottom w:val="nil"/>
              <w:right w:val="nil"/>
            </w:tcBorders>
            <w:shd w:val="clear" w:color="000000" w:fill="FFFFFF"/>
          </w:tcPr>
          <w:p w14:paraId="0F241CA8"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tcPr>
          <w:p w14:paraId="460B52F0" w14:textId="0182B9F2"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3B79A9CA"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6" w:type="pct"/>
            <w:tcBorders>
              <w:top w:val="nil"/>
              <w:left w:val="nil"/>
              <w:bottom w:val="nil"/>
              <w:right w:val="nil"/>
            </w:tcBorders>
            <w:shd w:val="clear" w:color="000000" w:fill="FFFFFF"/>
          </w:tcPr>
          <w:p w14:paraId="457373BD"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94" w:type="pct"/>
            <w:tcBorders>
              <w:top w:val="nil"/>
              <w:left w:val="nil"/>
              <w:bottom w:val="nil"/>
              <w:right w:val="nil"/>
            </w:tcBorders>
            <w:shd w:val="clear" w:color="000000" w:fill="FFFFFF"/>
          </w:tcPr>
          <w:p w14:paraId="6D2D2768"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tcPr>
          <w:p w14:paraId="792BECD4" w14:textId="1FD5EE8C"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1.9</w:t>
            </w:r>
          </w:p>
        </w:tc>
        <w:tc>
          <w:tcPr>
            <w:tcW w:w="245" w:type="pct"/>
            <w:tcBorders>
              <w:top w:val="nil"/>
              <w:left w:val="nil"/>
              <w:bottom w:val="nil"/>
              <w:right w:val="nil"/>
            </w:tcBorders>
            <w:shd w:val="clear" w:color="000000" w:fill="FFFFFF"/>
          </w:tcPr>
          <w:p w14:paraId="252972AF" w14:textId="0F2224DF"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2.1</w:t>
            </w:r>
          </w:p>
        </w:tc>
        <w:tc>
          <w:tcPr>
            <w:tcW w:w="246" w:type="pct"/>
            <w:tcBorders>
              <w:top w:val="nil"/>
              <w:left w:val="nil"/>
              <w:bottom w:val="nil"/>
              <w:right w:val="nil"/>
            </w:tcBorders>
            <w:shd w:val="clear" w:color="000000" w:fill="FFFFFF"/>
          </w:tcPr>
          <w:p w14:paraId="42216C2E" w14:textId="2BED34E3"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1.9</w:t>
            </w:r>
          </w:p>
        </w:tc>
        <w:tc>
          <w:tcPr>
            <w:tcW w:w="94" w:type="pct"/>
            <w:tcBorders>
              <w:top w:val="nil"/>
              <w:left w:val="nil"/>
              <w:bottom w:val="nil"/>
              <w:right w:val="nil"/>
            </w:tcBorders>
            <w:shd w:val="clear" w:color="000000" w:fill="FFFFFF"/>
          </w:tcPr>
          <w:p w14:paraId="000826FB" w14:textId="77777777" w:rsidR="00286CD6" w:rsidRPr="00CC7041" w:rsidRDefault="00286CD6" w:rsidP="00D94DA1">
            <w:pPr>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4BF2B88D" w14:textId="2DED349D"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w:t>
            </w:r>
            <w:r>
              <w:rPr>
                <w:rFonts w:asciiTheme="majorBidi" w:hAnsiTheme="majorBidi" w:cstheme="majorBidi"/>
                <w:color w:val="000000"/>
                <w:sz w:val="16"/>
                <w:szCs w:val="16"/>
              </w:rPr>
              <w:t>3</w:t>
            </w:r>
          </w:p>
        </w:tc>
        <w:tc>
          <w:tcPr>
            <w:tcW w:w="231" w:type="pct"/>
            <w:gridSpan w:val="2"/>
            <w:tcBorders>
              <w:top w:val="nil"/>
              <w:left w:val="nil"/>
              <w:bottom w:val="nil"/>
              <w:right w:val="nil"/>
            </w:tcBorders>
            <w:shd w:val="clear" w:color="000000" w:fill="FFFFFF"/>
          </w:tcPr>
          <w:p w14:paraId="615A38D3" w14:textId="5667B685"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1.1</w:t>
            </w:r>
          </w:p>
        </w:tc>
      </w:tr>
      <w:tr w:rsidR="00286CD6" w:rsidRPr="00106C1D" w14:paraId="3D494156" w14:textId="5D42EA1E" w:rsidTr="00286CD6">
        <w:trPr>
          <w:trHeight w:val="245"/>
        </w:trPr>
        <w:tc>
          <w:tcPr>
            <w:tcW w:w="906" w:type="pct"/>
            <w:vMerge w:val="restart"/>
            <w:tcBorders>
              <w:top w:val="nil"/>
              <w:left w:val="nil"/>
              <w:right w:val="nil"/>
            </w:tcBorders>
            <w:shd w:val="clear" w:color="000000" w:fill="FFFFFF"/>
            <w:hideMark/>
          </w:tcPr>
          <w:p w14:paraId="0C8A2440" w14:textId="77777777" w:rsidR="00286CD6" w:rsidRPr="00CC7041" w:rsidRDefault="00286CD6" w:rsidP="00B030DD">
            <w:pPr>
              <w:rPr>
                <w:rFonts w:asciiTheme="majorBidi" w:hAnsiTheme="majorBidi" w:cstheme="majorBidi"/>
                <w:color w:val="000000"/>
                <w:sz w:val="16"/>
                <w:szCs w:val="16"/>
              </w:rPr>
            </w:pPr>
            <w:r w:rsidRPr="00CC7041">
              <w:rPr>
                <w:rFonts w:asciiTheme="majorBidi" w:hAnsiTheme="majorBidi" w:cstheme="majorBidi"/>
                <w:color w:val="000000"/>
                <w:sz w:val="16"/>
                <w:szCs w:val="16"/>
              </w:rPr>
              <w:t xml:space="preserve">[6] Firm not listed on a market which requires IFRS </w:t>
            </w:r>
          </w:p>
          <w:p w14:paraId="2A9D7009" w14:textId="77777777" w:rsidR="00286CD6" w:rsidRPr="00CC7041" w:rsidRDefault="00286CD6" w:rsidP="00B030DD">
            <w:pPr>
              <w:rPr>
                <w:rFonts w:asciiTheme="majorBidi" w:hAnsiTheme="majorBidi" w:cstheme="majorBidi"/>
                <w:color w:val="000000"/>
                <w:sz w:val="16"/>
                <w:szCs w:val="16"/>
              </w:rPr>
            </w:pPr>
            <w:r w:rsidRPr="00CC7041">
              <w:rPr>
                <w:rFonts w:asciiTheme="majorBidi" w:hAnsiTheme="majorBidi" w:cstheme="majorBidi"/>
                <w:color w:val="000000"/>
                <w:sz w:val="16"/>
                <w:szCs w:val="16"/>
              </w:rPr>
              <w:t> </w:t>
            </w:r>
          </w:p>
        </w:tc>
        <w:tc>
          <w:tcPr>
            <w:tcW w:w="141" w:type="pct"/>
            <w:tcBorders>
              <w:top w:val="nil"/>
              <w:left w:val="nil"/>
              <w:right w:val="nil"/>
            </w:tcBorders>
            <w:shd w:val="clear" w:color="000000" w:fill="FFFFFF"/>
          </w:tcPr>
          <w:p w14:paraId="4AA82C6C" w14:textId="710B594B" w:rsidR="00286CD6" w:rsidRPr="00CC7041" w:rsidRDefault="00286CD6" w:rsidP="00B030DD">
            <w:pPr>
              <w:jc w:val="center"/>
              <w:rPr>
                <w:rFonts w:asciiTheme="majorBidi" w:hAnsiTheme="majorBidi" w:cstheme="majorBidi"/>
                <w:color w:val="000000"/>
                <w:sz w:val="16"/>
                <w:szCs w:val="16"/>
              </w:rPr>
            </w:pPr>
            <w:r>
              <w:rPr>
                <w:rFonts w:asciiTheme="majorBidi" w:hAnsiTheme="majorBidi" w:cstheme="majorBidi"/>
                <w:color w:val="000000"/>
                <w:sz w:val="16"/>
                <w:szCs w:val="16"/>
              </w:rPr>
              <w:t>N</w:t>
            </w:r>
          </w:p>
        </w:tc>
        <w:tc>
          <w:tcPr>
            <w:tcW w:w="245" w:type="pct"/>
            <w:tcBorders>
              <w:top w:val="nil"/>
              <w:left w:val="nil"/>
              <w:bottom w:val="nil"/>
              <w:right w:val="nil"/>
            </w:tcBorders>
            <w:shd w:val="clear" w:color="000000" w:fill="FFFFFF"/>
            <w:hideMark/>
          </w:tcPr>
          <w:p w14:paraId="74DFD95D" w14:textId="10ACA7A5"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72</w:t>
            </w:r>
          </w:p>
        </w:tc>
        <w:tc>
          <w:tcPr>
            <w:tcW w:w="245" w:type="pct"/>
            <w:tcBorders>
              <w:top w:val="nil"/>
              <w:left w:val="nil"/>
              <w:bottom w:val="nil"/>
              <w:right w:val="nil"/>
            </w:tcBorders>
            <w:shd w:val="clear" w:color="000000" w:fill="FFFFFF"/>
            <w:hideMark/>
          </w:tcPr>
          <w:p w14:paraId="4AA2CBA8"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29</w:t>
            </w:r>
          </w:p>
        </w:tc>
        <w:tc>
          <w:tcPr>
            <w:tcW w:w="245" w:type="pct"/>
            <w:tcBorders>
              <w:top w:val="nil"/>
              <w:left w:val="nil"/>
              <w:bottom w:val="nil"/>
              <w:right w:val="nil"/>
            </w:tcBorders>
            <w:shd w:val="clear" w:color="000000" w:fill="FFFFFF"/>
            <w:hideMark/>
          </w:tcPr>
          <w:p w14:paraId="626BC412"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5B4DD0C9"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p>
        </w:tc>
        <w:tc>
          <w:tcPr>
            <w:tcW w:w="245" w:type="pct"/>
            <w:tcBorders>
              <w:top w:val="nil"/>
              <w:left w:val="nil"/>
              <w:bottom w:val="nil"/>
              <w:right w:val="nil"/>
            </w:tcBorders>
            <w:shd w:val="clear" w:color="000000" w:fill="FFFFFF"/>
            <w:hideMark/>
          </w:tcPr>
          <w:p w14:paraId="534F9E96"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60</w:t>
            </w:r>
          </w:p>
        </w:tc>
        <w:tc>
          <w:tcPr>
            <w:tcW w:w="245" w:type="pct"/>
            <w:tcBorders>
              <w:top w:val="nil"/>
              <w:left w:val="nil"/>
              <w:bottom w:val="nil"/>
              <w:right w:val="nil"/>
            </w:tcBorders>
            <w:shd w:val="clear" w:color="000000" w:fill="FFFFFF"/>
            <w:hideMark/>
          </w:tcPr>
          <w:p w14:paraId="3083CC17"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73</w:t>
            </w:r>
          </w:p>
        </w:tc>
        <w:tc>
          <w:tcPr>
            <w:tcW w:w="252" w:type="pct"/>
            <w:tcBorders>
              <w:top w:val="nil"/>
              <w:left w:val="nil"/>
              <w:bottom w:val="nil"/>
              <w:right w:val="nil"/>
            </w:tcBorders>
            <w:shd w:val="clear" w:color="000000" w:fill="FFFFFF"/>
            <w:hideMark/>
          </w:tcPr>
          <w:p w14:paraId="4B3961E6"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9</w:t>
            </w:r>
          </w:p>
        </w:tc>
        <w:tc>
          <w:tcPr>
            <w:tcW w:w="94" w:type="pct"/>
            <w:tcBorders>
              <w:top w:val="nil"/>
              <w:left w:val="nil"/>
              <w:bottom w:val="nil"/>
              <w:right w:val="nil"/>
            </w:tcBorders>
            <w:shd w:val="clear" w:color="000000" w:fill="FFFFFF"/>
          </w:tcPr>
          <w:p w14:paraId="0ADA69DB"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736DA2B2" w14:textId="776C2528"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w:t>
            </w:r>
          </w:p>
        </w:tc>
        <w:tc>
          <w:tcPr>
            <w:tcW w:w="245" w:type="pct"/>
            <w:tcBorders>
              <w:top w:val="nil"/>
              <w:left w:val="nil"/>
              <w:bottom w:val="nil"/>
              <w:right w:val="nil"/>
            </w:tcBorders>
            <w:shd w:val="clear" w:color="000000" w:fill="FFFFFF"/>
            <w:hideMark/>
          </w:tcPr>
          <w:p w14:paraId="50078751"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6" w:type="pct"/>
            <w:tcBorders>
              <w:top w:val="nil"/>
              <w:left w:val="nil"/>
              <w:bottom w:val="nil"/>
              <w:right w:val="nil"/>
            </w:tcBorders>
            <w:shd w:val="clear" w:color="000000" w:fill="FFFFFF"/>
            <w:hideMark/>
          </w:tcPr>
          <w:p w14:paraId="4BDF039E"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94" w:type="pct"/>
            <w:tcBorders>
              <w:top w:val="nil"/>
              <w:left w:val="nil"/>
              <w:bottom w:val="nil"/>
              <w:right w:val="nil"/>
            </w:tcBorders>
            <w:shd w:val="clear" w:color="000000" w:fill="FFFFFF"/>
          </w:tcPr>
          <w:p w14:paraId="558A87FD"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459AB265" w14:textId="784DA39C"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71</w:t>
            </w:r>
          </w:p>
        </w:tc>
        <w:tc>
          <w:tcPr>
            <w:tcW w:w="245" w:type="pct"/>
            <w:tcBorders>
              <w:top w:val="nil"/>
              <w:left w:val="nil"/>
              <w:bottom w:val="nil"/>
              <w:right w:val="nil"/>
            </w:tcBorders>
            <w:shd w:val="clear" w:color="000000" w:fill="FFFFFF"/>
            <w:hideMark/>
          </w:tcPr>
          <w:p w14:paraId="5ABA990B"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29</w:t>
            </w:r>
          </w:p>
        </w:tc>
        <w:tc>
          <w:tcPr>
            <w:tcW w:w="246" w:type="pct"/>
            <w:tcBorders>
              <w:top w:val="nil"/>
              <w:left w:val="nil"/>
              <w:bottom w:val="nil"/>
              <w:right w:val="nil"/>
            </w:tcBorders>
            <w:shd w:val="clear" w:color="000000" w:fill="FFFFFF"/>
            <w:hideMark/>
          </w:tcPr>
          <w:p w14:paraId="438E185B"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60</w:t>
            </w:r>
          </w:p>
        </w:tc>
        <w:tc>
          <w:tcPr>
            <w:tcW w:w="94" w:type="pct"/>
            <w:tcBorders>
              <w:top w:val="nil"/>
              <w:left w:val="nil"/>
              <w:bottom w:val="nil"/>
              <w:right w:val="nil"/>
            </w:tcBorders>
            <w:shd w:val="clear" w:color="000000" w:fill="FFFFFF"/>
          </w:tcPr>
          <w:p w14:paraId="5A8CF660" w14:textId="77777777" w:rsidR="00286CD6" w:rsidRPr="00CC7041" w:rsidRDefault="00286CD6" w:rsidP="00D94DA1">
            <w:pPr>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206C77F3" w14:textId="53CC2AA6"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73</w:t>
            </w:r>
          </w:p>
        </w:tc>
        <w:tc>
          <w:tcPr>
            <w:tcW w:w="231" w:type="pct"/>
            <w:gridSpan w:val="2"/>
            <w:tcBorders>
              <w:top w:val="nil"/>
              <w:left w:val="nil"/>
              <w:bottom w:val="nil"/>
              <w:right w:val="nil"/>
            </w:tcBorders>
            <w:shd w:val="clear" w:color="000000" w:fill="FFFFFF"/>
          </w:tcPr>
          <w:p w14:paraId="6B1C5737" w14:textId="14F4F310"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9</w:t>
            </w:r>
          </w:p>
        </w:tc>
      </w:tr>
      <w:tr w:rsidR="00286CD6" w:rsidRPr="00106C1D" w14:paraId="70B25B0D" w14:textId="394ABC69" w:rsidTr="001261D7">
        <w:trPr>
          <w:trHeight w:val="245"/>
        </w:trPr>
        <w:tc>
          <w:tcPr>
            <w:tcW w:w="906" w:type="pct"/>
            <w:vMerge/>
            <w:tcBorders>
              <w:left w:val="nil"/>
              <w:bottom w:val="single" w:sz="4" w:space="0" w:color="auto"/>
              <w:right w:val="nil"/>
            </w:tcBorders>
            <w:shd w:val="clear" w:color="000000" w:fill="FFFFFF"/>
          </w:tcPr>
          <w:p w14:paraId="3E5C57C2" w14:textId="77777777" w:rsidR="00286CD6" w:rsidRPr="00CC7041" w:rsidRDefault="00286CD6" w:rsidP="00B030DD">
            <w:pPr>
              <w:rPr>
                <w:rFonts w:asciiTheme="majorBidi" w:hAnsiTheme="majorBidi" w:cstheme="majorBidi"/>
                <w:color w:val="000000"/>
                <w:sz w:val="16"/>
                <w:szCs w:val="16"/>
              </w:rPr>
            </w:pPr>
          </w:p>
        </w:tc>
        <w:tc>
          <w:tcPr>
            <w:tcW w:w="141" w:type="pct"/>
            <w:tcBorders>
              <w:left w:val="nil"/>
              <w:bottom w:val="single" w:sz="4" w:space="0" w:color="auto"/>
              <w:right w:val="nil"/>
            </w:tcBorders>
            <w:shd w:val="clear" w:color="000000" w:fill="FFFFFF"/>
          </w:tcPr>
          <w:p w14:paraId="601C28B1" w14:textId="3CD74828" w:rsidR="00286CD6" w:rsidRPr="00CC7041" w:rsidRDefault="00286CD6" w:rsidP="00B030DD">
            <w:pPr>
              <w:jc w:val="center"/>
              <w:rPr>
                <w:rFonts w:asciiTheme="majorBidi" w:hAnsiTheme="majorBidi" w:cstheme="majorBidi"/>
                <w:color w:val="000000"/>
                <w:sz w:val="16"/>
                <w:szCs w:val="16"/>
              </w:rPr>
            </w:pPr>
            <w:r>
              <w:rPr>
                <w:rFonts w:asciiTheme="majorBidi" w:hAnsiTheme="majorBidi" w:cstheme="majorBidi"/>
                <w:color w:val="000000"/>
                <w:sz w:val="16"/>
                <w:szCs w:val="16"/>
              </w:rPr>
              <w:t>%</w:t>
            </w:r>
          </w:p>
        </w:tc>
        <w:tc>
          <w:tcPr>
            <w:tcW w:w="245" w:type="pct"/>
            <w:tcBorders>
              <w:top w:val="nil"/>
              <w:left w:val="nil"/>
              <w:bottom w:val="single" w:sz="4" w:space="0" w:color="auto"/>
              <w:right w:val="nil"/>
            </w:tcBorders>
            <w:shd w:val="clear" w:color="000000" w:fill="FFFFFF"/>
          </w:tcPr>
          <w:p w14:paraId="779F8D4F" w14:textId="63D1E68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29</w:t>
            </w:r>
          </w:p>
        </w:tc>
        <w:tc>
          <w:tcPr>
            <w:tcW w:w="245" w:type="pct"/>
            <w:tcBorders>
              <w:top w:val="nil"/>
              <w:left w:val="nil"/>
              <w:bottom w:val="single" w:sz="4" w:space="0" w:color="auto"/>
              <w:right w:val="nil"/>
            </w:tcBorders>
            <w:shd w:val="clear" w:color="000000" w:fill="FFFFFF"/>
          </w:tcPr>
          <w:p w14:paraId="3EFCF5C1" w14:textId="0685BD8F"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12</w:t>
            </w:r>
          </w:p>
        </w:tc>
        <w:tc>
          <w:tcPr>
            <w:tcW w:w="245" w:type="pct"/>
            <w:tcBorders>
              <w:top w:val="nil"/>
              <w:left w:val="nil"/>
              <w:bottom w:val="single" w:sz="4" w:space="0" w:color="auto"/>
              <w:right w:val="nil"/>
            </w:tcBorders>
            <w:shd w:val="clear" w:color="000000" w:fill="FFFFFF"/>
          </w:tcPr>
          <w:p w14:paraId="096CAFE1"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single" w:sz="4" w:space="0" w:color="auto"/>
              <w:right w:val="nil"/>
            </w:tcBorders>
            <w:shd w:val="clear" w:color="000000" w:fill="FFFFFF"/>
          </w:tcPr>
          <w:p w14:paraId="29A3F826" w14:textId="53C5DBBC"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33.3</w:t>
            </w:r>
          </w:p>
        </w:tc>
        <w:tc>
          <w:tcPr>
            <w:tcW w:w="245" w:type="pct"/>
            <w:tcBorders>
              <w:top w:val="nil"/>
              <w:left w:val="nil"/>
              <w:bottom w:val="single" w:sz="4" w:space="0" w:color="auto"/>
              <w:right w:val="nil"/>
            </w:tcBorders>
            <w:shd w:val="clear" w:color="000000" w:fill="FFFFFF"/>
          </w:tcPr>
          <w:p w14:paraId="12738021" w14:textId="688B8B65"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14.</w:t>
            </w:r>
            <w:r>
              <w:rPr>
                <w:rFonts w:asciiTheme="majorBidi" w:hAnsiTheme="majorBidi" w:cstheme="majorBidi"/>
                <w:color w:val="000000"/>
                <w:sz w:val="16"/>
                <w:szCs w:val="16"/>
              </w:rPr>
              <w:t>9</w:t>
            </w:r>
          </w:p>
        </w:tc>
        <w:tc>
          <w:tcPr>
            <w:tcW w:w="245" w:type="pct"/>
            <w:tcBorders>
              <w:top w:val="nil"/>
              <w:left w:val="nil"/>
              <w:bottom w:val="single" w:sz="4" w:space="0" w:color="auto"/>
              <w:right w:val="nil"/>
            </w:tcBorders>
            <w:shd w:val="clear" w:color="000000" w:fill="FFFFFF"/>
          </w:tcPr>
          <w:p w14:paraId="74073FE9" w14:textId="4C6F8233"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34.1</w:t>
            </w:r>
          </w:p>
        </w:tc>
        <w:tc>
          <w:tcPr>
            <w:tcW w:w="252" w:type="pct"/>
            <w:tcBorders>
              <w:top w:val="nil"/>
              <w:left w:val="nil"/>
              <w:bottom w:val="single" w:sz="4" w:space="0" w:color="auto"/>
              <w:right w:val="nil"/>
            </w:tcBorders>
            <w:shd w:val="clear" w:color="000000" w:fill="FFFFFF"/>
          </w:tcPr>
          <w:p w14:paraId="552BCA40" w14:textId="6CE2B691"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w:t>
            </w:r>
            <w:r>
              <w:rPr>
                <w:rFonts w:asciiTheme="majorBidi" w:hAnsiTheme="majorBidi" w:cstheme="majorBidi"/>
                <w:color w:val="000000"/>
                <w:sz w:val="16"/>
                <w:szCs w:val="16"/>
              </w:rPr>
              <w:t>1</w:t>
            </w:r>
          </w:p>
        </w:tc>
        <w:tc>
          <w:tcPr>
            <w:tcW w:w="94" w:type="pct"/>
            <w:tcBorders>
              <w:top w:val="nil"/>
              <w:left w:val="nil"/>
              <w:bottom w:val="single" w:sz="4" w:space="0" w:color="auto"/>
              <w:right w:val="nil"/>
            </w:tcBorders>
            <w:shd w:val="clear" w:color="000000" w:fill="FFFFFF"/>
          </w:tcPr>
          <w:p w14:paraId="5884EADF"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single" w:sz="4" w:space="0" w:color="auto"/>
              <w:right w:val="nil"/>
            </w:tcBorders>
            <w:shd w:val="clear" w:color="000000" w:fill="FFFFFF"/>
          </w:tcPr>
          <w:p w14:paraId="0BFAD5CA" w14:textId="781BAB3B"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2.6</w:t>
            </w:r>
          </w:p>
        </w:tc>
        <w:tc>
          <w:tcPr>
            <w:tcW w:w="245" w:type="pct"/>
            <w:tcBorders>
              <w:top w:val="nil"/>
              <w:left w:val="nil"/>
              <w:bottom w:val="single" w:sz="4" w:space="0" w:color="auto"/>
              <w:right w:val="nil"/>
            </w:tcBorders>
            <w:shd w:val="clear" w:color="000000" w:fill="FFFFFF"/>
          </w:tcPr>
          <w:p w14:paraId="30E8665F"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6" w:type="pct"/>
            <w:tcBorders>
              <w:top w:val="nil"/>
              <w:left w:val="nil"/>
              <w:bottom w:val="single" w:sz="4" w:space="0" w:color="auto"/>
              <w:right w:val="nil"/>
            </w:tcBorders>
            <w:shd w:val="clear" w:color="000000" w:fill="FFFFFF"/>
          </w:tcPr>
          <w:p w14:paraId="5EAC28FF" w14:textId="77777777"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94" w:type="pct"/>
            <w:tcBorders>
              <w:top w:val="nil"/>
              <w:left w:val="nil"/>
              <w:bottom w:val="single" w:sz="4" w:space="0" w:color="auto"/>
              <w:right w:val="nil"/>
            </w:tcBorders>
            <w:shd w:val="clear" w:color="000000" w:fill="FFFFFF"/>
          </w:tcPr>
          <w:p w14:paraId="2F995ACD" w14:textId="77777777" w:rsidR="00286CD6" w:rsidRPr="00CC7041" w:rsidRDefault="00286CD6" w:rsidP="00D94DA1">
            <w:pPr>
              <w:jc w:val="center"/>
              <w:rPr>
                <w:rFonts w:asciiTheme="majorBidi" w:hAnsiTheme="majorBidi" w:cstheme="majorBidi"/>
                <w:color w:val="000000"/>
                <w:sz w:val="16"/>
                <w:szCs w:val="16"/>
              </w:rPr>
            </w:pPr>
          </w:p>
        </w:tc>
        <w:tc>
          <w:tcPr>
            <w:tcW w:w="245" w:type="pct"/>
            <w:tcBorders>
              <w:top w:val="nil"/>
              <w:left w:val="nil"/>
              <w:bottom w:val="single" w:sz="4" w:space="0" w:color="auto"/>
              <w:right w:val="nil"/>
            </w:tcBorders>
            <w:shd w:val="clear" w:color="000000" w:fill="FFFFFF"/>
          </w:tcPr>
          <w:p w14:paraId="0DAD9A5A" w14:textId="3E8FD98A"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33.8</w:t>
            </w:r>
          </w:p>
        </w:tc>
        <w:tc>
          <w:tcPr>
            <w:tcW w:w="245" w:type="pct"/>
            <w:tcBorders>
              <w:top w:val="nil"/>
              <w:left w:val="nil"/>
              <w:bottom w:val="single" w:sz="4" w:space="0" w:color="auto"/>
              <w:right w:val="nil"/>
            </w:tcBorders>
            <w:shd w:val="clear" w:color="000000" w:fill="FFFFFF"/>
          </w:tcPr>
          <w:p w14:paraId="58072EC2" w14:textId="24FC8050"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30.5</w:t>
            </w:r>
          </w:p>
        </w:tc>
        <w:tc>
          <w:tcPr>
            <w:tcW w:w="246" w:type="pct"/>
            <w:tcBorders>
              <w:top w:val="nil"/>
              <w:left w:val="nil"/>
              <w:bottom w:val="single" w:sz="4" w:space="0" w:color="auto"/>
              <w:right w:val="nil"/>
            </w:tcBorders>
            <w:shd w:val="clear" w:color="000000" w:fill="FFFFFF"/>
          </w:tcPr>
          <w:p w14:paraId="2699ADEE" w14:textId="05D3485F"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r>
              <w:rPr>
                <w:rFonts w:asciiTheme="majorBidi" w:hAnsiTheme="majorBidi" w:cstheme="majorBidi"/>
                <w:color w:val="000000"/>
                <w:sz w:val="16"/>
                <w:szCs w:val="16"/>
              </w:rPr>
              <w:t>9</w:t>
            </w:r>
          </w:p>
        </w:tc>
        <w:tc>
          <w:tcPr>
            <w:tcW w:w="94" w:type="pct"/>
            <w:tcBorders>
              <w:top w:val="nil"/>
              <w:left w:val="nil"/>
              <w:bottom w:val="single" w:sz="4" w:space="0" w:color="auto"/>
              <w:right w:val="nil"/>
            </w:tcBorders>
            <w:shd w:val="clear" w:color="000000" w:fill="FFFFFF"/>
          </w:tcPr>
          <w:p w14:paraId="342625CF" w14:textId="77777777" w:rsidR="00286CD6" w:rsidRPr="00CC7041" w:rsidRDefault="00286CD6" w:rsidP="00D94DA1">
            <w:pPr>
              <w:jc w:val="center"/>
              <w:rPr>
                <w:rFonts w:asciiTheme="majorBidi" w:hAnsiTheme="majorBidi" w:cstheme="majorBidi"/>
                <w:color w:val="000000"/>
                <w:sz w:val="16"/>
                <w:szCs w:val="16"/>
              </w:rPr>
            </w:pPr>
          </w:p>
        </w:tc>
        <w:tc>
          <w:tcPr>
            <w:tcW w:w="244" w:type="pct"/>
            <w:gridSpan w:val="2"/>
            <w:tcBorders>
              <w:top w:val="nil"/>
              <w:left w:val="nil"/>
              <w:bottom w:val="single" w:sz="4" w:space="0" w:color="auto"/>
              <w:right w:val="nil"/>
            </w:tcBorders>
            <w:shd w:val="clear" w:color="000000" w:fill="FFFFFF"/>
          </w:tcPr>
          <w:p w14:paraId="18313757" w14:textId="6CD4A0B5"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34.1</w:t>
            </w:r>
          </w:p>
        </w:tc>
        <w:tc>
          <w:tcPr>
            <w:tcW w:w="231" w:type="pct"/>
            <w:gridSpan w:val="2"/>
            <w:tcBorders>
              <w:top w:val="nil"/>
              <w:left w:val="nil"/>
              <w:bottom w:val="single" w:sz="4" w:space="0" w:color="auto"/>
              <w:right w:val="nil"/>
            </w:tcBorders>
            <w:shd w:val="clear" w:color="000000" w:fill="FFFFFF"/>
          </w:tcPr>
          <w:p w14:paraId="032AE37C" w14:textId="37E91475" w:rsidR="00286CD6" w:rsidRPr="00CC7041" w:rsidRDefault="00286CD6" w:rsidP="00D94DA1">
            <w:pPr>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w:t>
            </w:r>
            <w:r>
              <w:rPr>
                <w:rFonts w:asciiTheme="majorBidi" w:hAnsiTheme="majorBidi" w:cstheme="majorBidi"/>
                <w:color w:val="000000"/>
                <w:sz w:val="16"/>
                <w:szCs w:val="16"/>
              </w:rPr>
              <w:t>1</w:t>
            </w:r>
          </w:p>
        </w:tc>
      </w:tr>
      <w:tr w:rsidR="00286CD6" w:rsidRPr="00106C1D" w14:paraId="31F43E9D" w14:textId="1F65CFA2" w:rsidTr="001261D7">
        <w:trPr>
          <w:trHeight w:val="450"/>
        </w:trPr>
        <w:tc>
          <w:tcPr>
            <w:tcW w:w="5000" w:type="pct"/>
            <w:gridSpan w:val="22"/>
            <w:tcBorders>
              <w:top w:val="single" w:sz="4" w:space="0" w:color="auto"/>
              <w:left w:val="nil"/>
              <w:bottom w:val="single" w:sz="4" w:space="0" w:color="auto"/>
              <w:right w:val="nil"/>
            </w:tcBorders>
            <w:shd w:val="clear" w:color="000000" w:fill="FFFFFF"/>
          </w:tcPr>
          <w:p w14:paraId="1FDB4D8D" w14:textId="1E0C3104" w:rsidR="00286CD6" w:rsidRPr="001261D7" w:rsidRDefault="00286CD6" w:rsidP="001261D7">
            <w:pPr>
              <w:spacing w:before="60" w:after="60"/>
              <w:rPr>
                <w:rFonts w:asciiTheme="majorBidi" w:hAnsiTheme="majorBidi" w:cstheme="majorBidi"/>
                <w:i/>
                <w:iCs/>
                <w:color w:val="000000"/>
                <w:sz w:val="18"/>
                <w:szCs w:val="18"/>
              </w:rPr>
            </w:pPr>
            <w:r w:rsidRPr="001261D7">
              <w:rPr>
                <w:rFonts w:asciiTheme="majorBidi" w:hAnsiTheme="majorBidi" w:cstheme="majorBidi"/>
                <w:i/>
                <w:iCs/>
                <w:color w:val="000000"/>
                <w:sz w:val="18"/>
                <w:szCs w:val="18"/>
              </w:rPr>
              <w:t xml:space="preserve">Note: </w:t>
            </w:r>
            <w:r w:rsidRPr="001261D7">
              <w:rPr>
                <w:rFonts w:asciiTheme="majorBidi" w:hAnsiTheme="majorBidi" w:cstheme="majorBidi"/>
                <w:color w:val="000000"/>
                <w:sz w:val="18"/>
                <w:szCs w:val="18"/>
              </w:rPr>
              <w:t xml:space="preserve">This table expands NS Table 3. Their sample comprises firms with </w:t>
            </w:r>
            <w:proofErr w:type="spellStart"/>
            <w:r w:rsidRPr="001261D7">
              <w:rPr>
                <w:rFonts w:asciiTheme="majorBidi" w:hAnsiTheme="majorBidi" w:cstheme="majorBidi"/>
                <w:color w:val="000000"/>
                <w:sz w:val="18"/>
                <w:szCs w:val="18"/>
              </w:rPr>
              <w:t>NoIFRS</w:t>
            </w:r>
            <w:proofErr w:type="spellEnd"/>
            <w:r w:rsidRPr="001261D7">
              <w:rPr>
                <w:rFonts w:asciiTheme="majorBidi" w:hAnsiTheme="majorBidi" w:cstheme="majorBidi"/>
                <w:color w:val="000000"/>
                <w:sz w:val="18"/>
                <w:szCs w:val="18"/>
              </w:rPr>
              <w:t xml:space="preserve">, defined as those for which Worldscope’s WC07536 is neither ‘IFRS’ (#23) nor ‘International standards’ (#02). We use NS’s publicly accessible data to match it with the ISINs from PW, dividing the sample into three subsamples: “NS sample classified as noncompliant by PW,” “NS sample </w:t>
            </w:r>
            <w:r w:rsidRPr="001261D7">
              <w:rPr>
                <w:rFonts w:asciiTheme="majorBidi" w:hAnsiTheme="majorBidi" w:cstheme="majorBidi"/>
                <w:i/>
                <w:iCs/>
                <w:color w:val="000000"/>
                <w:sz w:val="18"/>
                <w:szCs w:val="18"/>
              </w:rPr>
              <w:t>not</w:t>
            </w:r>
            <w:r w:rsidRPr="001261D7">
              <w:rPr>
                <w:rFonts w:asciiTheme="majorBidi" w:hAnsiTheme="majorBidi" w:cstheme="majorBidi"/>
                <w:color w:val="000000"/>
                <w:sz w:val="18"/>
                <w:szCs w:val="18"/>
              </w:rPr>
              <w:t xml:space="preserve"> classified as noncompliant by PW,” and “NS sample </w:t>
            </w:r>
            <w:r w:rsidRPr="001261D7">
              <w:rPr>
                <w:rFonts w:asciiTheme="majorBidi" w:hAnsiTheme="majorBidi" w:cstheme="majorBidi"/>
                <w:i/>
                <w:iCs/>
                <w:color w:val="000000"/>
                <w:sz w:val="18"/>
                <w:szCs w:val="18"/>
              </w:rPr>
              <w:t>outside</w:t>
            </w:r>
            <w:r w:rsidRPr="001261D7">
              <w:rPr>
                <w:rFonts w:asciiTheme="majorBidi" w:hAnsiTheme="majorBidi" w:cstheme="majorBidi"/>
                <w:color w:val="000000"/>
                <w:sz w:val="18"/>
                <w:szCs w:val="18"/>
              </w:rPr>
              <w:t xml:space="preserve"> PW</w:t>
            </w:r>
            <w:r w:rsidR="001261D7">
              <w:rPr>
                <w:rFonts w:asciiTheme="majorBidi" w:hAnsiTheme="majorBidi" w:cstheme="majorBidi"/>
                <w:color w:val="000000"/>
                <w:sz w:val="18"/>
                <w:szCs w:val="18"/>
              </w:rPr>
              <w:t>’s</w:t>
            </w:r>
            <w:r w:rsidRPr="001261D7">
              <w:rPr>
                <w:rFonts w:asciiTheme="majorBidi" w:hAnsiTheme="majorBidi" w:cstheme="majorBidi"/>
                <w:color w:val="000000"/>
                <w:sz w:val="18"/>
                <w:szCs w:val="18"/>
              </w:rPr>
              <w:t xml:space="preserve"> sample period.” We maintain column numbers defined by NS across all three samples to ensure consistency.</w:t>
            </w:r>
          </w:p>
        </w:tc>
      </w:tr>
    </w:tbl>
    <w:p w14:paraId="19A6115F" w14:textId="77777777" w:rsidR="002D7B7E" w:rsidRPr="00381E6C" w:rsidRDefault="002D7B7E" w:rsidP="00381E6C">
      <w:pPr>
        <w:jc w:val="both"/>
        <w:rPr>
          <w:color w:val="343336"/>
          <w:sz w:val="2"/>
          <w:szCs w:val="2"/>
        </w:rPr>
      </w:pPr>
    </w:p>
    <w:sectPr w:rsidR="002D7B7E" w:rsidRPr="00381E6C" w:rsidSect="002B5F8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1FDF1" w14:textId="77777777" w:rsidR="0019559F" w:rsidRDefault="0019559F" w:rsidP="00995900">
      <w:r>
        <w:separator/>
      </w:r>
    </w:p>
  </w:endnote>
  <w:endnote w:type="continuationSeparator" w:id="0">
    <w:p w14:paraId="17EDEDBE" w14:textId="77777777" w:rsidR="0019559F" w:rsidRDefault="0019559F" w:rsidP="00995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0566370"/>
      <w:docPartObj>
        <w:docPartGallery w:val="Page Numbers (Bottom of Page)"/>
        <w:docPartUnique/>
      </w:docPartObj>
    </w:sdtPr>
    <w:sdtContent>
      <w:p w14:paraId="134C232E" w14:textId="77777777" w:rsidR="00E73EB2" w:rsidRDefault="00E73EB2" w:rsidP="004643C0">
        <w:pPr>
          <w:pStyle w:val="Fuzeile"/>
          <w:jc w:val="center"/>
        </w:pPr>
        <w:r>
          <w:fldChar w:fldCharType="begin"/>
        </w:r>
        <w:r>
          <w:instrText>PAGE   \* MERGEFORMAT</w:instrText>
        </w:r>
        <w:r>
          <w:fldChar w:fldCharType="separate"/>
        </w:r>
        <w:r w:rsidRPr="003834A5">
          <w:rPr>
            <w:noProof/>
            <w:lang w:val="de-DE"/>
          </w:rPr>
          <w:t>42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65190" w14:textId="77777777" w:rsidR="0019559F" w:rsidRDefault="0019559F" w:rsidP="00995900">
      <w:r>
        <w:separator/>
      </w:r>
    </w:p>
  </w:footnote>
  <w:footnote w:type="continuationSeparator" w:id="0">
    <w:p w14:paraId="267DDE8C" w14:textId="77777777" w:rsidR="0019559F" w:rsidRDefault="0019559F" w:rsidP="00995900">
      <w:r>
        <w:continuationSeparator/>
      </w:r>
    </w:p>
  </w:footnote>
  <w:footnote w:id="1">
    <w:p w14:paraId="77CEF2A4" w14:textId="5DAF926B" w:rsidR="00684806" w:rsidRPr="00B77606" w:rsidRDefault="00684806" w:rsidP="00684806">
      <w:pPr>
        <w:pStyle w:val="Funotentext"/>
        <w:spacing w:beforeLines="20" w:before="48" w:after="20"/>
      </w:pPr>
      <w:r>
        <w:rPr>
          <w:rStyle w:val="Funotenzeichen"/>
        </w:rPr>
        <w:footnoteRef/>
      </w:r>
      <w:r>
        <w:t xml:space="preserve"> </w:t>
      </w:r>
      <w:bookmarkStart w:id="8" w:name="_Hlk173415694"/>
      <w:r>
        <w:t xml:space="preserve">See </w:t>
      </w:r>
      <w:hyperlink r:id="rId1" w:history="1">
        <w:r w:rsidRPr="00D83BF6">
          <w:rPr>
            <w:rStyle w:val="Hyperlink"/>
          </w:rPr>
          <w:t>https://github.com/christian-stadler/ifrs-database/tree/main</w:t>
        </w:r>
      </w:hyperlink>
      <w:r>
        <w:rPr>
          <w:color w:val="343336"/>
        </w:rPr>
        <w:t xml:space="preserve">. </w:t>
      </w:r>
      <w:bookmarkEnd w:id="8"/>
    </w:p>
  </w:footnote>
  <w:footnote w:id="2">
    <w:p w14:paraId="4EF5D8D1" w14:textId="0FEDA3CF" w:rsidR="00317071" w:rsidRPr="00317071" w:rsidRDefault="00317071" w:rsidP="00595390">
      <w:pPr>
        <w:pStyle w:val="Funotentext"/>
        <w:spacing w:beforeLines="20" w:before="48" w:after="20"/>
      </w:pPr>
      <w:r>
        <w:rPr>
          <w:rStyle w:val="Funotenzeichen"/>
        </w:rPr>
        <w:footnoteRef/>
      </w:r>
      <w:r>
        <w:t xml:space="preserve"> </w:t>
      </w:r>
      <w:r w:rsidR="002B6B4D" w:rsidRPr="002B6B4D">
        <w:t xml:space="preserve">Since NS’s Excel workbook does not include the non-IFRS reporting observations from Austria and Portugal </w:t>
      </w:r>
      <w:r w:rsidR="00DA3A62">
        <w:t>reported</w:t>
      </w:r>
      <w:r w:rsidR="002B6B4D" w:rsidRPr="002B6B4D">
        <w:t xml:space="preserve"> in Table 3 of the</w:t>
      </w:r>
      <w:r w:rsidR="00F34FB9">
        <w:t>ir</w:t>
      </w:r>
      <w:r w:rsidR="002B6B4D" w:rsidRPr="002B6B4D">
        <w:t xml:space="preserve"> paper (14 observations), it is </w:t>
      </w:r>
      <w:r w:rsidR="000E7B40">
        <w:t>im</w:t>
      </w:r>
      <w:r w:rsidR="002B6B4D" w:rsidRPr="002B6B4D">
        <w:t>possible to reconcile this data with PW’s classification. Therefore, we conservatively assume that PW would have classified these observations as noncompliant.</w:t>
      </w:r>
    </w:p>
  </w:footnote>
  <w:footnote w:id="3">
    <w:p w14:paraId="0659EB37" w14:textId="77777777" w:rsidR="00BF5AE0" w:rsidRPr="00BF000C" w:rsidRDefault="00BF5AE0" w:rsidP="00BF5AE0">
      <w:pPr>
        <w:pStyle w:val="Funotentext"/>
        <w:spacing w:beforeLines="20" w:before="48" w:after="20"/>
      </w:pPr>
      <w:r>
        <w:rPr>
          <w:rStyle w:val="Funotenzeichen"/>
        </w:rPr>
        <w:footnoteRef/>
      </w:r>
      <w:r>
        <w:t xml:space="preserve"> PW confirmed that they used </w:t>
      </w:r>
      <w:r w:rsidRPr="00E57CB2">
        <w:t>Refinitiv</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198C680A"/>
    <w:lvl w:ilvl="0">
      <w:start w:val="1"/>
      <w:numFmt w:val="decimal"/>
      <w:pStyle w:val="Listennummer"/>
      <w:lvlText w:val="%1."/>
      <w:lvlJc w:val="left"/>
      <w:pPr>
        <w:tabs>
          <w:tab w:val="num" w:pos="360"/>
        </w:tabs>
        <w:ind w:left="360" w:hanging="360"/>
      </w:pPr>
    </w:lvl>
  </w:abstractNum>
  <w:abstractNum w:abstractNumId="1" w15:restartNumberingAfterBreak="0">
    <w:nsid w:val="049D17FD"/>
    <w:multiLevelType w:val="hybridMultilevel"/>
    <w:tmpl w:val="09CE9E4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6F0525E"/>
    <w:multiLevelType w:val="hybridMultilevel"/>
    <w:tmpl w:val="FC2E3A3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12194A"/>
    <w:multiLevelType w:val="hybridMultilevel"/>
    <w:tmpl w:val="3B68528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8974C3"/>
    <w:multiLevelType w:val="hybridMultilevel"/>
    <w:tmpl w:val="DD1E5BA2"/>
    <w:lvl w:ilvl="0" w:tplc="FFFFFFFF">
      <w:start w:val="1"/>
      <w:numFmt w:val="decimal"/>
      <w:lvlText w:val="%1."/>
      <w:lvlJc w:val="left"/>
      <w:pPr>
        <w:ind w:left="360" w:hanging="360"/>
      </w:pPr>
      <w:rPr>
        <w:rFonts w:hint="default"/>
        <w:b w:val="0"/>
        <w:bCs w:val="0"/>
        <w:i w:val="0"/>
        <w:iCs w:val="0"/>
      </w:rPr>
    </w:lvl>
    <w:lvl w:ilvl="1" w:tplc="FFFFFFFF">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B880704"/>
    <w:multiLevelType w:val="hybridMultilevel"/>
    <w:tmpl w:val="ABD47124"/>
    <w:lvl w:ilvl="0" w:tplc="323EBE00">
      <w:start w:val="2"/>
      <w:numFmt w:val="lowerRoman"/>
      <w:lvlText w:val="%1."/>
      <w:lvlJc w:val="right"/>
      <w:pPr>
        <w:ind w:left="720" w:hanging="360"/>
      </w:pPr>
      <w:rPr>
        <w:rFonts w:hint="default"/>
        <w:color w:val="3433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F660F"/>
    <w:multiLevelType w:val="hybridMultilevel"/>
    <w:tmpl w:val="3D506EA0"/>
    <w:lvl w:ilvl="0" w:tplc="FFFFFFFF">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0C3FB7"/>
    <w:multiLevelType w:val="hybridMultilevel"/>
    <w:tmpl w:val="10DE6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27F8E"/>
    <w:multiLevelType w:val="hybridMultilevel"/>
    <w:tmpl w:val="E318997C"/>
    <w:lvl w:ilvl="0" w:tplc="04090015">
      <w:start w:val="1"/>
      <w:numFmt w:val="upperLetter"/>
      <w:lvlText w:val="%1."/>
      <w:lvlJc w:val="left"/>
      <w:pPr>
        <w:ind w:left="2160" w:hanging="360"/>
      </w:pPr>
      <w:rPr>
        <w:rFonts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 w15:restartNumberingAfterBreak="0">
    <w:nsid w:val="13B00519"/>
    <w:multiLevelType w:val="hybridMultilevel"/>
    <w:tmpl w:val="F0A0BF00"/>
    <w:lvl w:ilvl="0" w:tplc="04090001">
      <w:start w:val="1"/>
      <w:numFmt w:val="bullet"/>
      <w:lvlText w:val=""/>
      <w:lvlJc w:val="left"/>
      <w:pPr>
        <w:ind w:left="720" w:hanging="360"/>
      </w:pPr>
      <w:rPr>
        <w:rFonts w:ascii="Symbol" w:hAnsi="Symbol" w:hint="default"/>
        <w:color w:val="343336"/>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3B49B0"/>
    <w:multiLevelType w:val="hybridMultilevel"/>
    <w:tmpl w:val="A09C224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E0B29CF8">
      <w:start w:val="1"/>
      <w:numFmt w:val="lowerLetter"/>
      <w:lvlText w:val="%3)"/>
      <w:lvlJc w:val="left"/>
      <w:pPr>
        <w:ind w:left="2340" w:hanging="36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5C1370E"/>
    <w:multiLevelType w:val="hybridMultilevel"/>
    <w:tmpl w:val="CB40E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67801"/>
    <w:multiLevelType w:val="hybridMultilevel"/>
    <w:tmpl w:val="72DCFADC"/>
    <w:lvl w:ilvl="0" w:tplc="04090005">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1B42599B"/>
    <w:multiLevelType w:val="hybridMultilevel"/>
    <w:tmpl w:val="A59AB358"/>
    <w:lvl w:ilvl="0" w:tplc="DA8CE17A">
      <w:start w:val="1"/>
      <w:numFmt w:val="decimal"/>
      <w:lvlText w:val="%1)"/>
      <w:lvlJc w:val="left"/>
      <w:pPr>
        <w:ind w:left="1020" w:hanging="360"/>
      </w:pPr>
    </w:lvl>
    <w:lvl w:ilvl="1" w:tplc="80085678">
      <w:start w:val="1"/>
      <w:numFmt w:val="decimal"/>
      <w:lvlText w:val="%2)"/>
      <w:lvlJc w:val="left"/>
      <w:pPr>
        <w:ind w:left="1020" w:hanging="360"/>
      </w:pPr>
    </w:lvl>
    <w:lvl w:ilvl="2" w:tplc="92F8D582">
      <w:start w:val="1"/>
      <w:numFmt w:val="decimal"/>
      <w:lvlText w:val="%3)"/>
      <w:lvlJc w:val="left"/>
      <w:pPr>
        <w:ind w:left="1020" w:hanging="360"/>
      </w:pPr>
    </w:lvl>
    <w:lvl w:ilvl="3" w:tplc="81F05D2C">
      <w:start w:val="1"/>
      <w:numFmt w:val="decimal"/>
      <w:lvlText w:val="%4)"/>
      <w:lvlJc w:val="left"/>
      <w:pPr>
        <w:ind w:left="1020" w:hanging="360"/>
      </w:pPr>
    </w:lvl>
    <w:lvl w:ilvl="4" w:tplc="E7F434E0">
      <w:start w:val="1"/>
      <w:numFmt w:val="decimal"/>
      <w:lvlText w:val="%5)"/>
      <w:lvlJc w:val="left"/>
      <w:pPr>
        <w:ind w:left="1020" w:hanging="360"/>
      </w:pPr>
    </w:lvl>
    <w:lvl w:ilvl="5" w:tplc="D2A0F8E2">
      <w:start w:val="1"/>
      <w:numFmt w:val="decimal"/>
      <w:lvlText w:val="%6)"/>
      <w:lvlJc w:val="left"/>
      <w:pPr>
        <w:ind w:left="1020" w:hanging="360"/>
      </w:pPr>
    </w:lvl>
    <w:lvl w:ilvl="6" w:tplc="7CD6941E">
      <w:start w:val="1"/>
      <w:numFmt w:val="decimal"/>
      <w:lvlText w:val="%7)"/>
      <w:lvlJc w:val="left"/>
      <w:pPr>
        <w:ind w:left="1020" w:hanging="360"/>
      </w:pPr>
    </w:lvl>
    <w:lvl w:ilvl="7" w:tplc="D2B8790E">
      <w:start w:val="1"/>
      <w:numFmt w:val="decimal"/>
      <w:lvlText w:val="%8)"/>
      <w:lvlJc w:val="left"/>
      <w:pPr>
        <w:ind w:left="1020" w:hanging="360"/>
      </w:pPr>
    </w:lvl>
    <w:lvl w:ilvl="8" w:tplc="9962D5CC">
      <w:start w:val="1"/>
      <w:numFmt w:val="decimal"/>
      <w:lvlText w:val="%9)"/>
      <w:lvlJc w:val="left"/>
      <w:pPr>
        <w:ind w:left="1020" w:hanging="360"/>
      </w:pPr>
    </w:lvl>
  </w:abstractNum>
  <w:abstractNum w:abstractNumId="14" w15:restartNumberingAfterBreak="0">
    <w:nsid w:val="1CAC3233"/>
    <w:multiLevelType w:val="hybridMultilevel"/>
    <w:tmpl w:val="0C86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0418E"/>
    <w:multiLevelType w:val="hybridMultilevel"/>
    <w:tmpl w:val="5DCE0946"/>
    <w:lvl w:ilvl="0" w:tplc="C09215A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6F246C9"/>
    <w:multiLevelType w:val="hybridMultilevel"/>
    <w:tmpl w:val="9DE29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591C5D"/>
    <w:multiLevelType w:val="hybridMultilevel"/>
    <w:tmpl w:val="A3A44C4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D5E3C7C"/>
    <w:multiLevelType w:val="hybridMultilevel"/>
    <w:tmpl w:val="7C7AC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267E3"/>
    <w:multiLevelType w:val="hybridMultilevel"/>
    <w:tmpl w:val="5A04C2E8"/>
    <w:lvl w:ilvl="0" w:tplc="E5D81AB2">
      <w:start w:val="1"/>
      <w:numFmt w:val="decimal"/>
      <w:lvlText w:val="%1)"/>
      <w:lvlJc w:val="left"/>
      <w:pPr>
        <w:ind w:left="1020" w:hanging="360"/>
      </w:pPr>
    </w:lvl>
    <w:lvl w:ilvl="1" w:tplc="89EC9040">
      <w:start w:val="1"/>
      <w:numFmt w:val="decimal"/>
      <w:lvlText w:val="%2)"/>
      <w:lvlJc w:val="left"/>
      <w:pPr>
        <w:ind w:left="1020" w:hanging="360"/>
      </w:pPr>
    </w:lvl>
    <w:lvl w:ilvl="2" w:tplc="65C6FC6C">
      <w:start w:val="1"/>
      <w:numFmt w:val="decimal"/>
      <w:lvlText w:val="%3)"/>
      <w:lvlJc w:val="left"/>
      <w:pPr>
        <w:ind w:left="1020" w:hanging="360"/>
      </w:pPr>
    </w:lvl>
    <w:lvl w:ilvl="3" w:tplc="526AFF8A">
      <w:start w:val="1"/>
      <w:numFmt w:val="decimal"/>
      <w:lvlText w:val="%4)"/>
      <w:lvlJc w:val="left"/>
      <w:pPr>
        <w:ind w:left="1020" w:hanging="360"/>
      </w:pPr>
    </w:lvl>
    <w:lvl w:ilvl="4" w:tplc="F9E0D004">
      <w:start w:val="1"/>
      <w:numFmt w:val="decimal"/>
      <w:lvlText w:val="%5)"/>
      <w:lvlJc w:val="left"/>
      <w:pPr>
        <w:ind w:left="1020" w:hanging="360"/>
      </w:pPr>
    </w:lvl>
    <w:lvl w:ilvl="5" w:tplc="A5A2E9DA">
      <w:start w:val="1"/>
      <w:numFmt w:val="decimal"/>
      <w:lvlText w:val="%6)"/>
      <w:lvlJc w:val="left"/>
      <w:pPr>
        <w:ind w:left="1020" w:hanging="360"/>
      </w:pPr>
    </w:lvl>
    <w:lvl w:ilvl="6" w:tplc="DE561B38">
      <w:start w:val="1"/>
      <w:numFmt w:val="decimal"/>
      <w:lvlText w:val="%7)"/>
      <w:lvlJc w:val="left"/>
      <w:pPr>
        <w:ind w:left="1020" w:hanging="360"/>
      </w:pPr>
    </w:lvl>
    <w:lvl w:ilvl="7" w:tplc="940862B8">
      <w:start w:val="1"/>
      <w:numFmt w:val="decimal"/>
      <w:lvlText w:val="%8)"/>
      <w:lvlJc w:val="left"/>
      <w:pPr>
        <w:ind w:left="1020" w:hanging="360"/>
      </w:pPr>
    </w:lvl>
    <w:lvl w:ilvl="8" w:tplc="C32613BE">
      <w:start w:val="1"/>
      <w:numFmt w:val="decimal"/>
      <w:lvlText w:val="%9)"/>
      <w:lvlJc w:val="left"/>
      <w:pPr>
        <w:ind w:left="1020" w:hanging="360"/>
      </w:pPr>
    </w:lvl>
  </w:abstractNum>
  <w:abstractNum w:abstractNumId="20" w15:restartNumberingAfterBreak="0">
    <w:nsid w:val="2FC31A75"/>
    <w:multiLevelType w:val="hybridMultilevel"/>
    <w:tmpl w:val="B5808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14A15D7"/>
    <w:multiLevelType w:val="hybridMultilevel"/>
    <w:tmpl w:val="3EC0A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3E3F00"/>
    <w:multiLevelType w:val="hybridMultilevel"/>
    <w:tmpl w:val="6BD0645A"/>
    <w:lvl w:ilvl="0" w:tplc="04090015">
      <w:start w:val="1"/>
      <w:numFmt w:val="upperLetter"/>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3" w15:restartNumberingAfterBreak="0">
    <w:nsid w:val="339C3504"/>
    <w:multiLevelType w:val="hybridMultilevel"/>
    <w:tmpl w:val="1B5E5E1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C7CAA40">
      <w:start w:val="1"/>
      <w:numFmt w:val="lowerRoman"/>
      <w:lvlText w:val="%5)"/>
      <w:lvlJc w:val="left"/>
      <w:pPr>
        <w:ind w:left="3600" w:hanging="720"/>
      </w:pPr>
      <w:rPr>
        <w:rFonts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37C66B1A"/>
    <w:multiLevelType w:val="hybridMultilevel"/>
    <w:tmpl w:val="E6C235D0"/>
    <w:lvl w:ilvl="0" w:tplc="04090001">
      <w:start w:val="1"/>
      <w:numFmt w:val="bullet"/>
      <w:lvlText w:val=""/>
      <w:lvlJc w:val="left"/>
      <w:pPr>
        <w:ind w:left="720" w:hanging="360"/>
      </w:pPr>
      <w:rPr>
        <w:rFonts w:ascii="Symbol" w:hAnsi="Symbol" w:hint="default"/>
        <w:color w:val="343336"/>
      </w:rPr>
    </w:lvl>
    <w:lvl w:ilvl="1" w:tplc="FFFFFFFF">
      <w:start w:val="1"/>
      <w:numFmt w:val="bullet"/>
      <w:lvlText w:val="o"/>
      <w:lvlJc w:val="left"/>
      <w:pPr>
        <w:ind w:left="1800" w:hanging="360"/>
      </w:pPr>
      <w:rPr>
        <w:rFonts w:ascii="Courier New" w:hAnsi="Courier New" w:cs="Courier New" w:hint="default"/>
      </w:rPr>
    </w:lvl>
    <w:lvl w:ilvl="2" w:tplc="C72EBEB4">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9831CAD"/>
    <w:multiLevelType w:val="hybridMultilevel"/>
    <w:tmpl w:val="EB76C94E"/>
    <w:lvl w:ilvl="0" w:tplc="FFFFFFFF">
      <w:start w:val="1"/>
      <w:numFmt w:val="lowerRoman"/>
      <w:lvlText w:val="%1."/>
      <w:lvlJc w:val="right"/>
      <w:pPr>
        <w:ind w:left="720" w:hanging="360"/>
      </w:pPr>
      <w:rPr>
        <w:rFonts w:hint="default"/>
        <w:color w:val="343336"/>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BC53D25"/>
    <w:multiLevelType w:val="hybridMultilevel"/>
    <w:tmpl w:val="00CAB646"/>
    <w:lvl w:ilvl="0" w:tplc="FFFFFFFF">
      <w:start w:val="1"/>
      <w:numFmt w:val="decimal"/>
      <w:lvlText w:val="%1."/>
      <w:lvlJc w:val="left"/>
      <w:pPr>
        <w:ind w:left="360" w:hanging="360"/>
      </w:pPr>
      <w:rPr>
        <w:rFonts w:hint="default"/>
        <w:b w:val="0"/>
        <w:bCs w:val="0"/>
        <w:i w:val="0"/>
        <w:iCs w:val="0"/>
      </w:rPr>
    </w:lvl>
    <w:lvl w:ilvl="1" w:tplc="FFFFFFFF">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3C8E506C"/>
    <w:multiLevelType w:val="hybridMultilevel"/>
    <w:tmpl w:val="42D0992C"/>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FD4578A"/>
    <w:multiLevelType w:val="hybridMultilevel"/>
    <w:tmpl w:val="11D80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EB50F3"/>
    <w:multiLevelType w:val="multilevel"/>
    <w:tmpl w:val="5EB4A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9957B9"/>
    <w:multiLevelType w:val="hybridMultilevel"/>
    <w:tmpl w:val="397247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4826C08"/>
    <w:multiLevelType w:val="hybridMultilevel"/>
    <w:tmpl w:val="8A705A06"/>
    <w:lvl w:ilvl="0" w:tplc="F4AE7BCC">
      <w:start w:val="1"/>
      <w:numFmt w:val="decimal"/>
      <w:lvlText w:val="%1)"/>
      <w:lvlJc w:val="left"/>
      <w:pPr>
        <w:ind w:left="1020" w:hanging="360"/>
      </w:pPr>
    </w:lvl>
    <w:lvl w:ilvl="1" w:tplc="9EC22340">
      <w:start w:val="1"/>
      <w:numFmt w:val="decimal"/>
      <w:lvlText w:val="%2)"/>
      <w:lvlJc w:val="left"/>
      <w:pPr>
        <w:ind w:left="1020" w:hanging="360"/>
      </w:pPr>
    </w:lvl>
    <w:lvl w:ilvl="2" w:tplc="D10EAF20">
      <w:start w:val="1"/>
      <w:numFmt w:val="decimal"/>
      <w:lvlText w:val="%3)"/>
      <w:lvlJc w:val="left"/>
      <w:pPr>
        <w:ind w:left="1020" w:hanging="360"/>
      </w:pPr>
    </w:lvl>
    <w:lvl w:ilvl="3" w:tplc="DE004EE6">
      <w:start w:val="1"/>
      <w:numFmt w:val="decimal"/>
      <w:lvlText w:val="%4)"/>
      <w:lvlJc w:val="left"/>
      <w:pPr>
        <w:ind w:left="1020" w:hanging="360"/>
      </w:pPr>
    </w:lvl>
    <w:lvl w:ilvl="4" w:tplc="23E8C39E">
      <w:start w:val="1"/>
      <w:numFmt w:val="decimal"/>
      <w:lvlText w:val="%5)"/>
      <w:lvlJc w:val="left"/>
      <w:pPr>
        <w:ind w:left="1020" w:hanging="360"/>
      </w:pPr>
    </w:lvl>
    <w:lvl w:ilvl="5" w:tplc="1DC44718">
      <w:start w:val="1"/>
      <w:numFmt w:val="decimal"/>
      <w:lvlText w:val="%6)"/>
      <w:lvlJc w:val="left"/>
      <w:pPr>
        <w:ind w:left="1020" w:hanging="360"/>
      </w:pPr>
    </w:lvl>
    <w:lvl w:ilvl="6" w:tplc="E29AAB50">
      <w:start w:val="1"/>
      <w:numFmt w:val="decimal"/>
      <w:lvlText w:val="%7)"/>
      <w:lvlJc w:val="left"/>
      <w:pPr>
        <w:ind w:left="1020" w:hanging="360"/>
      </w:pPr>
    </w:lvl>
    <w:lvl w:ilvl="7" w:tplc="A9689082">
      <w:start w:val="1"/>
      <w:numFmt w:val="decimal"/>
      <w:lvlText w:val="%8)"/>
      <w:lvlJc w:val="left"/>
      <w:pPr>
        <w:ind w:left="1020" w:hanging="360"/>
      </w:pPr>
    </w:lvl>
    <w:lvl w:ilvl="8" w:tplc="62E8D65C">
      <w:start w:val="1"/>
      <w:numFmt w:val="decimal"/>
      <w:lvlText w:val="%9)"/>
      <w:lvlJc w:val="left"/>
      <w:pPr>
        <w:ind w:left="1020" w:hanging="360"/>
      </w:pPr>
    </w:lvl>
  </w:abstractNum>
  <w:abstractNum w:abstractNumId="32" w15:restartNumberingAfterBreak="0">
    <w:nsid w:val="47B00177"/>
    <w:multiLevelType w:val="hybridMultilevel"/>
    <w:tmpl w:val="FAE85040"/>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89009B1"/>
    <w:multiLevelType w:val="hybridMultilevel"/>
    <w:tmpl w:val="DC867C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A0E356B"/>
    <w:multiLevelType w:val="hybridMultilevel"/>
    <w:tmpl w:val="1D7E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204685"/>
    <w:multiLevelType w:val="hybridMultilevel"/>
    <w:tmpl w:val="53288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F65608"/>
    <w:multiLevelType w:val="hybridMultilevel"/>
    <w:tmpl w:val="699E52B2"/>
    <w:lvl w:ilvl="0" w:tplc="04090003">
      <w:start w:val="1"/>
      <w:numFmt w:val="bullet"/>
      <w:lvlText w:val="o"/>
      <w:lvlJc w:val="left"/>
      <w:pPr>
        <w:ind w:left="720" w:hanging="360"/>
      </w:pPr>
      <w:rPr>
        <w:rFonts w:ascii="Courier New" w:hAnsi="Courier New" w:cs="Courier New" w:hint="default"/>
        <w:color w:val="343336"/>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F5D6774"/>
    <w:multiLevelType w:val="hybridMultilevel"/>
    <w:tmpl w:val="B4D279AA"/>
    <w:lvl w:ilvl="0" w:tplc="04090015">
      <w:start w:val="1"/>
      <w:numFmt w:val="upperLetter"/>
      <w:lvlText w:val="%1."/>
      <w:lvlJc w:val="left"/>
      <w:pPr>
        <w:ind w:left="360" w:hanging="360"/>
      </w:p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0F74C18"/>
    <w:multiLevelType w:val="hybridMultilevel"/>
    <w:tmpl w:val="A9D86BEE"/>
    <w:lvl w:ilvl="0" w:tplc="FFFFFFFF">
      <w:start w:val="1"/>
      <w:numFmt w:val="decimal"/>
      <w:lvlText w:val="%1."/>
      <w:lvlJc w:val="left"/>
      <w:pPr>
        <w:ind w:left="360" w:hanging="360"/>
      </w:pPr>
      <w:rPr>
        <w:rFonts w:hint="default"/>
        <w:b w:val="0"/>
        <w:bCs w:val="0"/>
        <w:i w:val="0"/>
        <w:iCs w:val="0"/>
      </w:rPr>
    </w:lvl>
    <w:lvl w:ilvl="1" w:tplc="FFFFFFFF">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51486B66"/>
    <w:multiLevelType w:val="hybridMultilevel"/>
    <w:tmpl w:val="C986D85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521E0BFD"/>
    <w:multiLevelType w:val="hybridMultilevel"/>
    <w:tmpl w:val="335468F0"/>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54C24B79"/>
    <w:multiLevelType w:val="hybridMultilevel"/>
    <w:tmpl w:val="356E4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58627731"/>
    <w:multiLevelType w:val="hybridMultilevel"/>
    <w:tmpl w:val="CF84AB1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9765A20"/>
    <w:multiLevelType w:val="hybridMultilevel"/>
    <w:tmpl w:val="8E9C9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C377B4C"/>
    <w:multiLevelType w:val="hybridMultilevel"/>
    <w:tmpl w:val="9D9AB1D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C7C542D"/>
    <w:multiLevelType w:val="hybridMultilevel"/>
    <w:tmpl w:val="925697D8"/>
    <w:lvl w:ilvl="0" w:tplc="04090019">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6" w15:restartNumberingAfterBreak="0">
    <w:nsid w:val="60590ADB"/>
    <w:multiLevelType w:val="hybridMultilevel"/>
    <w:tmpl w:val="17F2E4D4"/>
    <w:lvl w:ilvl="0" w:tplc="04090005">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7" w15:restartNumberingAfterBreak="0">
    <w:nsid w:val="64A72EEC"/>
    <w:multiLevelType w:val="hybridMultilevel"/>
    <w:tmpl w:val="8076D65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665D4D56"/>
    <w:multiLevelType w:val="hybridMultilevel"/>
    <w:tmpl w:val="E5707A20"/>
    <w:lvl w:ilvl="0" w:tplc="04090005">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9" w15:restartNumberingAfterBreak="0">
    <w:nsid w:val="6A1A419C"/>
    <w:multiLevelType w:val="hybridMultilevel"/>
    <w:tmpl w:val="66DC89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 w15:restartNumberingAfterBreak="0">
    <w:nsid w:val="6FC655E7"/>
    <w:multiLevelType w:val="hybridMultilevel"/>
    <w:tmpl w:val="9F089A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2434180"/>
    <w:multiLevelType w:val="hybridMultilevel"/>
    <w:tmpl w:val="41467736"/>
    <w:lvl w:ilvl="0" w:tplc="04090001">
      <w:start w:val="1"/>
      <w:numFmt w:val="bullet"/>
      <w:lvlText w:val=""/>
      <w:lvlJc w:val="left"/>
      <w:pPr>
        <w:ind w:left="720" w:hanging="360"/>
      </w:pPr>
      <w:rPr>
        <w:rFonts w:ascii="Symbol" w:hAnsi="Symbol" w:hint="default"/>
        <w:color w:val="343336"/>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3974397"/>
    <w:multiLevelType w:val="hybridMultilevel"/>
    <w:tmpl w:val="7A36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145E8F"/>
    <w:multiLevelType w:val="hybridMultilevel"/>
    <w:tmpl w:val="E0C4400A"/>
    <w:lvl w:ilvl="0" w:tplc="0409001B">
      <w:start w:val="1"/>
      <w:numFmt w:val="lowerRoman"/>
      <w:lvlText w:val="%1."/>
      <w:lvlJc w:val="right"/>
      <w:pPr>
        <w:ind w:left="720" w:hanging="360"/>
      </w:pPr>
      <w:rPr>
        <w:rFonts w:hint="default"/>
        <w:color w:val="343336"/>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7E76D6"/>
    <w:multiLevelType w:val="hybridMultilevel"/>
    <w:tmpl w:val="6BF62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F03AA2"/>
    <w:multiLevelType w:val="hybridMultilevel"/>
    <w:tmpl w:val="345C28F8"/>
    <w:lvl w:ilvl="0" w:tplc="E5466BA2">
      <w:start w:val="1"/>
      <w:numFmt w:val="decimal"/>
      <w:lvlText w:val="%1."/>
      <w:lvlJc w:val="left"/>
      <w:pPr>
        <w:ind w:left="360" w:hanging="360"/>
      </w:pPr>
      <w:rPr>
        <w:rFonts w:hint="default"/>
        <w:b w:val="0"/>
        <w:bCs w:val="0"/>
        <w:i w:val="0"/>
        <w:iCs w:val="0"/>
      </w:rPr>
    </w:lvl>
    <w:lvl w:ilvl="1" w:tplc="FFFFFFFF">
      <w:start w:val="1"/>
      <w:numFmt w:val="bullet"/>
      <w:lvlText w:val="o"/>
      <w:lvlJc w:val="left"/>
      <w:pPr>
        <w:ind w:left="1080" w:hanging="360"/>
      </w:pPr>
      <w:rPr>
        <w:rFonts w:ascii="Courier New" w:hAnsi="Courier New" w:cs="Courier New" w:hint="default"/>
      </w:rPr>
    </w:lvl>
    <w:lvl w:ilvl="2" w:tplc="0407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7FC15605"/>
    <w:multiLevelType w:val="hybridMultilevel"/>
    <w:tmpl w:val="7FAECD8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41970124">
    <w:abstractNumId w:val="53"/>
  </w:num>
  <w:num w:numId="2" w16cid:durableId="573247751">
    <w:abstractNumId w:val="3"/>
  </w:num>
  <w:num w:numId="3" w16cid:durableId="417753346">
    <w:abstractNumId w:val="11"/>
  </w:num>
  <w:num w:numId="4" w16cid:durableId="142737630">
    <w:abstractNumId w:val="55"/>
  </w:num>
  <w:num w:numId="5" w16cid:durableId="679700165">
    <w:abstractNumId w:val="37"/>
  </w:num>
  <w:num w:numId="6" w16cid:durableId="1766262499">
    <w:abstractNumId w:val="24"/>
  </w:num>
  <w:num w:numId="7" w16cid:durableId="1845778670">
    <w:abstractNumId w:val="50"/>
  </w:num>
  <w:num w:numId="8" w16cid:durableId="2044356215">
    <w:abstractNumId w:val="54"/>
  </w:num>
  <w:num w:numId="9" w16cid:durableId="800076606">
    <w:abstractNumId w:val="23"/>
  </w:num>
  <w:num w:numId="10" w16cid:durableId="1801655635">
    <w:abstractNumId w:val="29"/>
  </w:num>
  <w:num w:numId="11" w16cid:durableId="100415689">
    <w:abstractNumId w:val="34"/>
  </w:num>
  <w:num w:numId="12" w16cid:durableId="1656643901">
    <w:abstractNumId w:val="7"/>
  </w:num>
  <w:num w:numId="13" w16cid:durableId="911694740">
    <w:abstractNumId w:val="18"/>
  </w:num>
  <w:num w:numId="14" w16cid:durableId="1412197653">
    <w:abstractNumId w:val="52"/>
  </w:num>
  <w:num w:numId="15" w16cid:durableId="547448958">
    <w:abstractNumId w:val="14"/>
  </w:num>
  <w:num w:numId="16" w16cid:durableId="618486544">
    <w:abstractNumId w:val="16"/>
  </w:num>
  <w:num w:numId="17" w16cid:durableId="1103917706">
    <w:abstractNumId w:val="5"/>
  </w:num>
  <w:num w:numId="18" w16cid:durableId="1664507950">
    <w:abstractNumId w:val="25"/>
  </w:num>
  <w:num w:numId="19" w16cid:durableId="790245573">
    <w:abstractNumId w:val="1"/>
  </w:num>
  <w:num w:numId="20" w16cid:durableId="602423990">
    <w:abstractNumId w:val="0"/>
  </w:num>
  <w:num w:numId="21" w16cid:durableId="1088111655">
    <w:abstractNumId w:val="35"/>
  </w:num>
  <w:num w:numId="22" w16cid:durableId="861750841">
    <w:abstractNumId w:val="45"/>
  </w:num>
  <w:num w:numId="23" w16cid:durableId="1351100282">
    <w:abstractNumId w:val="21"/>
  </w:num>
  <w:num w:numId="24" w16cid:durableId="1762336750">
    <w:abstractNumId w:val="40"/>
  </w:num>
  <w:num w:numId="25" w16cid:durableId="2078697829">
    <w:abstractNumId w:val="44"/>
  </w:num>
  <w:num w:numId="26" w16cid:durableId="1538398351">
    <w:abstractNumId w:val="28"/>
  </w:num>
  <w:num w:numId="27" w16cid:durableId="970213776">
    <w:abstractNumId w:val="32"/>
  </w:num>
  <w:num w:numId="28" w16cid:durableId="1854416546">
    <w:abstractNumId w:val="30"/>
  </w:num>
  <w:num w:numId="29" w16cid:durableId="521626540">
    <w:abstractNumId w:val="51"/>
  </w:num>
  <w:num w:numId="30" w16cid:durableId="1024794812">
    <w:abstractNumId w:val="9"/>
  </w:num>
  <w:num w:numId="31" w16cid:durableId="1836873299">
    <w:abstractNumId w:val="2"/>
  </w:num>
  <w:num w:numId="32" w16cid:durableId="649212770">
    <w:abstractNumId w:val="27"/>
  </w:num>
  <w:num w:numId="33" w16cid:durableId="1080639580">
    <w:abstractNumId w:val="36"/>
  </w:num>
  <w:num w:numId="34" w16cid:durableId="1605765907">
    <w:abstractNumId w:val="26"/>
  </w:num>
  <w:num w:numId="35" w16cid:durableId="2061585635">
    <w:abstractNumId w:val="38"/>
  </w:num>
  <w:num w:numId="36" w16cid:durableId="2125148907">
    <w:abstractNumId w:val="4"/>
  </w:num>
  <w:num w:numId="37" w16cid:durableId="1253901008">
    <w:abstractNumId w:val="15"/>
  </w:num>
  <w:num w:numId="38" w16cid:durableId="471682132">
    <w:abstractNumId w:val="56"/>
  </w:num>
  <w:num w:numId="39" w16cid:durableId="630594904">
    <w:abstractNumId w:val="22"/>
  </w:num>
  <w:num w:numId="40" w16cid:durableId="1652636654">
    <w:abstractNumId w:val="8"/>
  </w:num>
  <w:num w:numId="41" w16cid:durableId="104229066">
    <w:abstractNumId w:val="48"/>
  </w:num>
  <w:num w:numId="42" w16cid:durableId="1754276621">
    <w:abstractNumId w:val="46"/>
  </w:num>
  <w:num w:numId="43" w16cid:durableId="1749106815">
    <w:abstractNumId w:val="12"/>
  </w:num>
  <w:num w:numId="44" w16cid:durableId="2146044913">
    <w:abstractNumId w:val="19"/>
  </w:num>
  <w:num w:numId="45" w16cid:durableId="215819124">
    <w:abstractNumId w:val="13"/>
  </w:num>
  <w:num w:numId="46" w16cid:durableId="1292057444">
    <w:abstractNumId w:val="42"/>
  </w:num>
  <w:num w:numId="47" w16cid:durableId="1382948262">
    <w:abstractNumId w:val="33"/>
  </w:num>
  <w:num w:numId="48" w16cid:durableId="1811822048">
    <w:abstractNumId w:val="20"/>
  </w:num>
  <w:num w:numId="49" w16cid:durableId="1204514270">
    <w:abstractNumId w:val="43"/>
  </w:num>
  <w:num w:numId="50" w16cid:durableId="301160132">
    <w:abstractNumId w:val="39"/>
  </w:num>
  <w:num w:numId="51" w16cid:durableId="2092774314">
    <w:abstractNumId w:val="10"/>
  </w:num>
  <w:num w:numId="52" w16cid:durableId="239365144">
    <w:abstractNumId w:val="49"/>
  </w:num>
  <w:num w:numId="53" w16cid:durableId="1862090162">
    <w:abstractNumId w:val="47"/>
  </w:num>
  <w:num w:numId="54" w16cid:durableId="557516149">
    <w:abstractNumId w:val="17"/>
  </w:num>
  <w:num w:numId="55" w16cid:durableId="89547184">
    <w:abstractNumId w:val="41"/>
  </w:num>
  <w:num w:numId="56" w16cid:durableId="383024903">
    <w:abstractNumId w:val="6"/>
  </w:num>
  <w:num w:numId="57" w16cid:durableId="212741237">
    <w:abstractNumId w:val="3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81"/>
    <w:rsid w:val="00000883"/>
    <w:rsid w:val="000009C3"/>
    <w:rsid w:val="00000BB0"/>
    <w:rsid w:val="0000172F"/>
    <w:rsid w:val="00001ADA"/>
    <w:rsid w:val="000024A1"/>
    <w:rsid w:val="00002C4F"/>
    <w:rsid w:val="00002FA0"/>
    <w:rsid w:val="00003722"/>
    <w:rsid w:val="000049EF"/>
    <w:rsid w:val="00004C6E"/>
    <w:rsid w:val="00004CA2"/>
    <w:rsid w:val="00004E18"/>
    <w:rsid w:val="000052B5"/>
    <w:rsid w:val="00005B2F"/>
    <w:rsid w:val="00005B63"/>
    <w:rsid w:val="00006AA9"/>
    <w:rsid w:val="0000730B"/>
    <w:rsid w:val="00007449"/>
    <w:rsid w:val="000112BB"/>
    <w:rsid w:val="000113D3"/>
    <w:rsid w:val="00011818"/>
    <w:rsid w:val="00011B9F"/>
    <w:rsid w:val="0001345A"/>
    <w:rsid w:val="00013547"/>
    <w:rsid w:val="00013924"/>
    <w:rsid w:val="00013B25"/>
    <w:rsid w:val="000144DA"/>
    <w:rsid w:val="000148FA"/>
    <w:rsid w:val="000158E0"/>
    <w:rsid w:val="0001596F"/>
    <w:rsid w:val="00015F29"/>
    <w:rsid w:val="0001639A"/>
    <w:rsid w:val="0001660B"/>
    <w:rsid w:val="000167DF"/>
    <w:rsid w:val="00016B3B"/>
    <w:rsid w:val="000175B5"/>
    <w:rsid w:val="00020C36"/>
    <w:rsid w:val="00022268"/>
    <w:rsid w:val="00022818"/>
    <w:rsid w:val="000234D7"/>
    <w:rsid w:val="0002377C"/>
    <w:rsid w:val="00023D21"/>
    <w:rsid w:val="000245CE"/>
    <w:rsid w:val="00024BDA"/>
    <w:rsid w:val="00024EEF"/>
    <w:rsid w:val="000250BD"/>
    <w:rsid w:val="0002651C"/>
    <w:rsid w:val="0002789F"/>
    <w:rsid w:val="00027AB5"/>
    <w:rsid w:val="00027D1F"/>
    <w:rsid w:val="000303C4"/>
    <w:rsid w:val="00030EE2"/>
    <w:rsid w:val="00031400"/>
    <w:rsid w:val="000314D8"/>
    <w:rsid w:val="00031AD2"/>
    <w:rsid w:val="00032906"/>
    <w:rsid w:val="000330A1"/>
    <w:rsid w:val="00034D10"/>
    <w:rsid w:val="00034E03"/>
    <w:rsid w:val="00036B7C"/>
    <w:rsid w:val="00036CE1"/>
    <w:rsid w:val="00037FA0"/>
    <w:rsid w:val="000405DB"/>
    <w:rsid w:val="0004060E"/>
    <w:rsid w:val="0004317B"/>
    <w:rsid w:val="0004435C"/>
    <w:rsid w:val="0004724B"/>
    <w:rsid w:val="000501DF"/>
    <w:rsid w:val="00050E82"/>
    <w:rsid w:val="0005111D"/>
    <w:rsid w:val="000529AA"/>
    <w:rsid w:val="000530C8"/>
    <w:rsid w:val="00053954"/>
    <w:rsid w:val="00053A30"/>
    <w:rsid w:val="00053B4D"/>
    <w:rsid w:val="00053CA5"/>
    <w:rsid w:val="000541C1"/>
    <w:rsid w:val="000544EC"/>
    <w:rsid w:val="00054E12"/>
    <w:rsid w:val="00055365"/>
    <w:rsid w:val="00055962"/>
    <w:rsid w:val="00055A42"/>
    <w:rsid w:val="000568BD"/>
    <w:rsid w:val="00057249"/>
    <w:rsid w:val="00057981"/>
    <w:rsid w:val="00060154"/>
    <w:rsid w:val="00060C8F"/>
    <w:rsid w:val="000613A3"/>
    <w:rsid w:val="000618B4"/>
    <w:rsid w:val="00061F15"/>
    <w:rsid w:val="0006266B"/>
    <w:rsid w:val="00063DBE"/>
    <w:rsid w:val="00063E15"/>
    <w:rsid w:val="00064826"/>
    <w:rsid w:val="000654D7"/>
    <w:rsid w:val="00065962"/>
    <w:rsid w:val="00065FCA"/>
    <w:rsid w:val="000669A0"/>
    <w:rsid w:val="000672F6"/>
    <w:rsid w:val="00067B53"/>
    <w:rsid w:val="00067E76"/>
    <w:rsid w:val="000704F4"/>
    <w:rsid w:val="000705C2"/>
    <w:rsid w:val="00072F8D"/>
    <w:rsid w:val="00073E45"/>
    <w:rsid w:val="000741A2"/>
    <w:rsid w:val="00074A14"/>
    <w:rsid w:val="00074EA4"/>
    <w:rsid w:val="00076151"/>
    <w:rsid w:val="00076E94"/>
    <w:rsid w:val="00081620"/>
    <w:rsid w:val="000822FA"/>
    <w:rsid w:val="00082597"/>
    <w:rsid w:val="00082AB9"/>
    <w:rsid w:val="00082B41"/>
    <w:rsid w:val="00082DB2"/>
    <w:rsid w:val="000833EF"/>
    <w:rsid w:val="00084805"/>
    <w:rsid w:val="00084B85"/>
    <w:rsid w:val="00085411"/>
    <w:rsid w:val="0008590A"/>
    <w:rsid w:val="00085BBB"/>
    <w:rsid w:val="00087CB7"/>
    <w:rsid w:val="00087FF6"/>
    <w:rsid w:val="00091DF2"/>
    <w:rsid w:val="0009225C"/>
    <w:rsid w:val="0009259C"/>
    <w:rsid w:val="00092B2D"/>
    <w:rsid w:val="00092C19"/>
    <w:rsid w:val="00093729"/>
    <w:rsid w:val="0009448F"/>
    <w:rsid w:val="0009478C"/>
    <w:rsid w:val="00094893"/>
    <w:rsid w:val="00095A45"/>
    <w:rsid w:val="0009687E"/>
    <w:rsid w:val="00096AD2"/>
    <w:rsid w:val="00096B44"/>
    <w:rsid w:val="00096F60"/>
    <w:rsid w:val="00097F0B"/>
    <w:rsid w:val="000A0040"/>
    <w:rsid w:val="000A20D3"/>
    <w:rsid w:val="000A26A2"/>
    <w:rsid w:val="000A2739"/>
    <w:rsid w:val="000A277A"/>
    <w:rsid w:val="000A2911"/>
    <w:rsid w:val="000A3BA2"/>
    <w:rsid w:val="000A3ECB"/>
    <w:rsid w:val="000A3F6F"/>
    <w:rsid w:val="000A42EA"/>
    <w:rsid w:val="000A5135"/>
    <w:rsid w:val="000A528D"/>
    <w:rsid w:val="000A622C"/>
    <w:rsid w:val="000A6577"/>
    <w:rsid w:val="000A669F"/>
    <w:rsid w:val="000A6E19"/>
    <w:rsid w:val="000A79C5"/>
    <w:rsid w:val="000A7A65"/>
    <w:rsid w:val="000A7DCF"/>
    <w:rsid w:val="000A7FE7"/>
    <w:rsid w:val="000B0061"/>
    <w:rsid w:val="000B186A"/>
    <w:rsid w:val="000B2AB4"/>
    <w:rsid w:val="000B2DF1"/>
    <w:rsid w:val="000B2E60"/>
    <w:rsid w:val="000B3CF1"/>
    <w:rsid w:val="000B4457"/>
    <w:rsid w:val="000B6D75"/>
    <w:rsid w:val="000B6D82"/>
    <w:rsid w:val="000C14DC"/>
    <w:rsid w:val="000C2913"/>
    <w:rsid w:val="000C2E6E"/>
    <w:rsid w:val="000C32AC"/>
    <w:rsid w:val="000C6204"/>
    <w:rsid w:val="000C682B"/>
    <w:rsid w:val="000C6998"/>
    <w:rsid w:val="000C6AC5"/>
    <w:rsid w:val="000D0DE3"/>
    <w:rsid w:val="000D1B71"/>
    <w:rsid w:val="000D3DBF"/>
    <w:rsid w:val="000D53D4"/>
    <w:rsid w:val="000D5711"/>
    <w:rsid w:val="000D651D"/>
    <w:rsid w:val="000D75C9"/>
    <w:rsid w:val="000D7830"/>
    <w:rsid w:val="000D7908"/>
    <w:rsid w:val="000D7955"/>
    <w:rsid w:val="000E0078"/>
    <w:rsid w:val="000E1073"/>
    <w:rsid w:val="000E1627"/>
    <w:rsid w:val="000E2000"/>
    <w:rsid w:val="000E227D"/>
    <w:rsid w:val="000E23C6"/>
    <w:rsid w:val="000E28F3"/>
    <w:rsid w:val="000E294F"/>
    <w:rsid w:val="000E2E7B"/>
    <w:rsid w:val="000E3EAD"/>
    <w:rsid w:val="000E3F34"/>
    <w:rsid w:val="000E542F"/>
    <w:rsid w:val="000E5C0C"/>
    <w:rsid w:val="000E5D88"/>
    <w:rsid w:val="000E63D8"/>
    <w:rsid w:val="000E6ECA"/>
    <w:rsid w:val="000E74F3"/>
    <w:rsid w:val="000E763D"/>
    <w:rsid w:val="000E7A68"/>
    <w:rsid w:val="000E7B40"/>
    <w:rsid w:val="000F0C64"/>
    <w:rsid w:val="000F0E86"/>
    <w:rsid w:val="000F0EBA"/>
    <w:rsid w:val="000F11D9"/>
    <w:rsid w:val="000F272E"/>
    <w:rsid w:val="000F3D7A"/>
    <w:rsid w:val="000F5447"/>
    <w:rsid w:val="000F6C50"/>
    <w:rsid w:val="000F7A08"/>
    <w:rsid w:val="00101BBF"/>
    <w:rsid w:val="0010204F"/>
    <w:rsid w:val="001024F8"/>
    <w:rsid w:val="001029AA"/>
    <w:rsid w:val="00103429"/>
    <w:rsid w:val="00105640"/>
    <w:rsid w:val="0010603A"/>
    <w:rsid w:val="001063AA"/>
    <w:rsid w:val="00106610"/>
    <w:rsid w:val="0010688E"/>
    <w:rsid w:val="00106C1D"/>
    <w:rsid w:val="0010711E"/>
    <w:rsid w:val="00107484"/>
    <w:rsid w:val="001106CA"/>
    <w:rsid w:val="001109A5"/>
    <w:rsid w:val="00111334"/>
    <w:rsid w:val="00111D40"/>
    <w:rsid w:val="00111F78"/>
    <w:rsid w:val="00112998"/>
    <w:rsid w:val="00113CDA"/>
    <w:rsid w:val="00113DA5"/>
    <w:rsid w:val="0011409B"/>
    <w:rsid w:val="00114547"/>
    <w:rsid w:val="0011471B"/>
    <w:rsid w:val="00114D0C"/>
    <w:rsid w:val="00115502"/>
    <w:rsid w:val="00115DD4"/>
    <w:rsid w:val="00116CFC"/>
    <w:rsid w:val="00117256"/>
    <w:rsid w:val="00117631"/>
    <w:rsid w:val="00117A34"/>
    <w:rsid w:val="00117E62"/>
    <w:rsid w:val="00120DFF"/>
    <w:rsid w:val="001210C5"/>
    <w:rsid w:val="0012122D"/>
    <w:rsid w:val="00121284"/>
    <w:rsid w:val="001214A6"/>
    <w:rsid w:val="00121B8E"/>
    <w:rsid w:val="00122A1F"/>
    <w:rsid w:val="001238E5"/>
    <w:rsid w:val="00123B5A"/>
    <w:rsid w:val="00124D85"/>
    <w:rsid w:val="001250EE"/>
    <w:rsid w:val="00125153"/>
    <w:rsid w:val="00125801"/>
    <w:rsid w:val="001259BD"/>
    <w:rsid w:val="00125F90"/>
    <w:rsid w:val="001261D7"/>
    <w:rsid w:val="00126877"/>
    <w:rsid w:val="0012691A"/>
    <w:rsid w:val="00126CF3"/>
    <w:rsid w:val="00126F4D"/>
    <w:rsid w:val="00126FC5"/>
    <w:rsid w:val="00127B73"/>
    <w:rsid w:val="0013020C"/>
    <w:rsid w:val="00132401"/>
    <w:rsid w:val="001333AA"/>
    <w:rsid w:val="00134591"/>
    <w:rsid w:val="001347D6"/>
    <w:rsid w:val="00134950"/>
    <w:rsid w:val="00134BCD"/>
    <w:rsid w:val="001354C3"/>
    <w:rsid w:val="00135ED4"/>
    <w:rsid w:val="00136024"/>
    <w:rsid w:val="00136548"/>
    <w:rsid w:val="00136F5E"/>
    <w:rsid w:val="00137EEA"/>
    <w:rsid w:val="0014097E"/>
    <w:rsid w:val="001424F4"/>
    <w:rsid w:val="0014341A"/>
    <w:rsid w:val="00143B60"/>
    <w:rsid w:val="00144D61"/>
    <w:rsid w:val="001458C5"/>
    <w:rsid w:val="00146159"/>
    <w:rsid w:val="00146407"/>
    <w:rsid w:val="00146490"/>
    <w:rsid w:val="00146660"/>
    <w:rsid w:val="00147329"/>
    <w:rsid w:val="00147655"/>
    <w:rsid w:val="00147B05"/>
    <w:rsid w:val="00152058"/>
    <w:rsid w:val="001520A0"/>
    <w:rsid w:val="00152B72"/>
    <w:rsid w:val="0015348E"/>
    <w:rsid w:val="001537BF"/>
    <w:rsid w:val="00153F84"/>
    <w:rsid w:val="0015527F"/>
    <w:rsid w:val="00155A98"/>
    <w:rsid w:val="0015680F"/>
    <w:rsid w:val="00156B01"/>
    <w:rsid w:val="00157622"/>
    <w:rsid w:val="0015769B"/>
    <w:rsid w:val="001579B2"/>
    <w:rsid w:val="00160426"/>
    <w:rsid w:val="00161608"/>
    <w:rsid w:val="00162CF2"/>
    <w:rsid w:val="0016401E"/>
    <w:rsid w:val="001641F5"/>
    <w:rsid w:val="00164E4A"/>
    <w:rsid w:val="001658DF"/>
    <w:rsid w:val="00165DC8"/>
    <w:rsid w:val="00165E8C"/>
    <w:rsid w:val="00167D2B"/>
    <w:rsid w:val="00170416"/>
    <w:rsid w:val="0017073F"/>
    <w:rsid w:val="001708BF"/>
    <w:rsid w:val="0017159A"/>
    <w:rsid w:val="00172255"/>
    <w:rsid w:val="0017249F"/>
    <w:rsid w:val="00172757"/>
    <w:rsid w:val="0017315A"/>
    <w:rsid w:val="001773D8"/>
    <w:rsid w:val="00177F6D"/>
    <w:rsid w:val="00180018"/>
    <w:rsid w:val="001803E7"/>
    <w:rsid w:val="00181944"/>
    <w:rsid w:val="00182170"/>
    <w:rsid w:val="00182B7E"/>
    <w:rsid w:val="001833C2"/>
    <w:rsid w:val="00183436"/>
    <w:rsid w:val="00183E29"/>
    <w:rsid w:val="0018445B"/>
    <w:rsid w:val="0018500B"/>
    <w:rsid w:val="00185E63"/>
    <w:rsid w:val="00186074"/>
    <w:rsid w:val="0018621E"/>
    <w:rsid w:val="00186232"/>
    <w:rsid w:val="00186BA0"/>
    <w:rsid w:val="001906E0"/>
    <w:rsid w:val="00190715"/>
    <w:rsid w:val="00191095"/>
    <w:rsid w:val="00192303"/>
    <w:rsid w:val="001937E7"/>
    <w:rsid w:val="0019401A"/>
    <w:rsid w:val="001954F2"/>
    <w:rsid w:val="0019559F"/>
    <w:rsid w:val="0019624A"/>
    <w:rsid w:val="00197744"/>
    <w:rsid w:val="00197C70"/>
    <w:rsid w:val="001A151B"/>
    <w:rsid w:val="001A18AC"/>
    <w:rsid w:val="001A1E41"/>
    <w:rsid w:val="001A2591"/>
    <w:rsid w:val="001A3811"/>
    <w:rsid w:val="001A3A1D"/>
    <w:rsid w:val="001A419E"/>
    <w:rsid w:val="001A642F"/>
    <w:rsid w:val="001B0074"/>
    <w:rsid w:val="001B0BD8"/>
    <w:rsid w:val="001B10CB"/>
    <w:rsid w:val="001B115A"/>
    <w:rsid w:val="001B1C0B"/>
    <w:rsid w:val="001B1D04"/>
    <w:rsid w:val="001B2013"/>
    <w:rsid w:val="001B21EA"/>
    <w:rsid w:val="001B28D8"/>
    <w:rsid w:val="001B2919"/>
    <w:rsid w:val="001B3380"/>
    <w:rsid w:val="001B3479"/>
    <w:rsid w:val="001B3C6F"/>
    <w:rsid w:val="001B439E"/>
    <w:rsid w:val="001B5421"/>
    <w:rsid w:val="001B590F"/>
    <w:rsid w:val="001B704E"/>
    <w:rsid w:val="001C0DEE"/>
    <w:rsid w:val="001C195B"/>
    <w:rsid w:val="001C214E"/>
    <w:rsid w:val="001C217C"/>
    <w:rsid w:val="001C21F1"/>
    <w:rsid w:val="001C2270"/>
    <w:rsid w:val="001C2EE1"/>
    <w:rsid w:val="001C3071"/>
    <w:rsid w:val="001C31A7"/>
    <w:rsid w:val="001C3D42"/>
    <w:rsid w:val="001C5014"/>
    <w:rsid w:val="001C52A8"/>
    <w:rsid w:val="001C551E"/>
    <w:rsid w:val="001C561B"/>
    <w:rsid w:val="001C62B6"/>
    <w:rsid w:val="001C6340"/>
    <w:rsid w:val="001C6905"/>
    <w:rsid w:val="001C77EB"/>
    <w:rsid w:val="001C7866"/>
    <w:rsid w:val="001C7F95"/>
    <w:rsid w:val="001D04F8"/>
    <w:rsid w:val="001D088A"/>
    <w:rsid w:val="001D0A20"/>
    <w:rsid w:val="001D0DD2"/>
    <w:rsid w:val="001D17C1"/>
    <w:rsid w:val="001D1810"/>
    <w:rsid w:val="001D1812"/>
    <w:rsid w:val="001D19F6"/>
    <w:rsid w:val="001D1FA3"/>
    <w:rsid w:val="001D2294"/>
    <w:rsid w:val="001D2B24"/>
    <w:rsid w:val="001D3118"/>
    <w:rsid w:val="001D3498"/>
    <w:rsid w:val="001D3BBE"/>
    <w:rsid w:val="001D3C5C"/>
    <w:rsid w:val="001D511D"/>
    <w:rsid w:val="001D5436"/>
    <w:rsid w:val="001D5A10"/>
    <w:rsid w:val="001D66C3"/>
    <w:rsid w:val="001D6A76"/>
    <w:rsid w:val="001D7B48"/>
    <w:rsid w:val="001E0B0A"/>
    <w:rsid w:val="001E0C97"/>
    <w:rsid w:val="001E0FDE"/>
    <w:rsid w:val="001E10AB"/>
    <w:rsid w:val="001E24C8"/>
    <w:rsid w:val="001E2B95"/>
    <w:rsid w:val="001E32D0"/>
    <w:rsid w:val="001E5932"/>
    <w:rsid w:val="001E7250"/>
    <w:rsid w:val="001E77A0"/>
    <w:rsid w:val="001E7839"/>
    <w:rsid w:val="001E7DEC"/>
    <w:rsid w:val="001F0FEE"/>
    <w:rsid w:val="001F1504"/>
    <w:rsid w:val="001F16D2"/>
    <w:rsid w:val="001F240B"/>
    <w:rsid w:val="001F2C36"/>
    <w:rsid w:val="001F2E09"/>
    <w:rsid w:val="001F5D58"/>
    <w:rsid w:val="001F69A7"/>
    <w:rsid w:val="001F6F6F"/>
    <w:rsid w:val="001F70C8"/>
    <w:rsid w:val="001F748F"/>
    <w:rsid w:val="0020019B"/>
    <w:rsid w:val="00201B4E"/>
    <w:rsid w:val="00201CD9"/>
    <w:rsid w:val="0020212F"/>
    <w:rsid w:val="0020340F"/>
    <w:rsid w:val="002036E6"/>
    <w:rsid w:val="00203771"/>
    <w:rsid w:val="002039D3"/>
    <w:rsid w:val="00204259"/>
    <w:rsid w:val="002067D7"/>
    <w:rsid w:val="00206F58"/>
    <w:rsid w:val="002072FD"/>
    <w:rsid w:val="00210437"/>
    <w:rsid w:val="00210B0D"/>
    <w:rsid w:val="00211EFE"/>
    <w:rsid w:val="00212049"/>
    <w:rsid w:val="00212917"/>
    <w:rsid w:val="00213B3C"/>
    <w:rsid w:val="00213CB1"/>
    <w:rsid w:val="0021445F"/>
    <w:rsid w:val="002154B1"/>
    <w:rsid w:val="00216328"/>
    <w:rsid w:val="00220229"/>
    <w:rsid w:val="00220C6F"/>
    <w:rsid w:val="00221444"/>
    <w:rsid w:val="002216D6"/>
    <w:rsid w:val="00221DB5"/>
    <w:rsid w:val="00221DF3"/>
    <w:rsid w:val="00222024"/>
    <w:rsid w:val="00222477"/>
    <w:rsid w:val="002226EA"/>
    <w:rsid w:val="00222A52"/>
    <w:rsid w:val="00224433"/>
    <w:rsid w:val="002265AF"/>
    <w:rsid w:val="00226650"/>
    <w:rsid w:val="00230618"/>
    <w:rsid w:val="00230C53"/>
    <w:rsid w:val="00231040"/>
    <w:rsid w:val="002330F2"/>
    <w:rsid w:val="00233998"/>
    <w:rsid w:val="002339BA"/>
    <w:rsid w:val="00234215"/>
    <w:rsid w:val="00234ADC"/>
    <w:rsid w:val="0023587B"/>
    <w:rsid w:val="0023618C"/>
    <w:rsid w:val="002362A8"/>
    <w:rsid w:val="00236C3C"/>
    <w:rsid w:val="00237A94"/>
    <w:rsid w:val="00237B17"/>
    <w:rsid w:val="00237B22"/>
    <w:rsid w:val="002400FC"/>
    <w:rsid w:val="002410FA"/>
    <w:rsid w:val="00241B79"/>
    <w:rsid w:val="00241F12"/>
    <w:rsid w:val="00242AAA"/>
    <w:rsid w:val="00242AFE"/>
    <w:rsid w:val="00242BFD"/>
    <w:rsid w:val="002430F2"/>
    <w:rsid w:val="00243488"/>
    <w:rsid w:val="00245B6F"/>
    <w:rsid w:val="00245BE5"/>
    <w:rsid w:val="00245DFC"/>
    <w:rsid w:val="00246D0F"/>
    <w:rsid w:val="00246E79"/>
    <w:rsid w:val="002501DB"/>
    <w:rsid w:val="002507A7"/>
    <w:rsid w:val="00250B53"/>
    <w:rsid w:val="00251BCB"/>
    <w:rsid w:val="00251D9D"/>
    <w:rsid w:val="00251FCC"/>
    <w:rsid w:val="0025261A"/>
    <w:rsid w:val="00252958"/>
    <w:rsid w:val="00252F1D"/>
    <w:rsid w:val="002530EE"/>
    <w:rsid w:val="0025416F"/>
    <w:rsid w:val="00254FB8"/>
    <w:rsid w:val="00255647"/>
    <w:rsid w:val="002600E7"/>
    <w:rsid w:val="002605DF"/>
    <w:rsid w:val="00260D27"/>
    <w:rsid w:val="0026327E"/>
    <w:rsid w:val="00263ED9"/>
    <w:rsid w:val="00264D1B"/>
    <w:rsid w:val="002655CB"/>
    <w:rsid w:val="00266D72"/>
    <w:rsid w:val="0026750B"/>
    <w:rsid w:val="00267706"/>
    <w:rsid w:val="0026775D"/>
    <w:rsid w:val="00267E0B"/>
    <w:rsid w:val="00270760"/>
    <w:rsid w:val="00270DE4"/>
    <w:rsid w:val="00271005"/>
    <w:rsid w:val="002714AA"/>
    <w:rsid w:val="0027195B"/>
    <w:rsid w:val="00272D51"/>
    <w:rsid w:val="002730E9"/>
    <w:rsid w:val="00274F90"/>
    <w:rsid w:val="00275495"/>
    <w:rsid w:val="00275777"/>
    <w:rsid w:val="00275D39"/>
    <w:rsid w:val="00276060"/>
    <w:rsid w:val="002768B7"/>
    <w:rsid w:val="00276C10"/>
    <w:rsid w:val="00277389"/>
    <w:rsid w:val="00281025"/>
    <w:rsid w:val="00281378"/>
    <w:rsid w:val="00282189"/>
    <w:rsid w:val="002827F8"/>
    <w:rsid w:val="00282915"/>
    <w:rsid w:val="002855DB"/>
    <w:rsid w:val="0028632E"/>
    <w:rsid w:val="00286890"/>
    <w:rsid w:val="00286CD6"/>
    <w:rsid w:val="00286EA8"/>
    <w:rsid w:val="00290C7A"/>
    <w:rsid w:val="00292C63"/>
    <w:rsid w:val="002932E8"/>
    <w:rsid w:val="002938A7"/>
    <w:rsid w:val="00294784"/>
    <w:rsid w:val="00294E29"/>
    <w:rsid w:val="00294EE7"/>
    <w:rsid w:val="00295339"/>
    <w:rsid w:val="002957D4"/>
    <w:rsid w:val="0029699D"/>
    <w:rsid w:val="002977A9"/>
    <w:rsid w:val="00297BD8"/>
    <w:rsid w:val="00297F0A"/>
    <w:rsid w:val="002A04CF"/>
    <w:rsid w:val="002A06A2"/>
    <w:rsid w:val="002A1799"/>
    <w:rsid w:val="002A3BD5"/>
    <w:rsid w:val="002A3CEF"/>
    <w:rsid w:val="002A54B2"/>
    <w:rsid w:val="002A579B"/>
    <w:rsid w:val="002A702A"/>
    <w:rsid w:val="002A7364"/>
    <w:rsid w:val="002A766C"/>
    <w:rsid w:val="002A7BCC"/>
    <w:rsid w:val="002B1F1F"/>
    <w:rsid w:val="002B244E"/>
    <w:rsid w:val="002B39D3"/>
    <w:rsid w:val="002B470A"/>
    <w:rsid w:val="002B4CC0"/>
    <w:rsid w:val="002B5F8B"/>
    <w:rsid w:val="002B636E"/>
    <w:rsid w:val="002B6560"/>
    <w:rsid w:val="002B6B4D"/>
    <w:rsid w:val="002C014D"/>
    <w:rsid w:val="002C0681"/>
    <w:rsid w:val="002C0875"/>
    <w:rsid w:val="002C0DC8"/>
    <w:rsid w:val="002C26F7"/>
    <w:rsid w:val="002C27DE"/>
    <w:rsid w:val="002C2B3A"/>
    <w:rsid w:val="002C3C20"/>
    <w:rsid w:val="002C4027"/>
    <w:rsid w:val="002C45F7"/>
    <w:rsid w:val="002C4E49"/>
    <w:rsid w:val="002C5687"/>
    <w:rsid w:val="002C59C6"/>
    <w:rsid w:val="002C686F"/>
    <w:rsid w:val="002C76A4"/>
    <w:rsid w:val="002D01E0"/>
    <w:rsid w:val="002D0408"/>
    <w:rsid w:val="002D046D"/>
    <w:rsid w:val="002D08A4"/>
    <w:rsid w:val="002D1301"/>
    <w:rsid w:val="002D14A4"/>
    <w:rsid w:val="002D1C79"/>
    <w:rsid w:val="002D1D4B"/>
    <w:rsid w:val="002D1F5E"/>
    <w:rsid w:val="002D205F"/>
    <w:rsid w:val="002D25D7"/>
    <w:rsid w:val="002D2A89"/>
    <w:rsid w:val="002D3B54"/>
    <w:rsid w:val="002D3B77"/>
    <w:rsid w:val="002D4AB7"/>
    <w:rsid w:val="002D4F08"/>
    <w:rsid w:val="002D50B3"/>
    <w:rsid w:val="002D5127"/>
    <w:rsid w:val="002D5150"/>
    <w:rsid w:val="002D6D2F"/>
    <w:rsid w:val="002D77F8"/>
    <w:rsid w:val="002D7B7E"/>
    <w:rsid w:val="002D7FB8"/>
    <w:rsid w:val="002E04A5"/>
    <w:rsid w:val="002E08E8"/>
    <w:rsid w:val="002E1935"/>
    <w:rsid w:val="002E2821"/>
    <w:rsid w:val="002E2974"/>
    <w:rsid w:val="002E3F92"/>
    <w:rsid w:val="002E5CF4"/>
    <w:rsid w:val="002E606F"/>
    <w:rsid w:val="002E6C8B"/>
    <w:rsid w:val="002E73CC"/>
    <w:rsid w:val="002E76BA"/>
    <w:rsid w:val="002E7E5A"/>
    <w:rsid w:val="002F004C"/>
    <w:rsid w:val="002F004D"/>
    <w:rsid w:val="002F2B13"/>
    <w:rsid w:val="002F2F65"/>
    <w:rsid w:val="002F357C"/>
    <w:rsid w:val="002F406B"/>
    <w:rsid w:val="002F50A6"/>
    <w:rsid w:val="002F50B2"/>
    <w:rsid w:val="002F5205"/>
    <w:rsid w:val="002F56C8"/>
    <w:rsid w:val="002F68C6"/>
    <w:rsid w:val="002F6DA9"/>
    <w:rsid w:val="002F7830"/>
    <w:rsid w:val="003011BC"/>
    <w:rsid w:val="00301222"/>
    <w:rsid w:val="00301BB2"/>
    <w:rsid w:val="003024E7"/>
    <w:rsid w:val="00302FF4"/>
    <w:rsid w:val="00303A3B"/>
    <w:rsid w:val="00303C6E"/>
    <w:rsid w:val="003049C4"/>
    <w:rsid w:val="00305772"/>
    <w:rsid w:val="00306302"/>
    <w:rsid w:val="0030649C"/>
    <w:rsid w:val="00306724"/>
    <w:rsid w:val="003067A9"/>
    <w:rsid w:val="0031060A"/>
    <w:rsid w:val="00310A15"/>
    <w:rsid w:val="00310C78"/>
    <w:rsid w:val="0031150F"/>
    <w:rsid w:val="003115BF"/>
    <w:rsid w:val="00311651"/>
    <w:rsid w:val="0031171A"/>
    <w:rsid w:val="00312C70"/>
    <w:rsid w:val="00312EEE"/>
    <w:rsid w:val="003132EA"/>
    <w:rsid w:val="00313E36"/>
    <w:rsid w:val="00314249"/>
    <w:rsid w:val="003147A1"/>
    <w:rsid w:val="003148DD"/>
    <w:rsid w:val="0031540F"/>
    <w:rsid w:val="0031608C"/>
    <w:rsid w:val="00316774"/>
    <w:rsid w:val="00317071"/>
    <w:rsid w:val="003203EC"/>
    <w:rsid w:val="003203F8"/>
    <w:rsid w:val="00320B76"/>
    <w:rsid w:val="00320FFE"/>
    <w:rsid w:val="00321022"/>
    <w:rsid w:val="00321180"/>
    <w:rsid w:val="00322A10"/>
    <w:rsid w:val="00323097"/>
    <w:rsid w:val="00323AD7"/>
    <w:rsid w:val="003243CB"/>
    <w:rsid w:val="00324CC8"/>
    <w:rsid w:val="00324DAF"/>
    <w:rsid w:val="00325825"/>
    <w:rsid w:val="0032605E"/>
    <w:rsid w:val="003267AC"/>
    <w:rsid w:val="003271DC"/>
    <w:rsid w:val="003271EC"/>
    <w:rsid w:val="003272F2"/>
    <w:rsid w:val="00330810"/>
    <w:rsid w:val="00330863"/>
    <w:rsid w:val="00330B08"/>
    <w:rsid w:val="00332B81"/>
    <w:rsid w:val="0033356A"/>
    <w:rsid w:val="0033524F"/>
    <w:rsid w:val="00337EEC"/>
    <w:rsid w:val="00340483"/>
    <w:rsid w:val="0034108F"/>
    <w:rsid w:val="003416B1"/>
    <w:rsid w:val="003418F8"/>
    <w:rsid w:val="00342A39"/>
    <w:rsid w:val="00342C38"/>
    <w:rsid w:val="0034339A"/>
    <w:rsid w:val="00343B5D"/>
    <w:rsid w:val="00343FA7"/>
    <w:rsid w:val="003440C6"/>
    <w:rsid w:val="00344201"/>
    <w:rsid w:val="00344B10"/>
    <w:rsid w:val="0034575D"/>
    <w:rsid w:val="00345978"/>
    <w:rsid w:val="00346308"/>
    <w:rsid w:val="00347C3B"/>
    <w:rsid w:val="003504F3"/>
    <w:rsid w:val="003509F6"/>
    <w:rsid w:val="00350B98"/>
    <w:rsid w:val="003513D1"/>
    <w:rsid w:val="0035156C"/>
    <w:rsid w:val="00351680"/>
    <w:rsid w:val="003517EB"/>
    <w:rsid w:val="00351EAB"/>
    <w:rsid w:val="00352031"/>
    <w:rsid w:val="003523BB"/>
    <w:rsid w:val="00353B63"/>
    <w:rsid w:val="003556D3"/>
    <w:rsid w:val="00355CF2"/>
    <w:rsid w:val="00355EF0"/>
    <w:rsid w:val="00356190"/>
    <w:rsid w:val="00357779"/>
    <w:rsid w:val="003605F5"/>
    <w:rsid w:val="00361542"/>
    <w:rsid w:val="00363698"/>
    <w:rsid w:val="00364E50"/>
    <w:rsid w:val="00364F67"/>
    <w:rsid w:val="00365E14"/>
    <w:rsid w:val="00366D78"/>
    <w:rsid w:val="003675E4"/>
    <w:rsid w:val="00371623"/>
    <w:rsid w:val="003716F6"/>
    <w:rsid w:val="003725A4"/>
    <w:rsid w:val="003725FF"/>
    <w:rsid w:val="00372C8E"/>
    <w:rsid w:val="00374118"/>
    <w:rsid w:val="003749D0"/>
    <w:rsid w:val="003754C1"/>
    <w:rsid w:val="0037629F"/>
    <w:rsid w:val="00376B6F"/>
    <w:rsid w:val="003770C1"/>
    <w:rsid w:val="003775E3"/>
    <w:rsid w:val="003777CC"/>
    <w:rsid w:val="003779B3"/>
    <w:rsid w:val="00377FA8"/>
    <w:rsid w:val="003801C4"/>
    <w:rsid w:val="003802F8"/>
    <w:rsid w:val="00380FA9"/>
    <w:rsid w:val="00381E6C"/>
    <w:rsid w:val="00382C15"/>
    <w:rsid w:val="003834A5"/>
    <w:rsid w:val="0038456E"/>
    <w:rsid w:val="00384CDD"/>
    <w:rsid w:val="00384CF2"/>
    <w:rsid w:val="00384FB7"/>
    <w:rsid w:val="00385711"/>
    <w:rsid w:val="0038610C"/>
    <w:rsid w:val="00387136"/>
    <w:rsid w:val="00387A58"/>
    <w:rsid w:val="00390BB0"/>
    <w:rsid w:val="0039100A"/>
    <w:rsid w:val="00393DA6"/>
    <w:rsid w:val="003941ED"/>
    <w:rsid w:val="00394860"/>
    <w:rsid w:val="00394979"/>
    <w:rsid w:val="00394EB3"/>
    <w:rsid w:val="0039620F"/>
    <w:rsid w:val="003979F1"/>
    <w:rsid w:val="003A146C"/>
    <w:rsid w:val="003A1556"/>
    <w:rsid w:val="003A1623"/>
    <w:rsid w:val="003A266C"/>
    <w:rsid w:val="003A36B3"/>
    <w:rsid w:val="003A38D9"/>
    <w:rsid w:val="003A3F38"/>
    <w:rsid w:val="003A4EEC"/>
    <w:rsid w:val="003A518D"/>
    <w:rsid w:val="003A5592"/>
    <w:rsid w:val="003A5E29"/>
    <w:rsid w:val="003A5FA1"/>
    <w:rsid w:val="003A7867"/>
    <w:rsid w:val="003A7F12"/>
    <w:rsid w:val="003B042F"/>
    <w:rsid w:val="003B04AE"/>
    <w:rsid w:val="003B0B58"/>
    <w:rsid w:val="003B0D4E"/>
    <w:rsid w:val="003B0F80"/>
    <w:rsid w:val="003B2B22"/>
    <w:rsid w:val="003B3497"/>
    <w:rsid w:val="003B66F4"/>
    <w:rsid w:val="003C152B"/>
    <w:rsid w:val="003C15D7"/>
    <w:rsid w:val="003C1C05"/>
    <w:rsid w:val="003C1F88"/>
    <w:rsid w:val="003C24C3"/>
    <w:rsid w:val="003C2615"/>
    <w:rsid w:val="003C2931"/>
    <w:rsid w:val="003C2E18"/>
    <w:rsid w:val="003C3F77"/>
    <w:rsid w:val="003C410C"/>
    <w:rsid w:val="003C41B9"/>
    <w:rsid w:val="003C6E04"/>
    <w:rsid w:val="003C7D16"/>
    <w:rsid w:val="003D082F"/>
    <w:rsid w:val="003D0AD3"/>
    <w:rsid w:val="003D0D9D"/>
    <w:rsid w:val="003D0E57"/>
    <w:rsid w:val="003D177D"/>
    <w:rsid w:val="003D19F3"/>
    <w:rsid w:val="003D264B"/>
    <w:rsid w:val="003D28BC"/>
    <w:rsid w:val="003D5B20"/>
    <w:rsid w:val="003D5CAD"/>
    <w:rsid w:val="003D5D49"/>
    <w:rsid w:val="003D607F"/>
    <w:rsid w:val="003D6239"/>
    <w:rsid w:val="003D629D"/>
    <w:rsid w:val="003D6EB3"/>
    <w:rsid w:val="003D7BE0"/>
    <w:rsid w:val="003E00EE"/>
    <w:rsid w:val="003E02C0"/>
    <w:rsid w:val="003E033E"/>
    <w:rsid w:val="003E0D50"/>
    <w:rsid w:val="003E1057"/>
    <w:rsid w:val="003E3DE7"/>
    <w:rsid w:val="003E3FE9"/>
    <w:rsid w:val="003E4000"/>
    <w:rsid w:val="003E4966"/>
    <w:rsid w:val="003E536F"/>
    <w:rsid w:val="003E5586"/>
    <w:rsid w:val="003E6414"/>
    <w:rsid w:val="003E7EEF"/>
    <w:rsid w:val="003F01D0"/>
    <w:rsid w:val="003F07AE"/>
    <w:rsid w:val="003F0844"/>
    <w:rsid w:val="003F0D10"/>
    <w:rsid w:val="003F13AC"/>
    <w:rsid w:val="003F2179"/>
    <w:rsid w:val="003F2B4E"/>
    <w:rsid w:val="003F38A5"/>
    <w:rsid w:val="003F3DE5"/>
    <w:rsid w:val="003F415C"/>
    <w:rsid w:val="003F4D98"/>
    <w:rsid w:val="003F5BF9"/>
    <w:rsid w:val="003F6627"/>
    <w:rsid w:val="003F6889"/>
    <w:rsid w:val="003F7092"/>
    <w:rsid w:val="003F744D"/>
    <w:rsid w:val="003F7C36"/>
    <w:rsid w:val="003F7D1B"/>
    <w:rsid w:val="003F7F56"/>
    <w:rsid w:val="0040049E"/>
    <w:rsid w:val="00401EBA"/>
    <w:rsid w:val="004040BD"/>
    <w:rsid w:val="004044EB"/>
    <w:rsid w:val="0040480A"/>
    <w:rsid w:val="0040496F"/>
    <w:rsid w:val="00404FF1"/>
    <w:rsid w:val="0040515B"/>
    <w:rsid w:val="00405228"/>
    <w:rsid w:val="004063BA"/>
    <w:rsid w:val="00406724"/>
    <w:rsid w:val="00406783"/>
    <w:rsid w:val="00406CDA"/>
    <w:rsid w:val="00406D8B"/>
    <w:rsid w:val="0040729F"/>
    <w:rsid w:val="00407751"/>
    <w:rsid w:val="0040794F"/>
    <w:rsid w:val="00411B56"/>
    <w:rsid w:val="004120EE"/>
    <w:rsid w:val="00413149"/>
    <w:rsid w:val="00414D8C"/>
    <w:rsid w:val="00415364"/>
    <w:rsid w:val="0041596D"/>
    <w:rsid w:val="00415BD0"/>
    <w:rsid w:val="004177A1"/>
    <w:rsid w:val="00417D53"/>
    <w:rsid w:val="00417E76"/>
    <w:rsid w:val="00417F91"/>
    <w:rsid w:val="004202B4"/>
    <w:rsid w:val="004204AC"/>
    <w:rsid w:val="00420E56"/>
    <w:rsid w:val="00420F67"/>
    <w:rsid w:val="00424DA5"/>
    <w:rsid w:val="0042506F"/>
    <w:rsid w:val="004250BC"/>
    <w:rsid w:val="0042530E"/>
    <w:rsid w:val="004254CB"/>
    <w:rsid w:val="004265E6"/>
    <w:rsid w:val="00427E1D"/>
    <w:rsid w:val="004301C4"/>
    <w:rsid w:val="004302F7"/>
    <w:rsid w:val="004317D7"/>
    <w:rsid w:val="00431BD2"/>
    <w:rsid w:val="00431CBB"/>
    <w:rsid w:val="00433722"/>
    <w:rsid w:val="00433DD6"/>
    <w:rsid w:val="004358B2"/>
    <w:rsid w:val="00435DFF"/>
    <w:rsid w:val="00436772"/>
    <w:rsid w:val="00436822"/>
    <w:rsid w:val="00437EC4"/>
    <w:rsid w:val="00437F83"/>
    <w:rsid w:val="004401C0"/>
    <w:rsid w:val="0044021C"/>
    <w:rsid w:val="00440594"/>
    <w:rsid w:val="00440DD3"/>
    <w:rsid w:val="004410C8"/>
    <w:rsid w:val="00442AC7"/>
    <w:rsid w:val="00442EFE"/>
    <w:rsid w:val="004433F2"/>
    <w:rsid w:val="00443755"/>
    <w:rsid w:val="00443F38"/>
    <w:rsid w:val="0044444F"/>
    <w:rsid w:val="00444661"/>
    <w:rsid w:val="00444685"/>
    <w:rsid w:val="00444F19"/>
    <w:rsid w:val="004475CE"/>
    <w:rsid w:val="00447C43"/>
    <w:rsid w:val="00447CB1"/>
    <w:rsid w:val="004514B7"/>
    <w:rsid w:val="0045210F"/>
    <w:rsid w:val="00452356"/>
    <w:rsid w:val="0045273C"/>
    <w:rsid w:val="00453497"/>
    <w:rsid w:val="00453816"/>
    <w:rsid w:val="00453C58"/>
    <w:rsid w:val="00455EAA"/>
    <w:rsid w:val="0045759B"/>
    <w:rsid w:val="00457829"/>
    <w:rsid w:val="00457C78"/>
    <w:rsid w:val="00460673"/>
    <w:rsid w:val="00461524"/>
    <w:rsid w:val="004617D4"/>
    <w:rsid w:val="00462A9C"/>
    <w:rsid w:val="00462BE7"/>
    <w:rsid w:val="00462C31"/>
    <w:rsid w:val="00463361"/>
    <w:rsid w:val="00464212"/>
    <w:rsid w:val="004643C0"/>
    <w:rsid w:val="0046449B"/>
    <w:rsid w:val="004667B1"/>
    <w:rsid w:val="004673B1"/>
    <w:rsid w:val="00467497"/>
    <w:rsid w:val="00467E5F"/>
    <w:rsid w:val="004700F4"/>
    <w:rsid w:val="00470F2D"/>
    <w:rsid w:val="004719AE"/>
    <w:rsid w:val="004728BB"/>
    <w:rsid w:val="00472A84"/>
    <w:rsid w:val="00473088"/>
    <w:rsid w:val="004734CE"/>
    <w:rsid w:val="00473559"/>
    <w:rsid w:val="00473930"/>
    <w:rsid w:val="00473D05"/>
    <w:rsid w:val="00474B98"/>
    <w:rsid w:val="004758CF"/>
    <w:rsid w:val="00477472"/>
    <w:rsid w:val="00482823"/>
    <w:rsid w:val="00482EC0"/>
    <w:rsid w:val="00483CA2"/>
    <w:rsid w:val="00484E57"/>
    <w:rsid w:val="0048607B"/>
    <w:rsid w:val="004863A2"/>
    <w:rsid w:val="00486708"/>
    <w:rsid w:val="0048675B"/>
    <w:rsid w:val="00486796"/>
    <w:rsid w:val="00486BD4"/>
    <w:rsid w:val="00487150"/>
    <w:rsid w:val="00487ACE"/>
    <w:rsid w:val="00490AE2"/>
    <w:rsid w:val="00490E45"/>
    <w:rsid w:val="00491B42"/>
    <w:rsid w:val="00491B4A"/>
    <w:rsid w:val="00492AC3"/>
    <w:rsid w:val="004934A1"/>
    <w:rsid w:val="00493E98"/>
    <w:rsid w:val="004953B5"/>
    <w:rsid w:val="004958BD"/>
    <w:rsid w:val="00496223"/>
    <w:rsid w:val="00496D3F"/>
    <w:rsid w:val="00496ED1"/>
    <w:rsid w:val="00497C54"/>
    <w:rsid w:val="00497D34"/>
    <w:rsid w:val="004A02E1"/>
    <w:rsid w:val="004A0B13"/>
    <w:rsid w:val="004A1190"/>
    <w:rsid w:val="004A2B86"/>
    <w:rsid w:val="004A2C40"/>
    <w:rsid w:val="004A34C6"/>
    <w:rsid w:val="004A48AD"/>
    <w:rsid w:val="004A4A03"/>
    <w:rsid w:val="004A4AAF"/>
    <w:rsid w:val="004A5074"/>
    <w:rsid w:val="004A6027"/>
    <w:rsid w:val="004A6120"/>
    <w:rsid w:val="004A6590"/>
    <w:rsid w:val="004A7188"/>
    <w:rsid w:val="004A7251"/>
    <w:rsid w:val="004A7D30"/>
    <w:rsid w:val="004A7FBE"/>
    <w:rsid w:val="004B14DE"/>
    <w:rsid w:val="004B16BB"/>
    <w:rsid w:val="004B1D96"/>
    <w:rsid w:val="004B2168"/>
    <w:rsid w:val="004B24FA"/>
    <w:rsid w:val="004B3294"/>
    <w:rsid w:val="004B3939"/>
    <w:rsid w:val="004B3D5C"/>
    <w:rsid w:val="004B44F6"/>
    <w:rsid w:val="004B587F"/>
    <w:rsid w:val="004B65B2"/>
    <w:rsid w:val="004C019B"/>
    <w:rsid w:val="004C0690"/>
    <w:rsid w:val="004C289C"/>
    <w:rsid w:val="004C4270"/>
    <w:rsid w:val="004C430D"/>
    <w:rsid w:val="004C45FD"/>
    <w:rsid w:val="004C4A48"/>
    <w:rsid w:val="004C4E19"/>
    <w:rsid w:val="004C500B"/>
    <w:rsid w:val="004C5831"/>
    <w:rsid w:val="004C6CCD"/>
    <w:rsid w:val="004C75DE"/>
    <w:rsid w:val="004C78F5"/>
    <w:rsid w:val="004D0226"/>
    <w:rsid w:val="004D12FB"/>
    <w:rsid w:val="004D1493"/>
    <w:rsid w:val="004D177F"/>
    <w:rsid w:val="004D1A02"/>
    <w:rsid w:val="004D4DAF"/>
    <w:rsid w:val="004D564E"/>
    <w:rsid w:val="004D5800"/>
    <w:rsid w:val="004D61AA"/>
    <w:rsid w:val="004D683F"/>
    <w:rsid w:val="004E06EA"/>
    <w:rsid w:val="004E08C9"/>
    <w:rsid w:val="004E10A2"/>
    <w:rsid w:val="004E12A3"/>
    <w:rsid w:val="004E25D7"/>
    <w:rsid w:val="004E312A"/>
    <w:rsid w:val="004E43A5"/>
    <w:rsid w:val="004E4590"/>
    <w:rsid w:val="004E4B8B"/>
    <w:rsid w:val="004E4C67"/>
    <w:rsid w:val="004E5305"/>
    <w:rsid w:val="004E6D96"/>
    <w:rsid w:val="004E6F1E"/>
    <w:rsid w:val="004E7184"/>
    <w:rsid w:val="004E732A"/>
    <w:rsid w:val="004F05EE"/>
    <w:rsid w:val="004F062F"/>
    <w:rsid w:val="004F0741"/>
    <w:rsid w:val="004F0A6C"/>
    <w:rsid w:val="004F0F68"/>
    <w:rsid w:val="004F181A"/>
    <w:rsid w:val="004F1ED7"/>
    <w:rsid w:val="004F4536"/>
    <w:rsid w:val="004F488A"/>
    <w:rsid w:val="004F4BBB"/>
    <w:rsid w:val="004F593F"/>
    <w:rsid w:val="004F7B0C"/>
    <w:rsid w:val="00500A6B"/>
    <w:rsid w:val="00501992"/>
    <w:rsid w:val="00501A7B"/>
    <w:rsid w:val="00501D61"/>
    <w:rsid w:val="0050297D"/>
    <w:rsid w:val="00502BF5"/>
    <w:rsid w:val="00503E79"/>
    <w:rsid w:val="00504532"/>
    <w:rsid w:val="0050464E"/>
    <w:rsid w:val="00504900"/>
    <w:rsid w:val="00504D71"/>
    <w:rsid w:val="00504E6E"/>
    <w:rsid w:val="005052FF"/>
    <w:rsid w:val="00505FDE"/>
    <w:rsid w:val="00506482"/>
    <w:rsid w:val="00506D51"/>
    <w:rsid w:val="00506E54"/>
    <w:rsid w:val="00507187"/>
    <w:rsid w:val="0050729C"/>
    <w:rsid w:val="005100D2"/>
    <w:rsid w:val="00510A20"/>
    <w:rsid w:val="00510DE2"/>
    <w:rsid w:val="005111AB"/>
    <w:rsid w:val="005112DD"/>
    <w:rsid w:val="005118A6"/>
    <w:rsid w:val="005118AF"/>
    <w:rsid w:val="0051190A"/>
    <w:rsid w:val="00512109"/>
    <w:rsid w:val="005129A1"/>
    <w:rsid w:val="00512B31"/>
    <w:rsid w:val="00514528"/>
    <w:rsid w:val="00514993"/>
    <w:rsid w:val="00516458"/>
    <w:rsid w:val="005164F6"/>
    <w:rsid w:val="00516811"/>
    <w:rsid w:val="005170B7"/>
    <w:rsid w:val="00517EAF"/>
    <w:rsid w:val="0052043E"/>
    <w:rsid w:val="005207A6"/>
    <w:rsid w:val="00522E15"/>
    <w:rsid w:val="00523404"/>
    <w:rsid w:val="00523734"/>
    <w:rsid w:val="0052417B"/>
    <w:rsid w:val="00524C85"/>
    <w:rsid w:val="00525635"/>
    <w:rsid w:val="005266B7"/>
    <w:rsid w:val="00526E42"/>
    <w:rsid w:val="00526F41"/>
    <w:rsid w:val="005272BB"/>
    <w:rsid w:val="00527391"/>
    <w:rsid w:val="00527889"/>
    <w:rsid w:val="00527D3D"/>
    <w:rsid w:val="00530190"/>
    <w:rsid w:val="005308C2"/>
    <w:rsid w:val="0053113A"/>
    <w:rsid w:val="005335AB"/>
    <w:rsid w:val="00533AAD"/>
    <w:rsid w:val="00533C49"/>
    <w:rsid w:val="00533CF7"/>
    <w:rsid w:val="0053675B"/>
    <w:rsid w:val="00543A67"/>
    <w:rsid w:val="00543AA8"/>
    <w:rsid w:val="00543EC3"/>
    <w:rsid w:val="00545167"/>
    <w:rsid w:val="00545C05"/>
    <w:rsid w:val="00545E66"/>
    <w:rsid w:val="005460D7"/>
    <w:rsid w:val="00546221"/>
    <w:rsid w:val="005465F8"/>
    <w:rsid w:val="005470C8"/>
    <w:rsid w:val="00550AAB"/>
    <w:rsid w:val="00550BE2"/>
    <w:rsid w:val="00550F41"/>
    <w:rsid w:val="00551DE0"/>
    <w:rsid w:val="00552600"/>
    <w:rsid w:val="005529E6"/>
    <w:rsid w:val="005536E9"/>
    <w:rsid w:val="005545E0"/>
    <w:rsid w:val="005546AB"/>
    <w:rsid w:val="0055476C"/>
    <w:rsid w:val="00554D38"/>
    <w:rsid w:val="00554FD0"/>
    <w:rsid w:val="005553D0"/>
    <w:rsid w:val="00555810"/>
    <w:rsid w:val="005568C6"/>
    <w:rsid w:val="00556A6C"/>
    <w:rsid w:val="00556D9F"/>
    <w:rsid w:val="00557178"/>
    <w:rsid w:val="0056294C"/>
    <w:rsid w:val="00563081"/>
    <w:rsid w:val="0056347B"/>
    <w:rsid w:val="00563CB5"/>
    <w:rsid w:val="00564498"/>
    <w:rsid w:val="0056547C"/>
    <w:rsid w:val="00565DEA"/>
    <w:rsid w:val="00566237"/>
    <w:rsid w:val="00567830"/>
    <w:rsid w:val="0057106A"/>
    <w:rsid w:val="005710E8"/>
    <w:rsid w:val="005711AA"/>
    <w:rsid w:val="00571D8B"/>
    <w:rsid w:val="00571E99"/>
    <w:rsid w:val="0057248A"/>
    <w:rsid w:val="00572C79"/>
    <w:rsid w:val="00573067"/>
    <w:rsid w:val="005732DF"/>
    <w:rsid w:val="00573505"/>
    <w:rsid w:val="005738EE"/>
    <w:rsid w:val="00573CF6"/>
    <w:rsid w:val="00573D72"/>
    <w:rsid w:val="0057402F"/>
    <w:rsid w:val="00574C82"/>
    <w:rsid w:val="0057618C"/>
    <w:rsid w:val="0057678D"/>
    <w:rsid w:val="0057683D"/>
    <w:rsid w:val="00576AEE"/>
    <w:rsid w:val="00576E0D"/>
    <w:rsid w:val="00580B64"/>
    <w:rsid w:val="005815B5"/>
    <w:rsid w:val="005817AD"/>
    <w:rsid w:val="00581BA7"/>
    <w:rsid w:val="00582484"/>
    <w:rsid w:val="005829F6"/>
    <w:rsid w:val="0058439A"/>
    <w:rsid w:val="005852CF"/>
    <w:rsid w:val="005855F5"/>
    <w:rsid w:val="00586A9F"/>
    <w:rsid w:val="00586DC7"/>
    <w:rsid w:val="0058781C"/>
    <w:rsid w:val="0059016B"/>
    <w:rsid w:val="00590880"/>
    <w:rsid w:val="00590FDE"/>
    <w:rsid w:val="005916F6"/>
    <w:rsid w:val="00591BCB"/>
    <w:rsid w:val="005935DC"/>
    <w:rsid w:val="00594BA6"/>
    <w:rsid w:val="00595390"/>
    <w:rsid w:val="00595C55"/>
    <w:rsid w:val="005966E9"/>
    <w:rsid w:val="005967A0"/>
    <w:rsid w:val="00596AC0"/>
    <w:rsid w:val="0059764B"/>
    <w:rsid w:val="00597F44"/>
    <w:rsid w:val="005A18D7"/>
    <w:rsid w:val="005A1C4F"/>
    <w:rsid w:val="005A1C50"/>
    <w:rsid w:val="005A2199"/>
    <w:rsid w:val="005A2FD6"/>
    <w:rsid w:val="005A3424"/>
    <w:rsid w:val="005A3A78"/>
    <w:rsid w:val="005A5328"/>
    <w:rsid w:val="005A5505"/>
    <w:rsid w:val="005A566F"/>
    <w:rsid w:val="005A589F"/>
    <w:rsid w:val="005A6094"/>
    <w:rsid w:val="005A66A2"/>
    <w:rsid w:val="005B1A35"/>
    <w:rsid w:val="005B3211"/>
    <w:rsid w:val="005B34C7"/>
    <w:rsid w:val="005B477B"/>
    <w:rsid w:val="005B4E1C"/>
    <w:rsid w:val="005B754B"/>
    <w:rsid w:val="005B7661"/>
    <w:rsid w:val="005B79A3"/>
    <w:rsid w:val="005B7EBA"/>
    <w:rsid w:val="005C0FC5"/>
    <w:rsid w:val="005C1A18"/>
    <w:rsid w:val="005C1C35"/>
    <w:rsid w:val="005C2214"/>
    <w:rsid w:val="005C2BAB"/>
    <w:rsid w:val="005C443C"/>
    <w:rsid w:val="005C4C8C"/>
    <w:rsid w:val="005C4DB3"/>
    <w:rsid w:val="005C4F38"/>
    <w:rsid w:val="005C4F4F"/>
    <w:rsid w:val="005C5E60"/>
    <w:rsid w:val="005C608F"/>
    <w:rsid w:val="005C688F"/>
    <w:rsid w:val="005C7489"/>
    <w:rsid w:val="005C750C"/>
    <w:rsid w:val="005C7DE2"/>
    <w:rsid w:val="005D0416"/>
    <w:rsid w:val="005D06E7"/>
    <w:rsid w:val="005D0B0A"/>
    <w:rsid w:val="005D0E69"/>
    <w:rsid w:val="005D0FE0"/>
    <w:rsid w:val="005D124B"/>
    <w:rsid w:val="005D1334"/>
    <w:rsid w:val="005D17DD"/>
    <w:rsid w:val="005D19F5"/>
    <w:rsid w:val="005D1AF1"/>
    <w:rsid w:val="005D1B90"/>
    <w:rsid w:val="005D2CA1"/>
    <w:rsid w:val="005D4139"/>
    <w:rsid w:val="005D4621"/>
    <w:rsid w:val="005D49E1"/>
    <w:rsid w:val="005D4ED6"/>
    <w:rsid w:val="005D5A86"/>
    <w:rsid w:val="005D5CF8"/>
    <w:rsid w:val="005D606E"/>
    <w:rsid w:val="005D6E88"/>
    <w:rsid w:val="005D706D"/>
    <w:rsid w:val="005D77D7"/>
    <w:rsid w:val="005D7841"/>
    <w:rsid w:val="005E0299"/>
    <w:rsid w:val="005E1016"/>
    <w:rsid w:val="005E2324"/>
    <w:rsid w:val="005E4C3B"/>
    <w:rsid w:val="005E4DE1"/>
    <w:rsid w:val="005E5571"/>
    <w:rsid w:val="005E55EE"/>
    <w:rsid w:val="005E5973"/>
    <w:rsid w:val="005E5C66"/>
    <w:rsid w:val="005E6A97"/>
    <w:rsid w:val="005E7FE4"/>
    <w:rsid w:val="005F0012"/>
    <w:rsid w:val="005F06B4"/>
    <w:rsid w:val="005F13B0"/>
    <w:rsid w:val="005F1BE3"/>
    <w:rsid w:val="005F1C09"/>
    <w:rsid w:val="005F29DA"/>
    <w:rsid w:val="005F307E"/>
    <w:rsid w:val="005F4726"/>
    <w:rsid w:val="005F5558"/>
    <w:rsid w:val="005F5796"/>
    <w:rsid w:val="005F68BD"/>
    <w:rsid w:val="005F7859"/>
    <w:rsid w:val="005F7F6C"/>
    <w:rsid w:val="00603BCC"/>
    <w:rsid w:val="00603EC7"/>
    <w:rsid w:val="006046AE"/>
    <w:rsid w:val="00605B4B"/>
    <w:rsid w:val="00605FAF"/>
    <w:rsid w:val="00605FE5"/>
    <w:rsid w:val="0060715A"/>
    <w:rsid w:val="00607507"/>
    <w:rsid w:val="0060799E"/>
    <w:rsid w:val="00607D5F"/>
    <w:rsid w:val="0061140E"/>
    <w:rsid w:val="006121ED"/>
    <w:rsid w:val="00612EAF"/>
    <w:rsid w:val="00613F21"/>
    <w:rsid w:val="00614CB5"/>
    <w:rsid w:val="00615587"/>
    <w:rsid w:val="0061590B"/>
    <w:rsid w:val="00616E93"/>
    <w:rsid w:val="00616FFF"/>
    <w:rsid w:val="0061730A"/>
    <w:rsid w:val="0061770C"/>
    <w:rsid w:val="006203D3"/>
    <w:rsid w:val="00621765"/>
    <w:rsid w:val="006218F8"/>
    <w:rsid w:val="00623BE2"/>
    <w:rsid w:val="0062428D"/>
    <w:rsid w:val="0062760C"/>
    <w:rsid w:val="00627A7A"/>
    <w:rsid w:val="00627D6E"/>
    <w:rsid w:val="00630052"/>
    <w:rsid w:val="00630D48"/>
    <w:rsid w:val="00631171"/>
    <w:rsid w:val="00631D95"/>
    <w:rsid w:val="00632AA8"/>
    <w:rsid w:val="00633FB6"/>
    <w:rsid w:val="0063413A"/>
    <w:rsid w:val="006341CA"/>
    <w:rsid w:val="006346FA"/>
    <w:rsid w:val="0063475C"/>
    <w:rsid w:val="00634891"/>
    <w:rsid w:val="00635119"/>
    <w:rsid w:val="0063643C"/>
    <w:rsid w:val="00636A4D"/>
    <w:rsid w:val="00636FFB"/>
    <w:rsid w:val="0064038B"/>
    <w:rsid w:val="006403B0"/>
    <w:rsid w:val="006417DB"/>
    <w:rsid w:val="0064186F"/>
    <w:rsid w:val="00641A58"/>
    <w:rsid w:val="0064215F"/>
    <w:rsid w:val="006423BE"/>
    <w:rsid w:val="00642631"/>
    <w:rsid w:val="00642EC5"/>
    <w:rsid w:val="0064341D"/>
    <w:rsid w:val="006436BE"/>
    <w:rsid w:val="006437CE"/>
    <w:rsid w:val="00644194"/>
    <w:rsid w:val="00644497"/>
    <w:rsid w:val="006461AF"/>
    <w:rsid w:val="00646C87"/>
    <w:rsid w:val="00646D15"/>
    <w:rsid w:val="006472EF"/>
    <w:rsid w:val="00647772"/>
    <w:rsid w:val="00650220"/>
    <w:rsid w:val="00650D3D"/>
    <w:rsid w:val="00650E5D"/>
    <w:rsid w:val="006510FB"/>
    <w:rsid w:val="0065186F"/>
    <w:rsid w:val="00651AE6"/>
    <w:rsid w:val="006528A3"/>
    <w:rsid w:val="00652AE2"/>
    <w:rsid w:val="00652C08"/>
    <w:rsid w:val="006530FA"/>
    <w:rsid w:val="006544D1"/>
    <w:rsid w:val="00654506"/>
    <w:rsid w:val="00654DB1"/>
    <w:rsid w:val="006557B2"/>
    <w:rsid w:val="00655BFF"/>
    <w:rsid w:val="00656211"/>
    <w:rsid w:val="00656EB9"/>
    <w:rsid w:val="006570E8"/>
    <w:rsid w:val="00660093"/>
    <w:rsid w:val="00660547"/>
    <w:rsid w:val="00660569"/>
    <w:rsid w:val="0066085E"/>
    <w:rsid w:val="00660BFC"/>
    <w:rsid w:val="0066221C"/>
    <w:rsid w:val="00662F4A"/>
    <w:rsid w:val="0066476C"/>
    <w:rsid w:val="006647AE"/>
    <w:rsid w:val="0066533C"/>
    <w:rsid w:val="0066549C"/>
    <w:rsid w:val="006655E1"/>
    <w:rsid w:val="006663C3"/>
    <w:rsid w:val="00667A96"/>
    <w:rsid w:val="00670A1E"/>
    <w:rsid w:val="00671122"/>
    <w:rsid w:val="0067177D"/>
    <w:rsid w:val="00671855"/>
    <w:rsid w:val="006718F8"/>
    <w:rsid w:val="00671E6D"/>
    <w:rsid w:val="00671F93"/>
    <w:rsid w:val="00672B3A"/>
    <w:rsid w:val="00672D06"/>
    <w:rsid w:val="00672F6F"/>
    <w:rsid w:val="00673721"/>
    <w:rsid w:val="006743FF"/>
    <w:rsid w:val="00675A6E"/>
    <w:rsid w:val="00675AF6"/>
    <w:rsid w:val="00675CFD"/>
    <w:rsid w:val="006772B9"/>
    <w:rsid w:val="0067745B"/>
    <w:rsid w:val="00680645"/>
    <w:rsid w:val="006818DC"/>
    <w:rsid w:val="00682C0A"/>
    <w:rsid w:val="00682EFB"/>
    <w:rsid w:val="006832E5"/>
    <w:rsid w:val="0068343E"/>
    <w:rsid w:val="00683767"/>
    <w:rsid w:val="00683E16"/>
    <w:rsid w:val="00683F6A"/>
    <w:rsid w:val="00683F95"/>
    <w:rsid w:val="00684806"/>
    <w:rsid w:val="00685021"/>
    <w:rsid w:val="0068513A"/>
    <w:rsid w:val="00685767"/>
    <w:rsid w:val="00686545"/>
    <w:rsid w:val="006876A4"/>
    <w:rsid w:val="0069027D"/>
    <w:rsid w:val="0069047A"/>
    <w:rsid w:val="006919BB"/>
    <w:rsid w:val="00691F3D"/>
    <w:rsid w:val="0069251A"/>
    <w:rsid w:val="006932B0"/>
    <w:rsid w:val="006950CD"/>
    <w:rsid w:val="006953B7"/>
    <w:rsid w:val="00695900"/>
    <w:rsid w:val="006A0019"/>
    <w:rsid w:val="006A103F"/>
    <w:rsid w:val="006A13E8"/>
    <w:rsid w:val="006A2EEA"/>
    <w:rsid w:val="006A3629"/>
    <w:rsid w:val="006A4850"/>
    <w:rsid w:val="006A692F"/>
    <w:rsid w:val="006A731D"/>
    <w:rsid w:val="006A781D"/>
    <w:rsid w:val="006B0C8C"/>
    <w:rsid w:val="006B11B4"/>
    <w:rsid w:val="006B3F9B"/>
    <w:rsid w:val="006B45C6"/>
    <w:rsid w:val="006B5016"/>
    <w:rsid w:val="006B530A"/>
    <w:rsid w:val="006B6E97"/>
    <w:rsid w:val="006B74B1"/>
    <w:rsid w:val="006B78DE"/>
    <w:rsid w:val="006C043A"/>
    <w:rsid w:val="006C045A"/>
    <w:rsid w:val="006C055E"/>
    <w:rsid w:val="006C0CF3"/>
    <w:rsid w:val="006C29A9"/>
    <w:rsid w:val="006C29C9"/>
    <w:rsid w:val="006C3356"/>
    <w:rsid w:val="006C3B38"/>
    <w:rsid w:val="006C3D6D"/>
    <w:rsid w:val="006C4DD8"/>
    <w:rsid w:val="006C54B0"/>
    <w:rsid w:val="006C5CBD"/>
    <w:rsid w:val="006C608C"/>
    <w:rsid w:val="006C660B"/>
    <w:rsid w:val="006C67C4"/>
    <w:rsid w:val="006C69EF"/>
    <w:rsid w:val="006D1111"/>
    <w:rsid w:val="006D16F4"/>
    <w:rsid w:val="006D18FD"/>
    <w:rsid w:val="006D1CFC"/>
    <w:rsid w:val="006D2AF8"/>
    <w:rsid w:val="006D2C76"/>
    <w:rsid w:val="006D2DE5"/>
    <w:rsid w:val="006D3337"/>
    <w:rsid w:val="006D37F3"/>
    <w:rsid w:val="006D3B45"/>
    <w:rsid w:val="006D4AFB"/>
    <w:rsid w:val="006D689A"/>
    <w:rsid w:val="006D7B6D"/>
    <w:rsid w:val="006D7F73"/>
    <w:rsid w:val="006E0345"/>
    <w:rsid w:val="006E06E2"/>
    <w:rsid w:val="006E13E5"/>
    <w:rsid w:val="006E1513"/>
    <w:rsid w:val="006E1619"/>
    <w:rsid w:val="006E20FD"/>
    <w:rsid w:val="006E2F33"/>
    <w:rsid w:val="006E3C6B"/>
    <w:rsid w:val="006E403B"/>
    <w:rsid w:val="006E47FE"/>
    <w:rsid w:val="006E4A73"/>
    <w:rsid w:val="006E4F57"/>
    <w:rsid w:val="006E5C87"/>
    <w:rsid w:val="006E78A0"/>
    <w:rsid w:val="006E7E59"/>
    <w:rsid w:val="006E7F63"/>
    <w:rsid w:val="006F05F5"/>
    <w:rsid w:val="006F114D"/>
    <w:rsid w:val="006F1743"/>
    <w:rsid w:val="006F2610"/>
    <w:rsid w:val="006F2AEB"/>
    <w:rsid w:val="006F2E48"/>
    <w:rsid w:val="006F3481"/>
    <w:rsid w:val="006F3613"/>
    <w:rsid w:val="006F6066"/>
    <w:rsid w:val="006F63DC"/>
    <w:rsid w:val="006F77B9"/>
    <w:rsid w:val="00700258"/>
    <w:rsid w:val="00700838"/>
    <w:rsid w:val="00701364"/>
    <w:rsid w:val="00701A8E"/>
    <w:rsid w:val="00701DBD"/>
    <w:rsid w:val="0070258A"/>
    <w:rsid w:val="00702ACC"/>
    <w:rsid w:val="00702E31"/>
    <w:rsid w:val="0070491D"/>
    <w:rsid w:val="00704EE7"/>
    <w:rsid w:val="00706BD8"/>
    <w:rsid w:val="00707143"/>
    <w:rsid w:val="0071004C"/>
    <w:rsid w:val="0071017F"/>
    <w:rsid w:val="00711619"/>
    <w:rsid w:val="00712338"/>
    <w:rsid w:val="0071431D"/>
    <w:rsid w:val="0071493A"/>
    <w:rsid w:val="00715AFD"/>
    <w:rsid w:val="00716090"/>
    <w:rsid w:val="007166C9"/>
    <w:rsid w:val="007169B4"/>
    <w:rsid w:val="00720108"/>
    <w:rsid w:val="00720B10"/>
    <w:rsid w:val="00721BB5"/>
    <w:rsid w:val="00721CFA"/>
    <w:rsid w:val="00722A5A"/>
    <w:rsid w:val="00722EF1"/>
    <w:rsid w:val="00723339"/>
    <w:rsid w:val="00723651"/>
    <w:rsid w:val="007237F5"/>
    <w:rsid w:val="00723EE9"/>
    <w:rsid w:val="0072549A"/>
    <w:rsid w:val="00725CC2"/>
    <w:rsid w:val="00726E7F"/>
    <w:rsid w:val="0072740F"/>
    <w:rsid w:val="00727962"/>
    <w:rsid w:val="00727CE1"/>
    <w:rsid w:val="00730F08"/>
    <w:rsid w:val="0073161D"/>
    <w:rsid w:val="007319DF"/>
    <w:rsid w:val="00731DBE"/>
    <w:rsid w:val="0073282D"/>
    <w:rsid w:val="00733268"/>
    <w:rsid w:val="007336A2"/>
    <w:rsid w:val="00733957"/>
    <w:rsid w:val="00733C83"/>
    <w:rsid w:val="007340CA"/>
    <w:rsid w:val="00734DA7"/>
    <w:rsid w:val="00735697"/>
    <w:rsid w:val="007359A4"/>
    <w:rsid w:val="0073757F"/>
    <w:rsid w:val="007377FD"/>
    <w:rsid w:val="00737C6E"/>
    <w:rsid w:val="00740F40"/>
    <w:rsid w:val="00741237"/>
    <w:rsid w:val="00741CAD"/>
    <w:rsid w:val="0074322D"/>
    <w:rsid w:val="0074341F"/>
    <w:rsid w:val="007454F6"/>
    <w:rsid w:val="0074587D"/>
    <w:rsid w:val="00746214"/>
    <w:rsid w:val="00747F0E"/>
    <w:rsid w:val="007508AA"/>
    <w:rsid w:val="007511B6"/>
    <w:rsid w:val="007517C8"/>
    <w:rsid w:val="00751A38"/>
    <w:rsid w:val="00753717"/>
    <w:rsid w:val="00753BA5"/>
    <w:rsid w:val="00753E43"/>
    <w:rsid w:val="00754028"/>
    <w:rsid w:val="0075433F"/>
    <w:rsid w:val="00754C04"/>
    <w:rsid w:val="00754F7E"/>
    <w:rsid w:val="00755E3F"/>
    <w:rsid w:val="00756FC7"/>
    <w:rsid w:val="00757CF3"/>
    <w:rsid w:val="00760005"/>
    <w:rsid w:val="007613E9"/>
    <w:rsid w:val="007627AC"/>
    <w:rsid w:val="00762FB9"/>
    <w:rsid w:val="0076349C"/>
    <w:rsid w:val="00765D64"/>
    <w:rsid w:val="00766449"/>
    <w:rsid w:val="00767078"/>
    <w:rsid w:val="00771E97"/>
    <w:rsid w:val="00772C02"/>
    <w:rsid w:val="00773571"/>
    <w:rsid w:val="007750F2"/>
    <w:rsid w:val="00775AAD"/>
    <w:rsid w:val="007760DA"/>
    <w:rsid w:val="00777736"/>
    <w:rsid w:val="00777BB3"/>
    <w:rsid w:val="00780A28"/>
    <w:rsid w:val="00780F88"/>
    <w:rsid w:val="00781427"/>
    <w:rsid w:val="00781C2E"/>
    <w:rsid w:val="007824BD"/>
    <w:rsid w:val="00782BAA"/>
    <w:rsid w:val="00782F90"/>
    <w:rsid w:val="00783543"/>
    <w:rsid w:val="00783946"/>
    <w:rsid w:val="00784452"/>
    <w:rsid w:val="0078463F"/>
    <w:rsid w:val="00784A93"/>
    <w:rsid w:val="0078530E"/>
    <w:rsid w:val="0078613C"/>
    <w:rsid w:val="00786582"/>
    <w:rsid w:val="00786C82"/>
    <w:rsid w:val="00787631"/>
    <w:rsid w:val="0079233D"/>
    <w:rsid w:val="00792AE3"/>
    <w:rsid w:val="00792E9D"/>
    <w:rsid w:val="00793DB2"/>
    <w:rsid w:val="00793F7C"/>
    <w:rsid w:val="00794D8A"/>
    <w:rsid w:val="007954AB"/>
    <w:rsid w:val="0079562C"/>
    <w:rsid w:val="007957BE"/>
    <w:rsid w:val="007970AB"/>
    <w:rsid w:val="007A1412"/>
    <w:rsid w:val="007A1462"/>
    <w:rsid w:val="007A301C"/>
    <w:rsid w:val="007A3268"/>
    <w:rsid w:val="007A3309"/>
    <w:rsid w:val="007A4481"/>
    <w:rsid w:val="007A48DA"/>
    <w:rsid w:val="007A5078"/>
    <w:rsid w:val="007A57BC"/>
    <w:rsid w:val="007A6429"/>
    <w:rsid w:val="007A67A5"/>
    <w:rsid w:val="007A67EF"/>
    <w:rsid w:val="007A6BAB"/>
    <w:rsid w:val="007A72AA"/>
    <w:rsid w:val="007B03B9"/>
    <w:rsid w:val="007B073A"/>
    <w:rsid w:val="007B2E34"/>
    <w:rsid w:val="007B4659"/>
    <w:rsid w:val="007B4FEB"/>
    <w:rsid w:val="007B56F8"/>
    <w:rsid w:val="007B695B"/>
    <w:rsid w:val="007C0650"/>
    <w:rsid w:val="007C0FEA"/>
    <w:rsid w:val="007C11E7"/>
    <w:rsid w:val="007C1570"/>
    <w:rsid w:val="007C2EE4"/>
    <w:rsid w:val="007C3506"/>
    <w:rsid w:val="007C4214"/>
    <w:rsid w:val="007C53EE"/>
    <w:rsid w:val="007C5BDF"/>
    <w:rsid w:val="007C73E4"/>
    <w:rsid w:val="007C77AB"/>
    <w:rsid w:val="007D160F"/>
    <w:rsid w:val="007D1F3C"/>
    <w:rsid w:val="007D28AB"/>
    <w:rsid w:val="007D3799"/>
    <w:rsid w:val="007D421D"/>
    <w:rsid w:val="007D4D07"/>
    <w:rsid w:val="007D54FB"/>
    <w:rsid w:val="007D5C69"/>
    <w:rsid w:val="007D7207"/>
    <w:rsid w:val="007D7C63"/>
    <w:rsid w:val="007E0465"/>
    <w:rsid w:val="007E047F"/>
    <w:rsid w:val="007E0B2E"/>
    <w:rsid w:val="007E0D34"/>
    <w:rsid w:val="007E1311"/>
    <w:rsid w:val="007E134F"/>
    <w:rsid w:val="007E17F3"/>
    <w:rsid w:val="007E1FE7"/>
    <w:rsid w:val="007E2B84"/>
    <w:rsid w:val="007E3085"/>
    <w:rsid w:val="007E3244"/>
    <w:rsid w:val="007E3401"/>
    <w:rsid w:val="007E3A2C"/>
    <w:rsid w:val="007E429B"/>
    <w:rsid w:val="007E4ABB"/>
    <w:rsid w:val="007E5250"/>
    <w:rsid w:val="007E572A"/>
    <w:rsid w:val="007E6733"/>
    <w:rsid w:val="007E6F8B"/>
    <w:rsid w:val="007E73A6"/>
    <w:rsid w:val="007F04B4"/>
    <w:rsid w:val="007F076F"/>
    <w:rsid w:val="007F0BDB"/>
    <w:rsid w:val="007F0CFE"/>
    <w:rsid w:val="007F2F63"/>
    <w:rsid w:val="007F4816"/>
    <w:rsid w:val="007F5AB5"/>
    <w:rsid w:val="007F60E6"/>
    <w:rsid w:val="007F66B4"/>
    <w:rsid w:val="007F6BF4"/>
    <w:rsid w:val="007F72D9"/>
    <w:rsid w:val="00800387"/>
    <w:rsid w:val="00800873"/>
    <w:rsid w:val="008010CE"/>
    <w:rsid w:val="00801B2D"/>
    <w:rsid w:val="00802317"/>
    <w:rsid w:val="00803E5D"/>
    <w:rsid w:val="00803F98"/>
    <w:rsid w:val="008042E2"/>
    <w:rsid w:val="008059FA"/>
    <w:rsid w:val="00807133"/>
    <w:rsid w:val="00807B6D"/>
    <w:rsid w:val="00807E4C"/>
    <w:rsid w:val="00807FF2"/>
    <w:rsid w:val="00810033"/>
    <w:rsid w:val="00811C4A"/>
    <w:rsid w:val="008121A1"/>
    <w:rsid w:val="0081313D"/>
    <w:rsid w:val="0081323A"/>
    <w:rsid w:val="008132FA"/>
    <w:rsid w:val="008154A4"/>
    <w:rsid w:val="0081572E"/>
    <w:rsid w:val="00815EDA"/>
    <w:rsid w:val="00816064"/>
    <w:rsid w:val="00816A42"/>
    <w:rsid w:val="008208B5"/>
    <w:rsid w:val="00822050"/>
    <w:rsid w:val="00822CA4"/>
    <w:rsid w:val="008235D7"/>
    <w:rsid w:val="00823B7D"/>
    <w:rsid w:val="00824AA8"/>
    <w:rsid w:val="00825C4B"/>
    <w:rsid w:val="0082684C"/>
    <w:rsid w:val="00826DB2"/>
    <w:rsid w:val="0082714D"/>
    <w:rsid w:val="00827A4B"/>
    <w:rsid w:val="00830024"/>
    <w:rsid w:val="0083059F"/>
    <w:rsid w:val="008310C0"/>
    <w:rsid w:val="00831CA2"/>
    <w:rsid w:val="00832E94"/>
    <w:rsid w:val="008331E4"/>
    <w:rsid w:val="00834C7B"/>
    <w:rsid w:val="008354A7"/>
    <w:rsid w:val="008354AE"/>
    <w:rsid w:val="00835DEA"/>
    <w:rsid w:val="008369E2"/>
    <w:rsid w:val="00840047"/>
    <w:rsid w:val="008402B2"/>
    <w:rsid w:val="00840515"/>
    <w:rsid w:val="008419AC"/>
    <w:rsid w:val="00841A4D"/>
    <w:rsid w:val="0084258A"/>
    <w:rsid w:val="00842E33"/>
    <w:rsid w:val="0084347C"/>
    <w:rsid w:val="00843A4F"/>
    <w:rsid w:val="008446CC"/>
    <w:rsid w:val="00844AD8"/>
    <w:rsid w:val="008453AF"/>
    <w:rsid w:val="00846218"/>
    <w:rsid w:val="0084743C"/>
    <w:rsid w:val="00850EF9"/>
    <w:rsid w:val="00851769"/>
    <w:rsid w:val="00852739"/>
    <w:rsid w:val="00852BA6"/>
    <w:rsid w:val="00853583"/>
    <w:rsid w:val="00854ED9"/>
    <w:rsid w:val="00855152"/>
    <w:rsid w:val="00855931"/>
    <w:rsid w:val="00855A1B"/>
    <w:rsid w:val="00856348"/>
    <w:rsid w:val="008569B1"/>
    <w:rsid w:val="008572B6"/>
    <w:rsid w:val="00857B57"/>
    <w:rsid w:val="00860C0B"/>
    <w:rsid w:val="008626EF"/>
    <w:rsid w:val="00863401"/>
    <w:rsid w:val="00863F52"/>
    <w:rsid w:val="00864066"/>
    <w:rsid w:val="008645F2"/>
    <w:rsid w:val="008653C9"/>
    <w:rsid w:val="0086563B"/>
    <w:rsid w:val="00866371"/>
    <w:rsid w:val="00867D76"/>
    <w:rsid w:val="008700C3"/>
    <w:rsid w:val="0087020A"/>
    <w:rsid w:val="00870936"/>
    <w:rsid w:val="00870F2B"/>
    <w:rsid w:val="00870F5F"/>
    <w:rsid w:val="00871027"/>
    <w:rsid w:val="008720DB"/>
    <w:rsid w:val="0087212E"/>
    <w:rsid w:val="00872DFC"/>
    <w:rsid w:val="00873029"/>
    <w:rsid w:val="008733E1"/>
    <w:rsid w:val="0087410C"/>
    <w:rsid w:val="00874AF1"/>
    <w:rsid w:val="0087526D"/>
    <w:rsid w:val="008757DD"/>
    <w:rsid w:val="00875C1C"/>
    <w:rsid w:val="008761C9"/>
    <w:rsid w:val="0087626E"/>
    <w:rsid w:val="00876DB0"/>
    <w:rsid w:val="008779CA"/>
    <w:rsid w:val="00881639"/>
    <w:rsid w:val="00882AAA"/>
    <w:rsid w:val="008837AF"/>
    <w:rsid w:val="00883B1C"/>
    <w:rsid w:val="00884034"/>
    <w:rsid w:val="00884491"/>
    <w:rsid w:val="008850B8"/>
    <w:rsid w:val="00885D1E"/>
    <w:rsid w:val="00885F83"/>
    <w:rsid w:val="0088638C"/>
    <w:rsid w:val="0088642B"/>
    <w:rsid w:val="008864DC"/>
    <w:rsid w:val="008871F1"/>
    <w:rsid w:val="00887E34"/>
    <w:rsid w:val="00890F94"/>
    <w:rsid w:val="008910F4"/>
    <w:rsid w:val="008913B7"/>
    <w:rsid w:val="00891831"/>
    <w:rsid w:val="00891F2B"/>
    <w:rsid w:val="008922B5"/>
    <w:rsid w:val="00893696"/>
    <w:rsid w:val="00895510"/>
    <w:rsid w:val="00897CBF"/>
    <w:rsid w:val="008A0753"/>
    <w:rsid w:val="008A0B6B"/>
    <w:rsid w:val="008A0DB1"/>
    <w:rsid w:val="008A11DD"/>
    <w:rsid w:val="008A224F"/>
    <w:rsid w:val="008A39DC"/>
    <w:rsid w:val="008A3D84"/>
    <w:rsid w:val="008A5A5B"/>
    <w:rsid w:val="008A5DF6"/>
    <w:rsid w:val="008A5EF5"/>
    <w:rsid w:val="008A6087"/>
    <w:rsid w:val="008A6479"/>
    <w:rsid w:val="008A6858"/>
    <w:rsid w:val="008A780F"/>
    <w:rsid w:val="008B1210"/>
    <w:rsid w:val="008B160D"/>
    <w:rsid w:val="008B1CE9"/>
    <w:rsid w:val="008B275C"/>
    <w:rsid w:val="008B30F1"/>
    <w:rsid w:val="008B44FD"/>
    <w:rsid w:val="008B6630"/>
    <w:rsid w:val="008B6A0A"/>
    <w:rsid w:val="008C0F0E"/>
    <w:rsid w:val="008C100C"/>
    <w:rsid w:val="008C20A1"/>
    <w:rsid w:val="008C27C5"/>
    <w:rsid w:val="008C37B0"/>
    <w:rsid w:val="008C4356"/>
    <w:rsid w:val="008C4360"/>
    <w:rsid w:val="008C5111"/>
    <w:rsid w:val="008C54BB"/>
    <w:rsid w:val="008C5E6B"/>
    <w:rsid w:val="008C6B4F"/>
    <w:rsid w:val="008C6CA5"/>
    <w:rsid w:val="008C6F43"/>
    <w:rsid w:val="008C70D3"/>
    <w:rsid w:val="008C7108"/>
    <w:rsid w:val="008C7EAA"/>
    <w:rsid w:val="008D1093"/>
    <w:rsid w:val="008D1E64"/>
    <w:rsid w:val="008D37FA"/>
    <w:rsid w:val="008D43E3"/>
    <w:rsid w:val="008D45D1"/>
    <w:rsid w:val="008D4B77"/>
    <w:rsid w:val="008D51F3"/>
    <w:rsid w:val="008D5E3D"/>
    <w:rsid w:val="008D6C61"/>
    <w:rsid w:val="008D712B"/>
    <w:rsid w:val="008D7165"/>
    <w:rsid w:val="008D7890"/>
    <w:rsid w:val="008E0473"/>
    <w:rsid w:val="008E0A43"/>
    <w:rsid w:val="008E0BB5"/>
    <w:rsid w:val="008E24D4"/>
    <w:rsid w:val="008E2615"/>
    <w:rsid w:val="008E289A"/>
    <w:rsid w:val="008E47F5"/>
    <w:rsid w:val="008E5034"/>
    <w:rsid w:val="008E5107"/>
    <w:rsid w:val="008E5160"/>
    <w:rsid w:val="008E5E03"/>
    <w:rsid w:val="008E5F82"/>
    <w:rsid w:val="008E617B"/>
    <w:rsid w:val="008E6C1A"/>
    <w:rsid w:val="008E6CD5"/>
    <w:rsid w:val="008E6CFD"/>
    <w:rsid w:val="008E7743"/>
    <w:rsid w:val="008F231B"/>
    <w:rsid w:val="008F2B40"/>
    <w:rsid w:val="008F2CC5"/>
    <w:rsid w:val="008F35EA"/>
    <w:rsid w:val="008F4382"/>
    <w:rsid w:val="008F4A3B"/>
    <w:rsid w:val="008F4B98"/>
    <w:rsid w:val="008F4F44"/>
    <w:rsid w:val="008F5267"/>
    <w:rsid w:val="008F537F"/>
    <w:rsid w:val="008F5F20"/>
    <w:rsid w:val="008F617F"/>
    <w:rsid w:val="008F660E"/>
    <w:rsid w:val="008F6E21"/>
    <w:rsid w:val="008F718E"/>
    <w:rsid w:val="00900A2E"/>
    <w:rsid w:val="00901697"/>
    <w:rsid w:val="0090178D"/>
    <w:rsid w:val="0090200E"/>
    <w:rsid w:val="009023C4"/>
    <w:rsid w:val="0090277C"/>
    <w:rsid w:val="00902FF8"/>
    <w:rsid w:val="009033ED"/>
    <w:rsid w:val="00904581"/>
    <w:rsid w:val="009046B8"/>
    <w:rsid w:val="009048A1"/>
    <w:rsid w:val="00904F8F"/>
    <w:rsid w:val="009050C5"/>
    <w:rsid w:val="009057C8"/>
    <w:rsid w:val="00905B85"/>
    <w:rsid w:val="00905C11"/>
    <w:rsid w:val="0090626B"/>
    <w:rsid w:val="00907230"/>
    <w:rsid w:val="00907E56"/>
    <w:rsid w:val="009105C7"/>
    <w:rsid w:val="009107D0"/>
    <w:rsid w:val="009108B3"/>
    <w:rsid w:val="0091091D"/>
    <w:rsid w:val="00910956"/>
    <w:rsid w:val="00910984"/>
    <w:rsid w:val="0091160E"/>
    <w:rsid w:val="00912048"/>
    <w:rsid w:val="00912339"/>
    <w:rsid w:val="0091247B"/>
    <w:rsid w:val="00912A57"/>
    <w:rsid w:val="00913155"/>
    <w:rsid w:val="00913173"/>
    <w:rsid w:val="009134CA"/>
    <w:rsid w:val="009139BD"/>
    <w:rsid w:val="00914C52"/>
    <w:rsid w:val="00914F2E"/>
    <w:rsid w:val="00915423"/>
    <w:rsid w:val="009165F9"/>
    <w:rsid w:val="00916C85"/>
    <w:rsid w:val="00916F91"/>
    <w:rsid w:val="00917190"/>
    <w:rsid w:val="0091772B"/>
    <w:rsid w:val="00917D46"/>
    <w:rsid w:val="00917FDC"/>
    <w:rsid w:val="00917FFA"/>
    <w:rsid w:val="00920109"/>
    <w:rsid w:val="00921655"/>
    <w:rsid w:val="00921D78"/>
    <w:rsid w:val="00923F19"/>
    <w:rsid w:val="00924409"/>
    <w:rsid w:val="00924C4B"/>
    <w:rsid w:val="009278B0"/>
    <w:rsid w:val="009278C9"/>
    <w:rsid w:val="00927A72"/>
    <w:rsid w:val="00927D05"/>
    <w:rsid w:val="00927E2D"/>
    <w:rsid w:val="0093024D"/>
    <w:rsid w:val="00930D37"/>
    <w:rsid w:val="00931219"/>
    <w:rsid w:val="00932828"/>
    <w:rsid w:val="00932934"/>
    <w:rsid w:val="00934B68"/>
    <w:rsid w:val="00935A48"/>
    <w:rsid w:val="00936038"/>
    <w:rsid w:val="009369EC"/>
    <w:rsid w:val="00941D97"/>
    <w:rsid w:val="00941F87"/>
    <w:rsid w:val="009421B0"/>
    <w:rsid w:val="00942DB4"/>
    <w:rsid w:val="00942F1F"/>
    <w:rsid w:val="0094391E"/>
    <w:rsid w:val="00944553"/>
    <w:rsid w:val="00944B7E"/>
    <w:rsid w:val="00945787"/>
    <w:rsid w:val="00946093"/>
    <w:rsid w:val="00946E44"/>
    <w:rsid w:val="009470CD"/>
    <w:rsid w:val="00947ADF"/>
    <w:rsid w:val="00950B67"/>
    <w:rsid w:val="0095127D"/>
    <w:rsid w:val="0095182E"/>
    <w:rsid w:val="00952190"/>
    <w:rsid w:val="00952909"/>
    <w:rsid w:val="00952C6E"/>
    <w:rsid w:val="00953465"/>
    <w:rsid w:val="0095390F"/>
    <w:rsid w:val="0095452A"/>
    <w:rsid w:val="00954B47"/>
    <w:rsid w:val="00954C73"/>
    <w:rsid w:val="00955827"/>
    <w:rsid w:val="00955866"/>
    <w:rsid w:val="00956435"/>
    <w:rsid w:val="00961D48"/>
    <w:rsid w:val="00961E82"/>
    <w:rsid w:val="00962358"/>
    <w:rsid w:val="0096243A"/>
    <w:rsid w:val="00963DCB"/>
    <w:rsid w:val="00964444"/>
    <w:rsid w:val="00964DB8"/>
    <w:rsid w:val="00964F88"/>
    <w:rsid w:val="00965B31"/>
    <w:rsid w:val="00966CFF"/>
    <w:rsid w:val="009678D7"/>
    <w:rsid w:val="00967CF8"/>
    <w:rsid w:val="00970042"/>
    <w:rsid w:val="00970976"/>
    <w:rsid w:val="00970AB2"/>
    <w:rsid w:val="00970F75"/>
    <w:rsid w:val="00971090"/>
    <w:rsid w:val="009714A7"/>
    <w:rsid w:val="009726B5"/>
    <w:rsid w:val="00973DF2"/>
    <w:rsid w:val="00974162"/>
    <w:rsid w:val="00974D52"/>
    <w:rsid w:val="0097529C"/>
    <w:rsid w:val="0097539A"/>
    <w:rsid w:val="0097565E"/>
    <w:rsid w:val="009758B8"/>
    <w:rsid w:val="00975B46"/>
    <w:rsid w:val="00975BF6"/>
    <w:rsid w:val="009762B2"/>
    <w:rsid w:val="009762B3"/>
    <w:rsid w:val="00980F07"/>
    <w:rsid w:val="00981755"/>
    <w:rsid w:val="00982AD7"/>
    <w:rsid w:val="00982B20"/>
    <w:rsid w:val="00983110"/>
    <w:rsid w:val="009831FE"/>
    <w:rsid w:val="009839A4"/>
    <w:rsid w:val="00984332"/>
    <w:rsid w:val="0098489A"/>
    <w:rsid w:val="00985153"/>
    <w:rsid w:val="00985604"/>
    <w:rsid w:val="00985FDE"/>
    <w:rsid w:val="0098668C"/>
    <w:rsid w:val="00986EC4"/>
    <w:rsid w:val="00986F56"/>
    <w:rsid w:val="00987B36"/>
    <w:rsid w:val="00990205"/>
    <w:rsid w:val="0099096B"/>
    <w:rsid w:val="00991083"/>
    <w:rsid w:val="00991EB2"/>
    <w:rsid w:val="00992549"/>
    <w:rsid w:val="00992716"/>
    <w:rsid w:val="00992809"/>
    <w:rsid w:val="00992EDA"/>
    <w:rsid w:val="0099349F"/>
    <w:rsid w:val="00993539"/>
    <w:rsid w:val="00993B79"/>
    <w:rsid w:val="00993CC1"/>
    <w:rsid w:val="00993E10"/>
    <w:rsid w:val="00994BD7"/>
    <w:rsid w:val="00994E28"/>
    <w:rsid w:val="00995900"/>
    <w:rsid w:val="00995B66"/>
    <w:rsid w:val="0099704B"/>
    <w:rsid w:val="00997CF4"/>
    <w:rsid w:val="009A01A2"/>
    <w:rsid w:val="009A0A54"/>
    <w:rsid w:val="009A0E72"/>
    <w:rsid w:val="009A188C"/>
    <w:rsid w:val="009A2055"/>
    <w:rsid w:val="009A2F85"/>
    <w:rsid w:val="009A2FDC"/>
    <w:rsid w:val="009A469D"/>
    <w:rsid w:val="009A4C8D"/>
    <w:rsid w:val="009A52ED"/>
    <w:rsid w:val="009A5BBA"/>
    <w:rsid w:val="009A7240"/>
    <w:rsid w:val="009B09D6"/>
    <w:rsid w:val="009B0D32"/>
    <w:rsid w:val="009B1551"/>
    <w:rsid w:val="009B19DB"/>
    <w:rsid w:val="009B1A13"/>
    <w:rsid w:val="009B1C35"/>
    <w:rsid w:val="009B241B"/>
    <w:rsid w:val="009B3AC6"/>
    <w:rsid w:val="009B5043"/>
    <w:rsid w:val="009B6425"/>
    <w:rsid w:val="009C01A7"/>
    <w:rsid w:val="009C02C9"/>
    <w:rsid w:val="009C0341"/>
    <w:rsid w:val="009C1240"/>
    <w:rsid w:val="009C1577"/>
    <w:rsid w:val="009C1922"/>
    <w:rsid w:val="009C1D27"/>
    <w:rsid w:val="009C223E"/>
    <w:rsid w:val="009C3329"/>
    <w:rsid w:val="009C357B"/>
    <w:rsid w:val="009C3822"/>
    <w:rsid w:val="009C49E1"/>
    <w:rsid w:val="009C6501"/>
    <w:rsid w:val="009C7DB7"/>
    <w:rsid w:val="009D0387"/>
    <w:rsid w:val="009D07A1"/>
    <w:rsid w:val="009D2D21"/>
    <w:rsid w:val="009D36FF"/>
    <w:rsid w:val="009D3A52"/>
    <w:rsid w:val="009D3D5D"/>
    <w:rsid w:val="009D4072"/>
    <w:rsid w:val="009D4502"/>
    <w:rsid w:val="009D45B4"/>
    <w:rsid w:val="009D62AF"/>
    <w:rsid w:val="009D6592"/>
    <w:rsid w:val="009D7156"/>
    <w:rsid w:val="009D71B8"/>
    <w:rsid w:val="009D75E2"/>
    <w:rsid w:val="009D7D89"/>
    <w:rsid w:val="009D7F02"/>
    <w:rsid w:val="009E1F65"/>
    <w:rsid w:val="009E218F"/>
    <w:rsid w:val="009E23A0"/>
    <w:rsid w:val="009E40C5"/>
    <w:rsid w:val="009E4896"/>
    <w:rsid w:val="009E5A6F"/>
    <w:rsid w:val="009E5FC0"/>
    <w:rsid w:val="009E6591"/>
    <w:rsid w:val="009E66B6"/>
    <w:rsid w:val="009E6B0B"/>
    <w:rsid w:val="009E7390"/>
    <w:rsid w:val="009E7A3D"/>
    <w:rsid w:val="009E7C96"/>
    <w:rsid w:val="009F08F6"/>
    <w:rsid w:val="009F1782"/>
    <w:rsid w:val="009F1B14"/>
    <w:rsid w:val="009F3916"/>
    <w:rsid w:val="009F3E1F"/>
    <w:rsid w:val="009F3E7E"/>
    <w:rsid w:val="009F43AD"/>
    <w:rsid w:val="009F49F5"/>
    <w:rsid w:val="009F4B3E"/>
    <w:rsid w:val="009F5AE4"/>
    <w:rsid w:val="009F71D3"/>
    <w:rsid w:val="00A00039"/>
    <w:rsid w:val="00A00571"/>
    <w:rsid w:val="00A0105D"/>
    <w:rsid w:val="00A01169"/>
    <w:rsid w:val="00A02FFC"/>
    <w:rsid w:val="00A04122"/>
    <w:rsid w:val="00A045FF"/>
    <w:rsid w:val="00A05148"/>
    <w:rsid w:val="00A0544D"/>
    <w:rsid w:val="00A0721C"/>
    <w:rsid w:val="00A07E6A"/>
    <w:rsid w:val="00A101A5"/>
    <w:rsid w:val="00A10679"/>
    <w:rsid w:val="00A107D7"/>
    <w:rsid w:val="00A10E33"/>
    <w:rsid w:val="00A115F8"/>
    <w:rsid w:val="00A12E92"/>
    <w:rsid w:val="00A12FBA"/>
    <w:rsid w:val="00A13CF3"/>
    <w:rsid w:val="00A13F2C"/>
    <w:rsid w:val="00A14CBE"/>
    <w:rsid w:val="00A15692"/>
    <w:rsid w:val="00A1629C"/>
    <w:rsid w:val="00A16850"/>
    <w:rsid w:val="00A16DA8"/>
    <w:rsid w:val="00A16E5F"/>
    <w:rsid w:val="00A205E3"/>
    <w:rsid w:val="00A20E02"/>
    <w:rsid w:val="00A21C87"/>
    <w:rsid w:val="00A23729"/>
    <w:rsid w:val="00A24DA4"/>
    <w:rsid w:val="00A24DE6"/>
    <w:rsid w:val="00A256CA"/>
    <w:rsid w:val="00A25CFE"/>
    <w:rsid w:val="00A26387"/>
    <w:rsid w:val="00A2703B"/>
    <w:rsid w:val="00A303C2"/>
    <w:rsid w:val="00A304FB"/>
    <w:rsid w:val="00A30DA4"/>
    <w:rsid w:val="00A317E4"/>
    <w:rsid w:val="00A31810"/>
    <w:rsid w:val="00A319A9"/>
    <w:rsid w:val="00A31A2C"/>
    <w:rsid w:val="00A32225"/>
    <w:rsid w:val="00A325C8"/>
    <w:rsid w:val="00A32AB4"/>
    <w:rsid w:val="00A32F2F"/>
    <w:rsid w:val="00A33984"/>
    <w:rsid w:val="00A33A42"/>
    <w:rsid w:val="00A33CCA"/>
    <w:rsid w:val="00A34242"/>
    <w:rsid w:val="00A344FB"/>
    <w:rsid w:val="00A34FC4"/>
    <w:rsid w:val="00A352BE"/>
    <w:rsid w:val="00A35315"/>
    <w:rsid w:val="00A35489"/>
    <w:rsid w:val="00A3551E"/>
    <w:rsid w:val="00A3576B"/>
    <w:rsid w:val="00A35FAC"/>
    <w:rsid w:val="00A36500"/>
    <w:rsid w:val="00A36FAA"/>
    <w:rsid w:val="00A375D8"/>
    <w:rsid w:val="00A3797D"/>
    <w:rsid w:val="00A41987"/>
    <w:rsid w:val="00A41D0F"/>
    <w:rsid w:val="00A43357"/>
    <w:rsid w:val="00A43AD9"/>
    <w:rsid w:val="00A43BEB"/>
    <w:rsid w:val="00A445C0"/>
    <w:rsid w:val="00A44760"/>
    <w:rsid w:val="00A44F16"/>
    <w:rsid w:val="00A45C55"/>
    <w:rsid w:val="00A50EF7"/>
    <w:rsid w:val="00A517AF"/>
    <w:rsid w:val="00A51AF4"/>
    <w:rsid w:val="00A52436"/>
    <w:rsid w:val="00A52AF5"/>
    <w:rsid w:val="00A5338E"/>
    <w:rsid w:val="00A534BF"/>
    <w:rsid w:val="00A535B8"/>
    <w:rsid w:val="00A5502B"/>
    <w:rsid w:val="00A55238"/>
    <w:rsid w:val="00A55AFF"/>
    <w:rsid w:val="00A5640A"/>
    <w:rsid w:val="00A5679C"/>
    <w:rsid w:val="00A56E18"/>
    <w:rsid w:val="00A5778D"/>
    <w:rsid w:val="00A6025C"/>
    <w:rsid w:val="00A61FB0"/>
    <w:rsid w:val="00A620EF"/>
    <w:rsid w:val="00A6298B"/>
    <w:rsid w:val="00A62B11"/>
    <w:rsid w:val="00A62E9C"/>
    <w:rsid w:val="00A62FFA"/>
    <w:rsid w:val="00A63392"/>
    <w:rsid w:val="00A63D28"/>
    <w:rsid w:val="00A63DA9"/>
    <w:rsid w:val="00A65664"/>
    <w:rsid w:val="00A66A34"/>
    <w:rsid w:val="00A67AF4"/>
    <w:rsid w:val="00A70628"/>
    <w:rsid w:val="00A70D1A"/>
    <w:rsid w:val="00A748F6"/>
    <w:rsid w:val="00A74927"/>
    <w:rsid w:val="00A75A28"/>
    <w:rsid w:val="00A76430"/>
    <w:rsid w:val="00A77364"/>
    <w:rsid w:val="00A77514"/>
    <w:rsid w:val="00A832C3"/>
    <w:rsid w:val="00A8330C"/>
    <w:rsid w:val="00A840AB"/>
    <w:rsid w:val="00A855DA"/>
    <w:rsid w:val="00A8582F"/>
    <w:rsid w:val="00A859E6"/>
    <w:rsid w:val="00A85F01"/>
    <w:rsid w:val="00A85F2B"/>
    <w:rsid w:val="00A86704"/>
    <w:rsid w:val="00A86AE5"/>
    <w:rsid w:val="00A86BEA"/>
    <w:rsid w:val="00A91B82"/>
    <w:rsid w:val="00A91BB6"/>
    <w:rsid w:val="00A920B6"/>
    <w:rsid w:val="00A936F4"/>
    <w:rsid w:val="00A93724"/>
    <w:rsid w:val="00A9397F"/>
    <w:rsid w:val="00A93AD2"/>
    <w:rsid w:val="00A9523D"/>
    <w:rsid w:val="00A95B9E"/>
    <w:rsid w:val="00A9688B"/>
    <w:rsid w:val="00A9696C"/>
    <w:rsid w:val="00A96CBA"/>
    <w:rsid w:val="00A97C3B"/>
    <w:rsid w:val="00AA081C"/>
    <w:rsid w:val="00AA1F6C"/>
    <w:rsid w:val="00AA3335"/>
    <w:rsid w:val="00AA3932"/>
    <w:rsid w:val="00AA3BA1"/>
    <w:rsid w:val="00AA3BA3"/>
    <w:rsid w:val="00AA3BE7"/>
    <w:rsid w:val="00AA3D98"/>
    <w:rsid w:val="00AA4504"/>
    <w:rsid w:val="00AA4B10"/>
    <w:rsid w:val="00AA4F74"/>
    <w:rsid w:val="00AA5318"/>
    <w:rsid w:val="00AA5933"/>
    <w:rsid w:val="00AA6B46"/>
    <w:rsid w:val="00AA7490"/>
    <w:rsid w:val="00AA778C"/>
    <w:rsid w:val="00AA79CA"/>
    <w:rsid w:val="00AB02A5"/>
    <w:rsid w:val="00AB04EF"/>
    <w:rsid w:val="00AB0BB7"/>
    <w:rsid w:val="00AB12D5"/>
    <w:rsid w:val="00AB1B98"/>
    <w:rsid w:val="00AB2299"/>
    <w:rsid w:val="00AB2C93"/>
    <w:rsid w:val="00AB3706"/>
    <w:rsid w:val="00AB3BF8"/>
    <w:rsid w:val="00AB44AD"/>
    <w:rsid w:val="00AB4699"/>
    <w:rsid w:val="00AB5DE5"/>
    <w:rsid w:val="00AB609F"/>
    <w:rsid w:val="00AB6947"/>
    <w:rsid w:val="00AB696C"/>
    <w:rsid w:val="00AB718E"/>
    <w:rsid w:val="00AC03FA"/>
    <w:rsid w:val="00AC1338"/>
    <w:rsid w:val="00AC17D5"/>
    <w:rsid w:val="00AC18CF"/>
    <w:rsid w:val="00AC22D9"/>
    <w:rsid w:val="00AC256D"/>
    <w:rsid w:val="00AC25FA"/>
    <w:rsid w:val="00AC2B76"/>
    <w:rsid w:val="00AC341B"/>
    <w:rsid w:val="00AC6221"/>
    <w:rsid w:val="00AC6DEC"/>
    <w:rsid w:val="00AC6F10"/>
    <w:rsid w:val="00AC7C02"/>
    <w:rsid w:val="00AC7F92"/>
    <w:rsid w:val="00AD0793"/>
    <w:rsid w:val="00AD0F5F"/>
    <w:rsid w:val="00AD16D2"/>
    <w:rsid w:val="00AD1EEE"/>
    <w:rsid w:val="00AD27A2"/>
    <w:rsid w:val="00AD293B"/>
    <w:rsid w:val="00AD2ABA"/>
    <w:rsid w:val="00AD2D4D"/>
    <w:rsid w:val="00AD39A5"/>
    <w:rsid w:val="00AD411B"/>
    <w:rsid w:val="00AD475B"/>
    <w:rsid w:val="00AD5755"/>
    <w:rsid w:val="00AD5B2C"/>
    <w:rsid w:val="00AD7074"/>
    <w:rsid w:val="00AE0FFE"/>
    <w:rsid w:val="00AE2FAC"/>
    <w:rsid w:val="00AE3224"/>
    <w:rsid w:val="00AE3571"/>
    <w:rsid w:val="00AE37D0"/>
    <w:rsid w:val="00AE3B52"/>
    <w:rsid w:val="00AE3C59"/>
    <w:rsid w:val="00AE5719"/>
    <w:rsid w:val="00AE609E"/>
    <w:rsid w:val="00AE60BB"/>
    <w:rsid w:val="00AE6389"/>
    <w:rsid w:val="00AE6479"/>
    <w:rsid w:val="00AF0BD1"/>
    <w:rsid w:val="00AF0E47"/>
    <w:rsid w:val="00AF1435"/>
    <w:rsid w:val="00AF2145"/>
    <w:rsid w:val="00AF2829"/>
    <w:rsid w:val="00AF3DD4"/>
    <w:rsid w:val="00AF4BD2"/>
    <w:rsid w:val="00AF5551"/>
    <w:rsid w:val="00AF5EA6"/>
    <w:rsid w:val="00AF690E"/>
    <w:rsid w:val="00AF6E7B"/>
    <w:rsid w:val="00AF7541"/>
    <w:rsid w:val="00B01FE2"/>
    <w:rsid w:val="00B02F58"/>
    <w:rsid w:val="00B030DD"/>
    <w:rsid w:val="00B03989"/>
    <w:rsid w:val="00B04D0B"/>
    <w:rsid w:val="00B04F67"/>
    <w:rsid w:val="00B0574E"/>
    <w:rsid w:val="00B05A78"/>
    <w:rsid w:val="00B064E3"/>
    <w:rsid w:val="00B06848"/>
    <w:rsid w:val="00B069AB"/>
    <w:rsid w:val="00B0765D"/>
    <w:rsid w:val="00B10D61"/>
    <w:rsid w:val="00B10DCD"/>
    <w:rsid w:val="00B10F84"/>
    <w:rsid w:val="00B117E8"/>
    <w:rsid w:val="00B12B7B"/>
    <w:rsid w:val="00B12F74"/>
    <w:rsid w:val="00B138BE"/>
    <w:rsid w:val="00B143B5"/>
    <w:rsid w:val="00B145A9"/>
    <w:rsid w:val="00B14664"/>
    <w:rsid w:val="00B14E03"/>
    <w:rsid w:val="00B161E5"/>
    <w:rsid w:val="00B16501"/>
    <w:rsid w:val="00B1777F"/>
    <w:rsid w:val="00B20B8C"/>
    <w:rsid w:val="00B2160B"/>
    <w:rsid w:val="00B22903"/>
    <w:rsid w:val="00B22DD6"/>
    <w:rsid w:val="00B23FF6"/>
    <w:rsid w:val="00B244F7"/>
    <w:rsid w:val="00B25793"/>
    <w:rsid w:val="00B27352"/>
    <w:rsid w:val="00B27675"/>
    <w:rsid w:val="00B3005D"/>
    <w:rsid w:val="00B3074D"/>
    <w:rsid w:val="00B30818"/>
    <w:rsid w:val="00B3153C"/>
    <w:rsid w:val="00B31AA0"/>
    <w:rsid w:val="00B31D10"/>
    <w:rsid w:val="00B31D9B"/>
    <w:rsid w:val="00B322C6"/>
    <w:rsid w:val="00B32C42"/>
    <w:rsid w:val="00B32DC4"/>
    <w:rsid w:val="00B331DC"/>
    <w:rsid w:val="00B33490"/>
    <w:rsid w:val="00B340AE"/>
    <w:rsid w:val="00B34563"/>
    <w:rsid w:val="00B35AB3"/>
    <w:rsid w:val="00B35B64"/>
    <w:rsid w:val="00B35B70"/>
    <w:rsid w:val="00B35EF8"/>
    <w:rsid w:val="00B3600F"/>
    <w:rsid w:val="00B365A3"/>
    <w:rsid w:val="00B36D2C"/>
    <w:rsid w:val="00B3725B"/>
    <w:rsid w:val="00B37FA6"/>
    <w:rsid w:val="00B4051F"/>
    <w:rsid w:val="00B413B2"/>
    <w:rsid w:val="00B4168F"/>
    <w:rsid w:val="00B4186B"/>
    <w:rsid w:val="00B41EA5"/>
    <w:rsid w:val="00B4369E"/>
    <w:rsid w:val="00B439C5"/>
    <w:rsid w:val="00B4432D"/>
    <w:rsid w:val="00B449E3"/>
    <w:rsid w:val="00B44D5F"/>
    <w:rsid w:val="00B46218"/>
    <w:rsid w:val="00B472F8"/>
    <w:rsid w:val="00B476C2"/>
    <w:rsid w:val="00B4781F"/>
    <w:rsid w:val="00B50A2D"/>
    <w:rsid w:val="00B527B6"/>
    <w:rsid w:val="00B530C4"/>
    <w:rsid w:val="00B53ED1"/>
    <w:rsid w:val="00B566E3"/>
    <w:rsid w:val="00B57FFE"/>
    <w:rsid w:val="00B60F7D"/>
    <w:rsid w:val="00B61033"/>
    <w:rsid w:val="00B61204"/>
    <w:rsid w:val="00B612CF"/>
    <w:rsid w:val="00B623E9"/>
    <w:rsid w:val="00B63C14"/>
    <w:rsid w:val="00B63CFD"/>
    <w:rsid w:val="00B66029"/>
    <w:rsid w:val="00B66723"/>
    <w:rsid w:val="00B66ADF"/>
    <w:rsid w:val="00B66EDE"/>
    <w:rsid w:val="00B66EE6"/>
    <w:rsid w:val="00B673A5"/>
    <w:rsid w:val="00B703E7"/>
    <w:rsid w:val="00B713E7"/>
    <w:rsid w:val="00B71916"/>
    <w:rsid w:val="00B72313"/>
    <w:rsid w:val="00B725A4"/>
    <w:rsid w:val="00B72A02"/>
    <w:rsid w:val="00B742C8"/>
    <w:rsid w:val="00B7454F"/>
    <w:rsid w:val="00B745C7"/>
    <w:rsid w:val="00B74741"/>
    <w:rsid w:val="00B75208"/>
    <w:rsid w:val="00B755CD"/>
    <w:rsid w:val="00B7577E"/>
    <w:rsid w:val="00B76953"/>
    <w:rsid w:val="00B772E7"/>
    <w:rsid w:val="00B77606"/>
    <w:rsid w:val="00B77A65"/>
    <w:rsid w:val="00B80713"/>
    <w:rsid w:val="00B80A93"/>
    <w:rsid w:val="00B80D79"/>
    <w:rsid w:val="00B81436"/>
    <w:rsid w:val="00B815A5"/>
    <w:rsid w:val="00B81E54"/>
    <w:rsid w:val="00B8498A"/>
    <w:rsid w:val="00B85285"/>
    <w:rsid w:val="00B855EF"/>
    <w:rsid w:val="00B85880"/>
    <w:rsid w:val="00B86187"/>
    <w:rsid w:val="00B87187"/>
    <w:rsid w:val="00B87949"/>
    <w:rsid w:val="00B87A13"/>
    <w:rsid w:val="00B908DC"/>
    <w:rsid w:val="00B909BD"/>
    <w:rsid w:val="00B90BC5"/>
    <w:rsid w:val="00B91E92"/>
    <w:rsid w:val="00B92351"/>
    <w:rsid w:val="00B924DA"/>
    <w:rsid w:val="00B93603"/>
    <w:rsid w:val="00B936D8"/>
    <w:rsid w:val="00B9386B"/>
    <w:rsid w:val="00B942A7"/>
    <w:rsid w:val="00B94417"/>
    <w:rsid w:val="00B94A42"/>
    <w:rsid w:val="00B95792"/>
    <w:rsid w:val="00B95798"/>
    <w:rsid w:val="00B97966"/>
    <w:rsid w:val="00B97B26"/>
    <w:rsid w:val="00BA10A3"/>
    <w:rsid w:val="00BA12CB"/>
    <w:rsid w:val="00BA133D"/>
    <w:rsid w:val="00BA1359"/>
    <w:rsid w:val="00BA16A3"/>
    <w:rsid w:val="00BA1FF6"/>
    <w:rsid w:val="00BA3CE6"/>
    <w:rsid w:val="00BA3FDF"/>
    <w:rsid w:val="00BA41C9"/>
    <w:rsid w:val="00BA4CD2"/>
    <w:rsid w:val="00BA661C"/>
    <w:rsid w:val="00BA6708"/>
    <w:rsid w:val="00BA7C44"/>
    <w:rsid w:val="00BB01F8"/>
    <w:rsid w:val="00BB0292"/>
    <w:rsid w:val="00BB0407"/>
    <w:rsid w:val="00BB072D"/>
    <w:rsid w:val="00BB0B03"/>
    <w:rsid w:val="00BB0C21"/>
    <w:rsid w:val="00BB13F2"/>
    <w:rsid w:val="00BB1B19"/>
    <w:rsid w:val="00BB1B62"/>
    <w:rsid w:val="00BB1D65"/>
    <w:rsid w:val="00BB2507"/>
    <w:rsid w:val="00BB2AB1"/>
    <w:rsid w:val="00BB3E8D"/>
    <w:rsid w:val="00BB5BAF"/>
    <w:rsid w:val="00BB6426"/>
    <w:rsid w:val="00BB6A86"/>
    <w:rsid w:val="00BB7402"/>
    <w:rsid w:val="00BC0710"/>
    <w:rsid w:val="00BC0E75"/>
    <w:rsid w:val="00BC1046"/>
    <w:rsid w:val="00BC1224"/>
    <w:rsid w:val="00BC21B3"/>
    <w:rsid w:val="00BC264C"/>
    <w:rsid w:val="00BC3C1A"/>
    <w:rsid w:val="00BC3F50"/>
    <w:rsid w:val="00BC4C7B"/>
    <w:rsid w:val="00BC4D72"/>
    <w:rsid w:val="00BC5C2B"/>
    <w:rsid w:val="00BC5E8F"/>
    <w:rsid w:val="00BC62CC"/>
    <w:rsid w:val="00BC64DA"/>
    <w:rsid w:val="00BC664F"/>
    <w:rsid w:val="00BC6BEF"/>
    <w:rsid w:val="00BC6C6B"/>
    <w:rsid w:val="00BD04AB"/>
    <w:rsid w:val="00BD0C87"/>
    <w:rsid w:val="00BD2C59"/>
    <w:rsid w:val="00BD307C"/>
    <w:rsid w:val="00BD3612"/>
    <w:rsid w:val="00BD39F3"/>
    <w:rsid w:val="00BD3FE1"/>
    <w:rsid w:val="00BD4D78"/>
    <w:rsid w:val="00BD5324"/>
    <w:rsid w:val="00BD595E"/>
    <w:rsid w:val="00BD5980"/>
    <w:rsid w:val="00BD5AA2"/>
    <w:rsid w:val="00BD7405"/>
    <w:rsid w:val="00BE012E"/>
    <w:rsid w:val="00BE0A6C"/>
    <w:rsid w:val="00BE1880"/>
    <w:rsid w:val="00BE22F2"/>
    <w:rsid w:val="00BE29D7"/>
    <w:rsid w:val="00BE2E7D"/>
    <w:rsid w:val="00BE3079"/>
    <w:rsid w:val="00BE3E85"/>
    <w:rsid w:val="00BE61D6"/>
    <w:rsid w:val="00BE6585"/>
    <w:rsid w:val="00BE751A"/>
    <w:rsid w:val="00BF000C"/>
    <w:rsid w:val="00BF0868"/>
    <w:rsid w:val="00BF103A"/>
    <w:rsid w:val="00BF1262"/>
    <w:rsid w:val="00BF2081"/>
    <w:rsid w:val="00BF227C"/>
    <w:rsid w:val="00BF2CB0"/>
    <w:rsid w:val="00BF2D21"/>
    <w:rsid w:val="00BF3629"/>
    <w:rsid w:val="00BF48DA"/>
    <w:rsid w:val="00BF493C"/>
    <w:rsid w:val="00BF522D"/>
    <w:rsid w:val="00BF56AC"/>
    <w:rsid w:val="00BF59D3"/>
    <w:rsid w:val="00BF5AE0"/>
    <w:rsid w:val="00BF6B85"/>
    <w:rsid w:val="00BF6DAA"/>
    <w:rsid w:val="00BF7842"/>
    <w:rsid w:val="00C003F8"/>
    <w:rsid w:val="00C0087C"/>
    <w:rsid w:val="00C00B4B"/>
    <w:rsid w:val="00C00E57"/>
    <w:rsid w:val="00C01A39"/>
    <w:rsid w:val="00C02925"/>
    <w:rsid w:val="00C029E3"/>
    <w:rsid w:val="00C03987"/>
    <w:rsid w:val="00C03A90"/>
    <w:rsid w:val="00C03B15"/>
    <w:rsid w:val="00C04ACC"/>
    <w:rsid w:val="00C04AE9"/>
    <w:rsid w:val="00C059E1"/>
    <w:rsid w:val="00C05A16"/>
    <w:rsid w:val="00C06E09"/>
    <w:rsid w:val="00C07BF7"/>
    <w:rsid w:val="00C10056"/>
    <w:rsid w:val="00C10D20"/>
    <w:rsid w:val="00C10EFF"/>
    <w:rsid w:val="00C1165E"/>
    <w:rsid w:val="00C11BC9"/>
    <w:rsid w:val="00C121F5"/>
    <w:rsid w:val="00C1365D"/>
    <w:rsid w:val="00C13A71"/>
    <w:rsid w:val="00C13C7C"/>
    <w:rsid w:val="00C1446C"/>
    <w:rsid w:val="00C15B0D"/>
    <w:rsid w:val="00C17DF6"/>
    <w:rsid w:val="00C17EC4"/>
    <w:rsid w:val="00C208FF"/>
    <w:rsid w:val="00C20AD1"/>
    <w:rsid w:val="00C20B24"/>
    <w:rsid w:val="00C21491"/>
    <w:rsid w:val="00C21DDA"/>
    <w:rsid w:val="00C22E68"/>
    <w:rsid w:val="00C23082"/>
    <w:rsid w:val="00C23D81"/>
    <w:rsid w:val="00C23EC9"/>
    <w:rsid w:val="00C243A1"/>
    <w:rsid w:val="00C25179"/>
    <w:rsid w:val="00C25B7B"/>
    <w:rsid w:val="00C25D69"/>
    <w:rsid w:val="00C26E0B"/>
    <w:rsid w:val="00C27DA5"/>
    <w:rsid w:val="00C31274"/>
    <w:rsid w:val="00C3169D"/>
    <w:rsid w:val="00C32331"/>
    <w:rsid w:val="00C334AC"/>
    <w:rsid w:val="00C33696"/>
    <w:rsid w:val="00C34591"/>
    <w:rsid w:val="00C34671"/>
    <w:rsid w:val="00C35A97"/>
    <w:rsid w:val="00C37ACC"/>
    <w:rsid w:val="00C40643"/>
    <w:rsid w:val="00C40894"/>
    <w:rsid w:val="00C40929"/>
    <w:rsid w:val="00C4126C"/>
    <w:rsid w:val="00C416E0"/>
    <w:rsid w:val="00C422D5"/>
    <w:rsid w:val="00C45EE4"/>
    <w:rsid w:val="00C46967"/>
    <w:rsid w:val="00C5036F"/>
    <w:rsid w:val="00C50FF7"/>
    <w:rsid w:val="00C514B7"/>
    <w:rsid w:val="00C523DB"/>
    <w:rsid w:val="00C52746"/>
    <w:rsid w:val="00C52A4C"/>
    <w:rsid w:val="00C52B30"/>
    <w:rsid w:val="00C555E5"/>
    <w:rsid w:val="00C57FDF"/>
    <w:rsid w:val="00C606DA"/>
    <w:rsid w:val="00C61412"/>
    <w:rsid w:val="00C6267D"/>
    <w:rsid w:val="00C62C33"/>
    <w:rsid w:val="00C63C62"/>
    <w:rsid w:val="00C64A9B"/>
    <w:rsid w:val="00C64C10"/>
    <w:rsid w:val="00C66771"/>
    <w:rsid w:val="00C67B60"/>
    <w:rsid w:val="00C70D2F"/>
    <w:rsid w:val="00C7151E"/>
    <w:rsid w:val="00C717E3"/>
    <w:rsid w:val="00C72B92"/>
    <w:rsid w:val="00C72D1F"/>
    <w:rsid w:val="00C72F3F"/>
    <w:rsid w:val="00C74465"/>
    <w:rsid w:val="00C747E1"/>
    <w:rsid w:val="00C74830"/>
    <w:rsid w:val="00C755DD"/>
    <w:rsid w:val="00C757B7"/>
    <w:rsid w:val="00C76883"/>
    <w:rsid w:val="00C76B26"/>
    <w:rsid w:val="00C772F0"/>
    <w:rsid w:val="00C77424"/>
    <w:rsid w:val="00C7757D"/>
    <w:rsid w:val="00C7761E"/>
    <w:rsid w:val="00C77DBE"/>
    <w:rsid w:val="00C82078"/>
    <w:rsid w:val="00C82C59"/>
    <w:rsid w:val="00C838FE"/>
    <w:rsid w:val="00C85CDE"/>
    <w:rsid w:val="00C863EF"/>
    <w:rsid w:val="00C86FE4"/>
    <w:rsid w:val="00C87A81"/>
    <w:rsid w:val="00C903EE"/>
    <w:rsid w:val="00C904B6"/>
    <w:rsid w:val="00C90559"/>
    <w:rsid w:val="00C91FE3"/>
    <w:rsid w:val="00C9237C"/>
    <w:rsid w:val="00C950E1"/>
    <w:rsid w:val="00C95590"/>
    <w:rsid w:val="00C97F60"/>
    <w:rsid w:val="00CA128D"/>
    <w:rsid w:val="00CA16AB"/>
    <w:rsid w:val="00CA279F"/>
    <w:rsid w:val="00CA2917"/>
    <w:rsid w:val="00CA2C75"/>
    <w:rsid w:val="00CA2CCA"/>
    <w:rsid w:val="00CA3108"/>
    <w:rsid w:val="00CA3A97"/>
    <w:rsid w:val="00CA4C03"/>
    <w:rsid w:val="00CA4F72"/>
    <w:rsid w:val="00CA5AC1"/>
    <w:rsid w:val="00CA5CE8"/>
    <w:rsid w:val="00CA6C34"/>
    <w:rsid w:val="00CA6F6D"/>
    <w:rsid w:val="00CA7D53"/>
    <w:rsid w:val="00CB01C6"/>
    <w:rsid w:val="00CB01C7"/>
    <w:rsid w:val="00CB035D"/>
    <w:rsid w:val="00CB0504"/>
    <w:rsid w:val="00CB0616"/>
    <w:rsid w:val="00CB10A5"/>
    <w:rsid w:val="00CB1C8F"/>
    <w:rsid w:val="00CB2250"/>
    <w:rsid w:val="00CB2468"/>
    <w:rsid w:val="00CB3432"/>
    <w:rsid w:val="00CB391A"/>
    <w:rsid w:val="00CB3CA5"/>
    <w:rsid w:val="00CB559C"/>
    <w:rsid w:val="00CB5809"/>
    <w:rsid w:val="00CB5853"/>
    <w:rsid w:val="00CB5E83"/>
    <w:rsid w:val="00CB7131"/>
    <w:rsid w:val="00CB76CA"/>
    <w:rsid w:val="00CB7DF6"/>
    <w:rsid w:val="00CC08EF"/>
    <w:rsid w:val="00CC0CC4"/>
    <w:rsid w:val="00CC0D3E"/>
    <w:rsid w:val="00CC14EC"/>
    <w:rsid w:val="00CC1B77"/>
    <w:rsid w:val="00CC1C89"/>
    <w:rsid w:val="00CC21D2"/>
    <w:rsid w:val="00CC223E"/>
    <w:rsid w:val="00CC23B4"/>
    <w:rsid w:val="00CC300B"/>
    <w:rsid w:val="00CC36AF"/>
    <w:rsid w:val="00CC495E"/>
    <w:rsid w:val="00CC4BD8"/>
    <w:rsid w:val="00CC5189"/>
    <w:rsid w:val="00CC593C"/>
    <w:rsid w:val="00CC5B9E"/>
    <w:rsid w:val="00CC614C"/>
    <w:rsid w:val="00CC653F"/>
    <w:rsid w:val="00CC7041"/>
    <w:rsid w:val="00CC7F7B"/>
    <w:rsid w:val="00CD078D"/>
    <w:rsid w:val="00CD1B70"/>
    <w:rsid w:val="00CD1DB4"/>
    <w:rsid w:val="00CD24C8"/>
    <w:rsid w:val="00CD2802"/>
    <w:rsid w:val="00CD3505"/>
    <w:rsid w:val="00CD35C8"/>
    <w:rsid w:val="00CD471F"/>
    <w:rsid w:val="00CD490B"/>
    <w:rsid w:val="00CD55F1"/>
    <w:rsid w:val="00CD5874"/>
    <w:rsid w:val="00CD6402"/>
    <w:rsid w:val="00CD6915"/>
    <w:rsid w:val="00CD6FAF"/>
    <w:rsid w:val="00CD7373"/>
    <w:rsid w:val="00CD7458"/>
    <w:rsid w:val="00CD752C"/>
    <w:rsid w:val="00CD75EE"/>
    <w:rsid w:val="00CE0071"/>
    <w:rsid w:val="00CE129E"/>
    <w:rsid w:val="00CE16DF"/>
    <w:rsid w:val="00CE2851"/>
    <w:rsid w:val="00CE28DE"/>
    <w:rsid w:val="00CE3D51"/>
    <w:rsid w:val="00CE4390"/>
    <w:rsid w:val="00CE44E3"/>
    <w:rsid w:val="00CE4910"/>
    <w:rsid w:val="00CE4CE7"/>
    <w:rsid w:val="00CE4D9B"/>
    <w:rsid w:val="00CE5E70"/>
    <w:rsid w:val="00CE7585"/>
    <w:rsid w:val="00CE7695"/>
    <w:rsid w:val="00CE7AAD"/>
    <w:rsid w:val="00CE7E21"/>
    <w:rsid w:val="00CF00AC"/>
    <w:rsid w:val="00CF0117"/>
    <w:rsid w:val="00CF20D2"/>
    <w:rsid w:val="00CF2DB7"/>
    <w:rsid w:val="00CF2EC2"/>
    <w:rsid w:val="00CF3A3A"/>
    <w:rsid w:val="00CF3B2A"/>
    <w:rsid w:val="00CF3F3B"/>
    <w:rsid w:val="00CF4672"/>
    <w:rsid w:val="00CF4719"/>
    <w:rsid w:val="00CF4B97"/>
    <w:rsid w:val="00CF566A"/>
    <w:rsid w:val="00CF6C91"/>
    <w:rsid w:val="00CF6D91"/>
    <w:rsid w:val="00CF787E"/>
    <w:rsid w:val="00D002D7"/>
    <w:rsid w:val="00D01404"/>
    <w:rsid w:val="00D018CE"/>
    <w:rsid w:val="00D01F72"/>
    <w:rsid w:val="00D030E5"/>
    <w:rsid w:val="00D04A5A"/>
    <w:rsid w:val="00D05BC8"/>
    <w:rsid w:val="00D077B9"/>
    <w:rsid w:val="00D07F01"/>
    <w:rsid w:val="00D116DD"/>
    <w:rsid w:val="00D127DC"/>
    <w:rsid w:val="00D12C63"/>
    <w:rsid w:val="00D13378"/>
    <w:rsid w:val="00D14C57"/>
    <w:rsid w:val="00D151B4"/>
    <w:rsid w:val="00D15DCC"/>
    <w:rsid w:val="00D16656"/>
    <w:rsid w:val="00D17AAA"/>
    <w:rsid w:val="00D2018B"/>
    <w:rsid w:val="00D204F1"/>
    <w:rsid w:val="00D20D72"/>
    <w:rsid w:val="00D20F16"/>
    <w:rsid w:val="00D20F6F"/>
    <w:rsid w:val="00D215A9"/>
    <w:rsid w:val="00D22C4A"/>
    <w:rsid w:val="00D23994"/>
    <w:rsid w:val="00D242A8"/>
    <w:rsid w:val="00D24451"/>
    <w:rsid w:val="00D25D4C"/>
    <w:rsid w:val="00D27CF7"/>
    <w:rsid w:val="00D309BF"/>
    <w:rsid w:val="00D30A89"/>
    <w:rsid w:val="00D3116F"/>
    <w:rsid w:val="00D31C8D"/>
    <w:rsid w:val="00D328E8"/>
    <w:rsid w:val="00D3347D"/>
    <w:rsid w:val="00D33BC9"/>
    <w:rsid w:val="00D33EC0"/>
    <w:rsid w:val="00D33FC3"/>
    <w:rsid w:val="00D34479"/>
    <w:rsid w:val="00D3453E"/>
    <w:rsid w:val="00D34637"/>
    <w:rsid w:val="00D34F44"/>
    <w:rsid w:val="00D35370"/>
    <w:rsid w:val="00D35BE9"/>
    <w:rsid w:val="00D362EE"/>
    <w:rsid w:val="00D3659A"/>
    <w:rsid w:val="00D36606"/>
    <w:rsid w:val="00D36B33"/>
    <w:rsid w:val="00D3705F"/>
    <w:rsid w:val="00D4013F"/>
    <w:rsid w:val="00D40650"/>
    <w:rsid w:val="00D4094E"/>
    <w:rsid w:val="00D40D04"/>
    <w:rsid w:val="00D40F8C"/>
    <w:rsid w:val="00D41724"/>
    <w:rsid w:val="00D417E0"/>
    <w:rsid w:val="00D41A8B"/>
    <w:rsid w:val="00D41E3D"/>
    <w:rsid w:val="00D42873"/>
    <w:rsid w:val="00D435C4"/>
    <w:rsid w:val="00D44313"/>
    <w:rsid w:val="00D460D0"/>
    <w:rsid w:val="00D46243"/>
    <w:rsid w:val="00D4699D"/>
    <w:rsid w:val="00D46A77"/>
    <w:rsid w:val="00D46B32"/>
    <w:rsid w:val="00D46B61"/>
    <w:rsid w:val="00D46C73"/>
    <w:rsid w:val="00D47807"/>
    <w:rsid w:val="00D47DEC"/>
    <w:rsid w:val="00D505A7"/>
    <w:rsid w:val="00D5078E"/>
    <w:rsid w:val="00D51008"/>
    <w:rsid w:val="00D515E9"/>
    <w:rsid w:val="00D53902"/>
    <w:rsid w:val="00D53D1C"/>
    <w:rsid w:val="00D54208"/>
    <w:rsid w:val="00D5491A"/>
    <w:rsid w:val="00D54ACE"/>
    <w:rsid w:val="00D552BA"/>
    <w:rsid w:val="00D55B7E"/>
    <w:rsid w:val="00D55DF8"/>
    <w:rsid w:val="00D56D13"/>
    <w:rsid w:val="00D5790B"/>
    <w:rsid w:val="00D6092E"/>
    <w:rsid w:val="00D61A1C"/>
    <w:rsid w:val="00D62E75"/>
    <w:rsid w:val="00D62FF8"/>
    <w:rsid w:val="00D63B41"/>
    <w:rsid w:val="00D6498B"/>
    <w:rsid w:val="00D65822"/>
    <w:rsid w:val="00D65B15"/>
    <w:rsid w:val="00D667C2"/>
    <w:rsid w:val="00D66E27"/>
    <w:rsid w:val="00D679AE"/>
    <w:rsid w:val="00D67D32"/>
    <w:rsid w:val="00D705BD"/>
    <w:rsid w:val="00D708B6"/>
    <w:rsid w:val="00D70B3A"/>
    <w:rsid w:val="00D710FD"/>
    <w:rsid w:val="00D712D3"/>
    <w:rsid w:val="00D723A9"/>
    <w:rsid w:val="00D73400"/>
    <w:rsid w:val="00D744FC"/>
    <w:rsid w:val="00D7535E"/>
    <w:rsid w:val="00D7641C"/>
    <w:rsid w:val="00D765F1"/>
    <w:rsid w:val="00D76A4B"/>
    <w:rsid w:val="00D76CBD"/>
    <w:rsid w:val="00D80D74"/>
    <w:rsid w:val="00D81100"/>
    <w:rsid w:val="00D81409"/>
    <w:rsid w:val="00D8281D"/>
    <w:rsid w:val="00D83653"/>
    <w:rsid w:val="00D83BF6"/>
    <w:rsid w:val="00D840EE"/>
    <w:rsid w:val="00D849FC"/>
    <w:rsid w:val="00D84A14"/>
    <w:rsid w:val="00D84A23"/>
    <w:rsid w:val="00D84F60"/>
    <w:rsid w:val="00D851A3"/>
    <w:rsid w:val="00D85224"/>
    <w:rsid w:val="00D85E10"/>
    <w:rsid w:val="00D862AA"/>
    <w:rsid w:val="00D86ACC"/>
    <w:rsid w:val="00D87943"/>
    <w:rsid w:val="00D90158"/>
    <w:rsid w:val="00D9051A"/>
    <w:rsid w:val="00D91026"/>
    <w:rsid w:val="00D91958"/>
    <w:rsid w:val="00D91A7F"/>
    <w:rsid w:val="00D92260"/>
    <w:rsid w:val="00D928C1"/>
    <w:rsid w:val="00D93070"/>
    <w:rsid w:val="00D934F3"/>
    <w:rsid w:val="00D93C4D"/>
    <w:rsid w:val="00D93D32"/>
    <w:rsid w:val="00D94DA1"/>
    <w:rsid w:val="00D9540F"/>
    <w:rsid w:val="00D9628D"/>
    <w:rsid w:val="00D968A3"/>
    <w:rsid w:val="00D96E92"/>
    <w:rsid w:val="00D97679"/>
    <w:rsid w:val="00DA105D"/>
    <w:rsid w:val="00DA1234"/>
    <w:rsid w:val="00DA224F"/>
    <w:rsid w:val="00DA3A62"/>
    <w:rsid w:val="00DA403F"/>
    <w:rsid w:val="00DA4FA9"/>
    <w:rsid w:val="00DA5773"/>
    <w:rsid w:val="00DA77BC"/>
    <w:rsid w:val="00DA7E62"/>
    <w:rsid w:val="00DB04D1"/>
    <w:rsid w:val="00DB1C20"/>
    <w:rsid w:val="00DB2822"/>
    <w:rsid w:val="00DB29FC"/>
    <w:rsid w:val="00DB2C8E"/>
    <w:rsid w:val="00DB2E1F"/>
    <w:rsid w:val="00DB3233"/>
    <w:rsid w:val="00DB5401"/>
    <w:rsid w:val="00DB5D73"/>
    <w:rsid w:val="00DB6FBE"/>
    <w:rsid w:val="00DC114F"/>
    <w:rsid w:val="00DC1798"/>
    <w:rsid w:val="00DC37FC"/>
    <w:rsid w:val="00DC38F2"/>
    <w:rsid w:val="00DC4968"/>
    <w:rsid w:val="00DC4F80"/>
    <w:rsid w:val="00DC56D8"/>
    <w:rsid w:val="00DC593A"/>
    <w:rsid w:val="00DC5A4B"/>
    <w:rsid w:val="00DC653F"/>
    <w:rsid w:val="00DCB5BF"/>
    <w:rsid w:val="00DD0AC5"/>
    <w:rsid w:val="00DD2383"/>
    <w:rsid w:val="00DD24AF"/>
    <w:rsid w:val="00DD323B"/>
    <w:rsid w:val="00DD3DFB"/>
    <w:rsid w:val="00DD49CA"/>
    <w:rsid w:val="00DD4E53"/>
    <w:rsid w:val="00DD57AA"/>
    <w:rsid w:val="00DD614A"/>
    <w:rsid w:val="00DD6FC3"/>
    <w:rsid w:val="00DD772F"/>
    <w:rsid w:val="00DD7E71"/>
    <w:rsid w:val="00DE0E3A"/>
    <w:rsid w:val="00DE13E4"/>
    <w:rsid w:val="00DE1671"/>
    <w:rsid w:val="00DE1B35"/>
    <w:rsid w:val="00DE1C8C"/>
    <w:rsid w:val="00DE2703"/>
    <w:rsid w:val="00DE301F"/>
    <w:rsid w:val="00DE3882"/>
    <w:rsid w:val="00DE3884"/>
    <w:rsid w:val="00DE3EB2"/>
    <w:rsid w:val="00DE5D6D"/>
    <w:rsid w:val="00DE740A"/>
    <w:rsid w:val="00DE76EE"/>
    <w:rsid w:val="00DE7C5B"/>
    <w:rsid w:val="00DE7EF4"/>
    <w:rsid w:val="00DF0245"/>
    <w:rsid w:val="00DF056F"/>
    <w:rsid w:val="00DF0C2A"/>
    <w:rsid w:val="00DF1A56"/>
    <w:rsid w:val="00DF1C1D"/>
    <w:rsid w:val="00DF39DA"/>
    <w:rsid w:val="00DF4345"/>
    <w:rsid w:val="00DF4580"/>
    <w:rsid w:val="00DF4604"/>
    <w:rsid w:val="00DF4675"/>
    <w:rsid w:val="00DF4B66"/>
    <w:rsid w:val="00DF783F"/>
    <w:rsid w:val="00E00118"/>
    <w:rsid w:val="00E00196"/>
    <w:rsid w:val="00E0054D"/>
    <w:rsid w:val="00E00756"/>
    <w:rsid w:val="00E00BB8"/>
    <w:rsid w:val="00E01278"/>
    <w:rsid w:val="00E0254C"/>
    <w:rsid w:val="00E02948"/>
    <w:rsid w:val="00E0294F"/>
    <w:rsid w:val="00E034FB"/>
    <w:rsid w:val="00E039D5"/>
    <w:rsid w:val="00E0413E"/>
    <w:rsid w:val="00E05EA8"/>
    <w:rsid w:val="00E06FE6"/>
    <w:rsid w:val="00E07627"/>
    <w:rsid w:val="00E07D87"/>
    <w:rsid w:val="00E100BB"/>
    <w:rsid w:val="00E116D0"/>
    <w:rsid w:val="00E12264"/>
    <w:rsid w:val="00E1311B"/>
    <w:rsid w:val="00E131AB"/>
    <w:rsid w:val="00E13DBB"/>
    <w:rsid w:val="00E1428F"/>
    <w:rsid w:val="00E14F3B"/>
    <w:rsid w:val="00E1506B"/>
    <w:rsid w:val="00E1710E"/>
    <w:rsid w:val="00E174E0"/>
    <w:rsid w:val="00E200EE"/>
    <w:rsid w:val="00E20DC1"/>
    <w:rsid w:val="00E2112A"/>
    <w:rsid w:val="00E21469"/>
    <w:rsid w:val="00E220AD"/>
    <w:rsid w:val="00E22AAB"/>
    <w:rsid w:val="00E22C96"/>
    <w:rsid w:val="00E22E15"/>
    <w:rsid w:val="00E23A64"/>
    <w:rsid w:val="00E23FB8"/>
    <w:rsid w:val="00E2407F"/>
    <w:rsid w:val="00E2495F"/>
    <w:rsid w:val="00E24A84"/>
    <w:rsid w:val="00E27205"/>
    <w:rsid w:val="00E300CF"/>
    <w:rsid w:val="00E30E21"/>
    <w:rsid w:val="00E30F7C"/>
    <w:rsid w:val="00E315D5"/>
    <w:rsid w:val="00E3180A"/>
    <w:rsid w:val="00E31CAA"/>
    <w:rsid w:val="00E31D8A"/>
    <w:rsid w:val="00E31E7D"/>
    <w:rsid w:val="00E32879"/>
    <w:rsid w:val="00E32F27"/>
    <w:rsid w:val="00E33380"/>
    <w:rsid w:val="00E33877"/>
    <w:rsid w:val="00E34192"/>
    <w:rsid w:val="00E3483C"/>
    <w:rsid w:val="00E34926"/>
    <w:rsid w:val="00E34995"/>
    <w:rsid w:val="00E35719"/>
    <w:rsid w:val="00E35B2A"/>
    <w:rsid w:val="00E35E86"/>
    <w:rsid w:val="00E3630E"/>
    <w:rsid w:val="00E363F8"/>
    <w:rsid w:val="00E36B2B"/>
    <w:rsid w:val="00E36C37"/>
    <w:rsid w:val="00E41B3F"/>
    <w:rsid w:val="00E41FCD"/>
    <w:rsid w:val="00E4242F"/>
    <w:rsid w:val="00E425E3"/>
    <w:rsid w:val="00E4345D"/>
    <w:rsid w:val="00E43780"/>
    <w:rsid w:val="00E4380C"/>
    <w:rsid w:val="00E446E8"/>
    <w:rsid w:val="00E449A7"/>
    <w:rsid w:val="00E461AC"/>
    <w:rsid w:val="00E46F7D"/>
    <w:rsid w:val="00E472CD"/>
    <w:rsid w:val="00E47866"/>
    <w:rsid w:val="00E508F8"/>
    <w:rsid w:val="00E50EAE"/>
    <w:rsid w:val="00E5191F"/>
    <w:rsid w:val="00E52444"/>
    <w:rsid w:val="00E52471"/>
    <w:rsid w:val="00E5248C"/>
    <w:rsid w:val="00E525A6"/>
    <w:rsid w:val="00E52A9D"/>
    <w:rsid w:val="00E52EB3"/>
    <w:rsid w:val="00E540B2"/>
    <w:rsid w:val="00E540B4"/>
    <w:rsid w:val="00E54161"/>
    <w:rsid w:val="00E541FD"/>
    <w:rsid w:val="00E548BE"/>
    <w:rsid w:val="00E54F6B"/>
    <w:rsid w:val="00E55401"/>
    <w:rsid w:val="00E555EE"/>
    <w:rsid w:val="00E55878"/>
    <w:rsid w:val="00E55C22"/>
    <w:rsid w:val="00E56319"/>
    <w:rsid w:val="00E5692F"/>
    <w:rsid w:val="00E56BBA"/>
    <w:rsid w:val="00E56D64"/>
    <w:rsid w:val="00E57CB2"/>
    <w:rsid w:val="00E60CC9"/>
    <w:rsid w:val="00E62613"/>
    <w:rsid w:val="00E62B13"/>
    <w:rsid w:val="00E638D0"/>
    <w:rsid w:val="00E639FC"/>
    <w:rsid w:val="00E642E5"/>
    <w:rsid w:val="00E65A96"/>
    <w:rsid w:val="00E65B70"/>
    <w:rsid w:val="00E65E24"/>
    <w:rsid w:val="00E662D7"/>
    <w:rsid w:val="00E66615"/>
    <w:rsid w:val="00E66EF0"/>
    <w:rsid w:val="00E675D3"/>
    <w:rsid w:val="00E70191"/>
    <w:rsid w:val="00E713C2"/>
    <w:rsid w:val="00E71483"/>
    <w:rsid w:val="00E719F9"/>
    <w:rsid w:val="00E72060"/>
    <w:rsid w:val="00E7212F"/>
    <w:rsid w:val="00E72154"/>
    <w:rsid w:val="00E7215B"/>
    <w:rsid w:val="00E7223E"/>
    <w:rsid w:val="00E725D2"/>
    <w:rsid w:val="00E72DDB"/>
    <w:rsid w:val="00E72FA8"/>
    <w:rsid w:val="00E73283"/>
    <w:rsid w:val="00E73402"/>
    <w:rsid w:val="00E7353B"/>
    <w:rsid w:val="00E73546"/>
    <w:rsid w:val="00E73EB2"/>
    <w:rsid w:val="00E741A4"/>
    <w:rsid w:val="00E74977"/>
    <w:rsid w:val="00E74D86"/>
    <w:rsid w:val="00E75E9D"/>
    <w:rsid w:val="00E76060"/>
    <w:rsid w:val="00E76382"/>
    <w:rsid w:val="00E7695F"/>
    <w:rsid w:val="00E812DE"/>
    <w:rsid w:val="00E814D4"/>
    <w:rsid w:val="00E823DD"/>
    <w:rsid w:val="00E840F3"/>
    <w:rsid w:val="00E857FB"/>
    <w:rsid w:val="00E85EF9"/>
    <w:rsid w:val="00E86407"/>
    <w:rsid w:val="00E875F7"/>
    <w:rsid w:val="00E87B75"/>
    <w:rsid w:val="00E91702"/>
    <w:rsid w:val="00E91839"/>
    <w:rsid w:val="00E918B7"/>
    <w:rsid w:val="00E92189"/>
    <w:rsid w:val="00E923FA"/>
    <w:rsid w:val="00E92CCA"/>
    <w:rsid w:val="00E936C7"/>
    <w:rsid w:val="00E93D6B"/>
    <w:rsid w:val="00E94167"/>
    <w:rsid w:val="00E95B11"/>
    <w:rsid w:val="00E96263"/>
    <w:rsid w:val="00EA023E"/>
    <w:rsid w:val="00EA2235"/>
    <w:rsid w:val="00EA256A"/>
    <w:rsid w:val="00EA261F"/>
    <w:rsid w:val="00EA4B78"/>
    <w:rsid w:val="00EA5193"/>
    <w:rsid w:val="00EA6BB1"/>
    <w:rsid w:val="00EA6E02"/>
    <w:rsid w:val="00EA7C1D"/>
    <w:rsid w:val="00EA7C52"/>
    <w:rsid w:val="00EB049C"/>
    <w:rsid w:val="00EB12C4"/>
    <w:rsid w:val="00EB2851"/>
    <w:rsid w:val="00EB29D6"/>
    <w:rsid w:val="00EB36AB"/>
    <w:rsid w:val="00EB36CE"/>
    <w:rsid w:val="00EB3C9D"/>
    <w:rsid w:val="00EB3F14"/>
    <w:rsid w:val="00EB4146"/>
    <w:rsid w:val="00EB4B6C"/>
    <w:rsid w:val="00EB5163"/>
    <w:rsid w:val="00EB5955"/>
    <w:rsid w:val="00EB59AF"/>
    <w:rsid w:val="00EB5FA4"/>
    <w:rsid w:val="00EB63F6"/>
    <w:rsid w:val="00EB6DA5"/>
    <w:rsid w:val="00EB70A7"/>
    <w:rsid w:val="00EC0F27"/>
    <w:rsid w:val="00EC11E7"/>
    <w:rsid w:val="00EC1E16"/>
    <w:rsid w:val="00EC3537"/>
    <w:rsid w:val="00EC3E09"/>
    <w:rsid w:val="00EC3F47"/>
    <w:rsid w:val="00EC5190"/>
    <w:rsid w:val="00EC57D3"/>
    <w:rsid w:val="00EC61C5"/>
    <w:rsid w:val="00EC69EF"/>
    <w:rsid w:val="00EC7602"/>
    <w:rsid w:val="00EC7BAD"/>
    <w:rsid w:val="00ED0690"/>
    <w:rsid w:val="00ED082C"/>
    <w:rsid w:val="00ED17E2"/>
    <w:rsid w:val="00ED19E6"/>
    <w:rsid w:val="00ED1D8D"/>
    <w:rsid w:val="00ED21E1"/>
    <w:rsid w:val="00ED2603"/>
    <w:rsid w:val="00ED269E"/>
    <w:rsid w:val="00ED2D3E"/>
    <w:rsid w:val="00ED2FD3"/>
    <w:rsid w:val="00ED388C"/>
    <w:rsid w:val="00ED556E"/>
    <w:rsid w:val="00ED69DE"/>
    <w:rsid w:val="00ED6D4F"/>
    <w:rsid w:val="00ED7737"/>
    <w:rsid w:val="00EE05A5"/>
    <w:rsid w:val="00EE1173"/>
    <w:rsid w:val="00EE134D"/>
    <w:rsid w:val="00EE1363"/>
    <w:rsid w:val="00EE172B"/>
    <w:rsid w:val="00EE1B30"/>
    <w:rsid w:val="00EE1DC6"/>
    <w:rsid w:val="00EE2060"/>
    <w:rsid w:val="00EE254A"/>
    <w:rsid w:val="00EE416A"/>
    <w:rsid w:val="00EE5113"/>
    <w:rsid w:val="00EE58FC"/>
    <w:rsid w:val="00EE5F32"/>
    <w:rsid w:val="00EE6DD4"/>
    <w:rsid w:val="00EE704A"/>
    <w:rsid w:val="00EE721A"/>
    <w:rsid w:val="00EE75A9"/>
    <w:rsid w:val="00EE7CF1"/>
    <w:rsid w:val="00EF0AC1"/>
    <w:rsid w:val="00EF0AF5"/>
    <w:rsid w:val="00EF15CA"/>
    <w:rsid w:val="00EF2088"/>
    <w:rsid w:val="00EF21E4"/>
    <w:rsid w:val="00EF2BDF"/>
    <w:rsid w:val="00EF30D2"/>
    <w:rsid w:val="00EF3988"/>
    <w:rsid w:val="00EF5C6A"/>
    <w:rsid w:val="00EF646A"/>
    <w:rsid w:val="00EF6C3E"/>
    <w:rsid w:val="00EF6E7F"/>
    <w:rsid w:val="00EF717D"/>
    <w:rsid w:val="00EF757C"/>
    <w:rsid w:val="00EF7A68"/>
    <w:rsid w:val="00F0035A"/>
    <w:rsid w:val="00F007ED"/>
    <w:rsid w:val="00F0095F"/>
    <w:rsid w:val="00F02BC5"/>
    <w:rsid w:val="00F02E66"/>
    <w:rsid w:val="00F03071"/>
    <w:rsid w:val="00F03697"/>
    <w:rsid w:val="00F046C8"/>
    <w:rsid w:val="00F047AC"/>
    <w:rsid w:val="00F04CBD"/>
    <w:rsid w:val="00F04FC1"/>
    <w:rsid w:val="00F0531D"/>
    <w:rsid w:val="00F0598D"/>
    <w:rsid w:val="00F10350"/>
    <w:rsid w:val="00F11AB2"/>
    <w:rsid w:val="00F12442"/>
    <w:rsid w:val="00F13296"/>
    <w:rsid w:val="00F13643"/>
    <w:rsid w:val="00F139A6"/>
    <w:rsid w:val="00F13D76"/>
    <w:rsid w:val="00F163DC"/>
    <w:rsid w:val="00F16BA3"/>
    <w:rsid w:val="00F178E7"/>
    <w:rsid w:val="00F17DC5"/>
    <w:rsid w:val="00F20265"/>
    <w:rsid w:val="00F20C3A"/>
    <w:rsid w:val="00F21349"/>
    <w:rsid w:val="00F2137D"/>
    <w:rsid w:val="00F21C3B"/>
    <w:rsid w:val="00F21F40"/>
    <w:rsid w:val="00F23524"/>
    <w:rsid w:val="00F24B79"/>
    <w:rsid w:val="00F25B6C"/>
    <w:rsid w:val="00F263C7"/>
    <w:rsid w:val="00F269CC"/>
    <w:rsid w:val="00F273D9"/>
    <w:rsid w:val="00F27A46"/>
    <w:rsid w:val="00F30991"/>
    <w:rsid w:val="00F30EB9"/>
    <w:rsid w:val="00F314DA"/>
    <w:rsid w:val="00F317D1"/>
    <w:rsid w:val="00F31E90"/>
    <w:rsid w:val="00F322C3"/>
    <w:rsid w:val="00F32C47"/>
    <w:rsid w:val="00F34041"/>
    <w:rsid w:val="00F346B2"/>
    <w:rsid w:val="00F34A69"/>
    <w:rsid w:val="00F34FB9"/>
    <w:rsid w:val="00F351B1"/>
    <w:rsid w:val="00F35316"/>
    <w:rsid w:val="00F35816"/>
    <w:rsid w:val="00F358AE"/>
    <w:rsid w:val="00F35EB2"/>
    <w:rsid w:val="00F37735"/>
    <w:rsid w:val="00F40C53"/>
    <w:rsid w:val="00F426CD"/>
    <w:rsid w:val="00F43411"/>
    <w:rsid w:val="00F4358A"/>
    <w:rsid w:val="00F43956"/>
    <w:rsid w:val="00F44631"/>
    <w:rsid w:val="00F44723"/>
    <w:rsid w:val="00F45037"/>
    <w:rsid w:val="00F451BB"/>
    <w:rsid w:val="00F473C3"/>
    <w:rsid w:val="00F50AD7"/>
    <w:rsid w:val="00F5125C"/>
    <w:rsid w:val="00F51451"/>
    <w:rsid w:val="00F52E97"/>
    <w:rsid w:val="00F54C1C"/>
    <w:rsid w:val="00F56EA2"/>
    <w:rsid w:val="00F57003"/>
    <w:rsid w:val="00F57EC5"/>
    <w:rsid w:val="00F605B1"/>
    <w:rsid w:val="00F60CEE"/>
    <w:rsid w:val="00F61981"/>
    <w:rsid w:val="00F6274B"/>
    <w:rsid w:val="00F6323D"/>
    <w:rsid w:val="00F63570"/>
    <w:rsid w:val="00F63672"/>
    <w:rsid w:val="00F63800"/>
    <w:rsid w:val="00F63BA4"/>
    <w:rsid w:val="00F648E5"/>
    <w:rsid w:val="00F64C29"/>
    <w:rsid w:val="00F651D1"/>
    <w:rsid w:val="00F6775F"/>
    <w:rsid w:val="00F67E78"/>
    <w:rsid w:val="00F67E8D"/>
    <w:rsid w:val="00F700DB"/>
    <w:rsid w:val="00F70E8F"/>
    <w:rsid w:val="00F7100E"/>
    <w:rsid w:val="00F72394"/>
    <w:rsid w:val="00F73C71"/>
    <w:rsid w:val="00F743C7"/>
    <w:rsid w:val="00F7656A"/>
    <w:rsid w:val="00F769A9"/>
    <w:rsid w:val="00F76A1F"/>
    <w:rsid w:val="00F80D55"/>
    <w:rsid w:val="00F815F8"/>
    <w:rsid w:val="00F8168E"/>
    <w:rsid w:val="00F818FD"/>
    <w:rsid w:val="00F825FB"/>
    <w:rsid w:val="00F82742"/>
    <w:rsid w:val="00F829E7"/>
    <w:rsid w:val="00F84C49"/>
    <w:rsid w:val="00F8509B"/>
    <w:rsid w:val="00F851E1"/>
    <w:rsid w:val="00F85CB4"/>
    <w:rsid w:val="00F85D7B"/>
    <w:rsid w:val="00F864D7"/>
    <w:rsid w:val="00F87239"/>
    <w:rsid w:val="00F87F01"/>
    <w:rsid w:val="00F90640"/>
    <w:rsid w:val="00F9093A"/>
    <w:rsid w:val="00F9098A"/>
    <w:rsid w:val="00F9230A"/>
    <w:rsid w:val="00F925D0"/>
    <w:rsid w:val="00F92EAF"/>
    <w:rsid w:val="00F92F0C"/>
    <w:rsid w:val="00F93123"/>
    <w:rsid w:val="00F94425"/>
    <w:rsid w:val="00F94CAA"/>
    <w:rsid w:val="00F95DCB"/>
    <w:rsid w:val="00F96332"/>
    <w:rsid w:val="00F96EE8"/>
    <w:rsid w:val="00F97A0D"/>
    <w:rsid w:val="00F97B83"/>
    <w:rsid w:val="00FA0302"/>
    <w:rsid w:val="00FA073B"/>
    <w:rsid w:val="00FA11CB"/>
    <w:rsid w:val="00FA3140"/>
    <w:rsid w:val="00FA3B48"/>
    <w:rsid w:val="00FA3D0C"/>
    <w:rsid w:val="00FA44FC"/>
    <w:rsid w:val="00FA4897"/>
    <w:rsid w:val="00FA49FD"/>
    <w:rsid w:val="00FA4D74"/>
    <w:rsid w:val="00FA5107"/>
    <w:rsid w:val="00FA5A73"/>
    <w:rsid w:val="00FA5F5D"/>
    <w:rsid w:val="00FA6656"/>
    <w:rsid w:val="00FA6831"/>
    <w:rsid w:val="00FA7B0A"/>
    <w:rsid w:val="00FA7B0E"/>
    <w:rsid w:val="00FB0174"/>
    <w:rsid w:val="00FB0606"/>
    <w:rsid w:val="00FB0A21"/>
    <w:rsid w:val="00FB0DB6"/>
    <w:rsid w:val="00FB297C"/>
    <w:rsid w:val="00FB2A1F"/>
    <w:rsid w:val="00FB320D"/>
    <w:rsid w:val="00FB37B5"/>
    <w:rsid w:val="00FB3C1B"/>
    <w:rsid w:val="00FB42DE"/>
    <w:rsid w:val="00FB5BE8"/>
    <w:rsid w:val="00FB63B8"/>
    <w:rsid w:val="00FB6A2E"/>
    <w:rsid w:val="00FB79D1"/>
    <w:rsid w:val="00FB7FD8"/>
    <w:rsid w:val="00FC0AC5"/>
    <w:rsid w:val="00FC0E39"/>
    <w:rsid w:val="00FC2403"/>
    <w:rsid w:val="00FC4332"/>
    <w:rsid w:val="00FC77FE"/>
    <w:rsid w:val="00FC7D2A"/>
    <w:rsid w:val="00FC7F78"/>
    <w:rsid w:val="00FD0565"/>
    <w:rsid w:val="00FD0704"/>
    <w:rsid w:val="00FD0753"/>
    <w:rsid w:val="00FD07E9"/>
    <w:rsid w:val="00FD098F"/>
    <w:rsid w:val="00FD1E14"/>
    <w:rsid w:val="00FD2484"/>
    <w:rsid w:val="00FD3450"/>
    <w:rsid w:val="00FD4C8D"/>
    <w:rsid w:val="00FD4D4B"/>
    <w:rsid w:val="00FD4DA8"/>
    <w:rsid w:val="00FD54AB"/>
    <w:rsid w:val="00FD6443"/>
    <w:rsid w:val="00FD64BC"/>
    <w:rsid w:val="00FD7735"/>
    <w:rsid w:val="00FD7ABE"/>
    <w:rsid w:val="00FD7CCA"/>
    <w:rsid w:val="00FE06FC"/>
    <w:rsid w:val="00FE0777"/>
    <w:rsid w:val="00FE173F"/>
    <w:rsid w:val="00FE1FC1"/>
    <w:rsid w:val="00FE2CF0"/>
    <w:rsid w:val="00FE375D"/>
    <w:rsid w:val="00FE3915"/>
    <w:rsid w:val="00FE4697"/>
    <w:rsid w:val="00FE4E79"/>
    <w:rsid w:val="00FE52E4"/>
    <w:rsid w:val="00FE575D"/>
    <w:rsid w:val="00FE5E1D"/>
    <w:rsid w:val="00FE6513"/>
    <w:rsid w:val="00FE666E"/>
    <w:rsid w:val="00FE74EC"/>
    <w:rsid w:val="00FE78A7"/>
    <w:rsid w:val="00FE7C5B"/>
    <w:rsid w:val="00FE7CC6"/>
    <w:rsid w:val="00FF0505"/>
    <w:rsid w:val="00FF0E6E"/>
    <w:rsid w:val="00FF0EBE"/>
    <w:rsid w:val="00FF2137"/>
    <w:rsid w:val="00FF28C2"/>
    <w:rsid w:val="00FF3031"/>
    <w:rsid w:val="00FF3060"/>
    <w:rsid w:val="00FF3BC5"/>
    <w:rsid w:val="00FF4CC8"/>
    <w:rsid w:val="00FF5071"/>
    <w:rsid w:val="00FF520F"/>
    <w:rsid w:val="00FF5FFF"/>
    <w:rsid w:val="00FF7176"/>
    <w:rsid w:val="00FF73CC"/>
    <w:rsid w:val="0FB126EA"/>
    <w:rsid w:val="1071FA74"/>
    <w:rsid w:val="1A66D534"/>
    <w:rsid w:val="211D6F35"/>
    <w:rsid w:val="21C1B4F3"/>
    <w:rsid w:val="268D581A"/>
    <w:rsid w:val="29C590BB"/>
    <w:rsid w:val="2B6230AF"/>
    <w:rsid w:val="31C2990C"/>
    <w:rsid w:val="36FC7BD7"/>
    <w:rsid w:val="3858B6C5"/>
    <w:rsid w:val="3984D881"/>
    <w:rsid w:val="3B9D5566"/>
    <w:rsid w:val="3CBC64A5"/>
    <w:rsid w:val="4392EE6A"/>
    <w:rsid w:val="44E60736"/>
    <w:rsid w:val="4DF91D4C"/>
    <w:rsid w:val="4E559093"/>
    <w:rsid w:val="512D973F"/>
    <w:rsid w:val="52D12DAD"/>
    <w:rsid w:val="5CB3CB58"/>
    <w:rsid w:val="6AB08236"/>
    <w:rsid w:val="7472BDC8"/>
    <w:rsid w:val="77F31AA6"/>
    <w:rsid w:val="7A676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1EAA36"/>
  <w15:docId w15:val="{866C9476-4C1C-436D-B521-B2E4D26E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64F6"/>
    <w:pPr>
      <w:spacing w:after="0" w:line="240" w:lineRule="auto"/>
    </w:pPr>
    <w:rPr>
      <w:rFonts w:eastAsia="Times New Roman"/>
      <w:sz w:val="24"/>
      <w:szCs w:val="24"/>
    </w:rPr>
  </w:style>
  <w:style w:type="paragraph" w:styleId="berschrift1">
    <w:name w:val="heading 1"/>
    <w:basedOn w:val="Standard"/>
    <w:next w:val="Standard"/>
    <w:link w:val="berschrift1Zchn"/>
    <w:uiPriority w:val="9"/>
    <w:qFormat/>
    <w:rsid w:val="0053113A"/>
    <w:pPr>
      <w:keepNext/>
      <w:keepLines/>
      <w:spacing w:before="240"/>
      <w:outlineLvl w:val="0"/>
    </w:pPr>
    <w:rPr>
      <w:rFonts w:asciiTheme="majorHAnsi" w:eastAsiaTheme="majorEastAsia" w:hAnsiTheme="majorHAnsi" w:cstheme="majorBidi"/>
      <w:color w:val="2E74B5" w:themeColor="accent1" w:themeShade="BF"/>
      <w:kern w:val="2"/>
      <w:sz w:val="32"/>
      <w:szCs w:val="32"/>
      <w:lang w:val="de-DE"/>
    </w:rPr>
  </w:style>
  <w:style w:type="paragraph" w:styleId="berschrift2">
    <w:name w:val="heading 2"/>
    <w:basedOn w:val="Standard"/>
    <w:next w:val="Standard"/>
    <w:link w:val="berschrift2Zchn"/>
    <w:uiPriority w:val="9"/>
    <w:semiHidden/>
    <w:unhideWhenUsed/>
    <w:qFormat/>
    <w:rsid w:val="008E0BB5"/>
    <w:pPr>
      <w:keepNext/>
      <w:keepLines/>
      <w:spacing w:before="40"/>
      <w:outlineLvl w:val="1"/>
    </w:pPr>
    <w:rPr>
      <w:rFonts w:eastAsia="Yu Gothic Light"/>
      <w:b/>
      <w:i/>
      <w:color w:val="000000"/>
      <w:szCs w:val="26"/>
    </w:rPr>
  </w:style>
  <w:style w:type="paragraph" w:styleId="berschrift3">
    <w:name w:val="heading 3"/>
    <w:basedOn w:val="Standard"/>
    <w:next w:val="Standard"/>
    <w:link w:val="berschrift3Zchn"/>
    <w:uiPriority w:val="9"/>
    <w:semiHidden/>
    <w:unhideWhenUsed/>
    <w:qFormat/>
    <w:rsid w:val="008E0BB5"/>
    <w:pPr>
      <w:keepNext/>
      <w:keepLines/>
      <w:spacing w:before="40"/>
      <w:outlineLvl w:val="2"/>
    </w:pPr>
    <w:rPr>
      <w:rFonts w:eastAsia="Yu Gothic Light"/>
      <w:i/>
      <w:color w:val="000000"/>
    </w:rPr>
  </w:style>
  <w:style w:type="paragraph" w:styleId="berschrift4">
    <w:name w:val="heading 4"/>
    <w:basedOn w:val="Standard"/>
    <w:next w:val="Standard"/>
    <w:link w:val="berschrift4Zchn"/>
    <w:uiPriority w:val="9"/>
    <w:semiHidden/>
    <w:unhideWhenUsed/>
    <w:qFormat/>
    <w:rsid w:val="008E0BB5"/>
    <w:pPr>
      <w:keepNext/>
      <w:keepLines/>
      <w:spacing w:before="40"/>
      <w:outlineLvl w:val="3"/>
    </w:pPr>
    <w:rPr>
      <w:rFonts w:eastAsia="Yu Gothic Light"/>
      <w:b/>
      <w:iCs/>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4581"/>
    <w:pPr>
      <w:ind w:left="720"/>
      <w:contextualSpacing/>
    </w:pPr>
  </w:style>
  <w:style w:type="paragraph" w:styleId="Sprechblasentext">
    <w:name w:val="Balloon Text"/>
    <w:basedOn w:val="Standard"/>
    <w:link w:val="SprechblasentextZchn"/>
    <w:uiPriority w:val="99"/>
    <w:semiHidden/>
    <w:unhideWhenUsed/>
    <w:rsid w:val="001537BF"/>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37BF"/>
    <w:rPr>
      <w:rFonts w:ascii="Segoe UI" w:hAnsi="Segoe UI" w:cs="Segoe UI"/>
      <w:sz w:val="18"/>
      <w:szCs w:val="18"/>
    </w:rPr>
  </w:style>
  <w:style w:type="character" w:styleId="Kommentarzeichen">
    <w:name w:val="annotation reference"/>
    <w:basedOn w:val="Absatz-Standardschriftart"/>
    <w:uiPriority w:val="99"/>
    <w:semiHidden/>
    <w:unhideWhenUsed/>
    <w:rsid w:val="00A319A9"/>
    <w:rPr>
      <w:sz w:val="16"/>
      <w:szCs w:val="16"/>
    </w:rPr>
  </w:style>
  <w:style w:type="paragraph" w:styleId="Kommentartext">
    <w:name w:val="annotation text"/>
    <w:basedOn w:val="Standard"/>
    <w:link w:val="KommentartextZchn"/>
    <w:uiPriority w:val="99"/>
    <w:unhideWhenUsed/>
    <w:rsid w:val="00A319A9"/>
    <w:rPr>
      <w:sz w:val="20"/>
      <w:szCs w:val="20"/>
    </w:rPr>
  </w:style>
  <w:style w:type="character" w:customStyle="1" w:styleId="KommentartextZchn">
    <w:name w:val="Kommentartext Zchn"/>
    <w:basedOn w:val="Absatz-Standardschriftart"/>
    <w:link w:val="Kommentartext"/>
    <w:uiPriority w:val="99"/>
    <w:rsid w:val="00A319A9"/>
    <w:rPr>
      <w:sz w:val="20"/>
      <w:szCs w:val="20"/>
    </w:rPr>
  </w:style>
  <w:style w:type="paragraph" w:styleId="Kommentarthema">
    <w:name w:val="annotation subject"/>
    <w:basedOn w:val="Kommentartext"/>
    <w:next w:val="Kommentartext"/>
    <w:link w:val="KommentarthemaZchn"/>
    <w:uiPriority w:val="99"/>
    <w:semiHidden/>
    <w:unhideWhenUsed/>
    <w:rsid w:val="00A319A9"/>
    <w:rPr>
      <w:b/>
      <w:bCs/>
    </w:rPr>
  </w:style>
  <w:style w:type="character" w:customStyle="1" w:styleId="KommentarthemaZchn">
    <w:name w:val="Kommentarthema Zchn"/>
    <w:basedOn w:val="KommentartextZchn"/>
    <w:link w:val="Kommentarthema"/>
    <w:uiPriority w:val="99"/>
    <w:semiHidden/>
    <w:rsid w:val="00A319A9"/>
    <w:rPr>
      <w:b/>
      <w:bCs/>
      <w:sz w:val="20"/>
      <w:szCs w:val="20"/>
    </w:rPr>
  </w:style>
  <w:style w:type="paragraph" w:styleId="Funotentext">
    <w:name w:val="footnote text"/>
    <w:basedOn w:val="Standard"/>
    <w:link w:val="FunotentextZchn"/>
    <w:uiPriority w:val="99"/>
    <w:unhideWhenUsed/>
    <w:rsid w:val="00995900"/>
    <w:rPr>
      <w:sz w:val="20"/>
      <w:szCs w:val="20"/>
    </w:rPr>
  </w:style>
  <w:style w:type="character" w:customStyle="1" w:styleId="FunotentextZchn">
    <w:name w:val="Fußnotentext Zchn"/>
    <w:basedOn w:val="Absatz-Standardschriftart"/>
    <w:link w:val="Funotentext"/>
    <w:uiPriority w:val="99"/>
    <w:rsid w:val="00995900"/>
    <w:rPr>
      <w:sz w:val="20"/>
      <w:szCs w:val="20"/>
    </w:rPr>
  </w:style>
  <w:style w:type="character" w:styleId="Funotenzeichen">
    <w:name w:val="footnote reference"/>
    <w:basedOn w:val="Absatz-Standardschriftart"/>
    <w:uiPriority w:val="99"/>
    <w:unhideWhenUsed/>
    <w:rsid w:val="00995900"/>
    <w:rPr>
      <w:vertAlign w:val="superscript"/>
    </w:rPr>
  </w:style>
  <w:style w:type="paragraph" w:styleId="berarbeitung">
    <w:name w:val="Revision"/>
    <w:hidden/>
    <w:uiPriority w:val="99"/>
    <w:semiHidden/>
    <w:rsid w:val="00D42873"/>
    <w:pPr>
      <w:spacing w:after="0" w:line="240" w:lineRule="auto"/>
    </w:pPr>
  </w:style>
  <w:style w:type="paragraph" w:styleId="Kopfzeile">
    <w:name w:val="header"/>
    <w:basedOn w:val="Standard"/>
    <w:link w:val="KopfzeileZchn"/>
    <w:uiPriority w:val="99"/>
    <w:unhideWhenUsed/>
    <w:rsid w:val="004643C0"/>
    <w:pPr>
      <w:tabs>
        <w:tab w:val="center" w:pos="4536"/>
        <w:tab w:val="right" w:pos="9072"/>
      </w:tabs>
    </w:pPr>
  </w:style>
  <w:style w:type="character" w:customStyle="1" w:styleId="KopfzeileZchn">
    <w:name w:val="Kopfzeile Zchn"/>
    <w:basedOn w:val="Absatz-Standardschriftart"/>
    <w:link w:val="Kopfzeile"/>
    <w:uiPriority w:val="99"/>
    <w:rsid w:val="004643C0"/>
  </w:style>
  <w:style w:type="paragraph" w:styleId="Fuzeile">
    <w:name w:val="footer"/>
    <w:basedOn w:val="Standard"/>
    <w:link w:val="FuzeileZchn"/>
    <w:uiPriority w:val="99"/>
    <w:unhideWhenUsed/>
    <w:rsid w:val="004643C0"/>
    <w:pPr>
      <w:tabs>
        <w:tab w:val="center" w:pos="4536"/>
        <w:tab w:val="right" w:pos="9072"/>
      </w:tabs>
    </w:pPr>
  </w:style>
  <w:style w:type="character" w:customStyle="1" w:styleId="FuzeileZchn">
    <w:name w:val="Fußzeile Zchn"/>
    <w:basedOn w:val="Absatz-Standardschriftart"/>
    <w:link w:val="Fuzeile"/>
    <w:uiPriority w:val="99"/>
    <w:rsid w:val="004643C0"/>
  </w:style>
  <w:style w:type="paragraph" w:customStyle="1" w:styleId="Default">
    <w:name w:val="Default"/>
    <w:rsid w:val="00B623E9"/>
    <w:pPr>
      <w:autoSpaceDE w:val="0"/>
      <w:autoSpaceDN w:val="0"/>
      <w:adjustRightInd w:val="0"/>
      <w:spacing w:after="0" w:line="240" w:lineRule="auto"/>
    </w:pPr>
    <w:rPr>
      <w:color w:val="000000"/>
      <w:sz w:val="24"/>
      <w:szCs w:val="24"/>
      <w:lang w:val="de-DE"/>
    </w:rPr>
  </w:style>
  <w:style w:type="paragraph" w:customStyle="1" w:styleId="FormatvorlageArial11ptFettZeilenabstandeinfach">
    <w:name w:val="Formatvorlage Arial 11 pt Fett Zeilenabstand:  einfach"/>
    <w:basedOn w:val="Standard"/>
    <w:rsid w:val="00B623E9"/>
    <w:pPr>
      <w:spacing w:after="120"/>
    </w:pPr>
    <w:rPr>
      <w:rFonts w:ascii="Arial" w:hAnsi="Arial"/>
      <w:b/>
      <w:bCs/>
      <w:szCs w:val="20"/>
      <w:lang w:val="de-DE" w:eastAsia="de-DE"/>
    </w:rPr>
  </w:style>
  <w:style w:type="paragraph" w:styleId="Textkrper2">
    <w:name w:val="Body Text 2"/>
    <w:basedOn w:val="Standard"/>
    <w:link w:val="Textkrper2Zchn"/>
    <w:uiPriority w:val="99"/>
    <w:unhideWhenUsed/>
    <w:rsid w:val="00B623E9"/>
    <w:pPr>
      <w:spacing w:after="120" w:line="480" w:lineRule="auto"/>
    </w:pPr>
    <w:rPr>
      <w:rFonts w:ascii="Arial" w:hAnsi="Arial" w:cs="Arial"/>
      <w:lang w:val="de-DE"/>
    </w:rPr>
  </w:style>
  <w:style w:type="character" w:customStyle="1" w:styleId="Textkrper2Zchn">
    <w:name w:val="Textkörper 2 Zchn"/>
    <w:basedOn w:val="Absatz-Standardschriftart"/>
    <w:link w:val="Textkrper2"/>
    <w:uiPriority w:val="99"/>
    <w:rsid w:val="00B623E9"/>
    <w:rPr>
      <w:rFonts w:ascii="Arial" w:hAnsi="Arial" w:cs="Arial"/>
      <w:lang w:val="de-DE"/>
    </w:rPr>
  </w:style>
  <w:style w:type="table" w:styleId="Tabellenraster">
    <w:name w:val="Table Grid"/>
    <w:basedOn w:val="NormaleTabelle"/>
    <w:uiPriority w:val="39"/>
    <w:rsid w:val="00734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63C62"/>
    <w:rPr>
      <w:color w:val="0563C1" w:themeColor="hyperlink"/>
      <w:u w:val="single"/>
    </w:rPr>
  </w:style>
  <w:style w:type="paragraph" w:customStyle="1" w:styleId="Notes">
    <w:name w:val="Notes"/>
    <w:basedOn w:val="Standard"/>
    <w:qFormat/>
    <w:rsid w:val="00FB297C"/>
    <w:pPr>
      <w:spacing w:before="120" w:line="360" w:lineRule="auto"/>
      <w:jc w:val="both"/>
    </w:pPr>
    <w:rPr>
      <w:sz w:val="20"/>
      <w:lang w:val="en-GB" w:eastAsia="ja-JP"/>
    </w:rPr>
  </w:style>
  <w:style w:type="character" w:customStyle="1" w:styleId="berschrift1Zchn">
    <w:name w:val="Überschrift 1 Zchn"/>
    <w:basedOn w:val="Absatz-Standardschriftart"/>
    <w:link w:val="berschrift1"/>
    <w:uiPriority w:val="9"/>
    <w:rsid w:val="0053113A"/>
    <w:rPr>
      <w:rFonts w:asciiTheme="majorHAnsi" w:eastAsiaTheme="majorEastAsia" w:hAnsiTheme="majorHAnsi" w:cstheme="majorBidi"/>
      <w:color w:val="2E74B5" w:themeColor="accent1" w:themeShade="BF"/>
      <w:kern w:val="2"/>
      <w:sz w:val="32"/>
      <w:szCs w:val="32"/>
      <w:lang w:val="de-DE"/>
    </w:rPr>
  </w:style>
  <w:style w:type="character" w:styleId="Fett">
    <w:name w:val="Strong"/>
    <w:basedOn w:val="Absatz-Standardschriftart"/>
    <w:uiPriority w:val="22"/>
    <w:qFormat/>
    <w:rsid w:val="009A01A2"/>
    <w:rPr>
      <w:b/>
      <w:bCs/>
    </w:rPr>
  </w:style>
  <w:style w:type="character" w:styleId="NichtaufgelsteErwhnung">
    <w:name w:val="Unresolved Mention"/>
    <w:basedOn w:val="Absatz-Standardschriftart"/>
    <w:uiPriority w:val="99"/>
    <w:unhideWhenUsed/>
    <w:rsid w:val="009A01A2"/>
    <w:rPr>
      <w:color w:val="605E5C"/>
      <w:shd w:val="clear" w:color="auto" w:fill="E1DFDD"/>
    </w:rPr>
  </w:style>
  <w:style w:type="paragraph" w:styleId="Beschriftung">
    <w:name w:val="caption"/>
    <w:basedOn w:val="Standard"/>
    <w:next w:val="Standard"/>
    <w:uiPriority w:val="35"/>
    <w:unhideWhenUsed/>
    <w:qFormat/>
    <w:rsid w:val="00393DA6"/>
    <w:pPr>
      <w:spacing w:after="200"/>
    </w:pPr>
    <w:rPr>
      <w:i/>
      <w:iCs/>
      <w:color w:val="44546A" w:themeColor="text2"/>
      <w:sz w:val="18"/>
      <w:szCs w:val="18"/>
    </w:rPr>
  </w:style>
  <w:style w:type="character" w:customStyle="1" w:styleId="markedcontent">
    <w:name w:val="markedcontent"/>
    <w:basedOn w:val="Absatz-Standardschriftart"/>
    <w:rsid w:val="006203D3"/>
  </w:style>
  <w:style w:type="character" w:styleId="BesuchterLink">
    <w:name w:val="FollowedHyperlink"/>
    <w:basedOn w:val="Absatz-Standardschriftart"/>
    <w:uiPriority w:val="99"/>
    <w:semiHidden/>
    <w:unhideWhenUsed/>
    <w:rsid w:val="00D83BF6"/>
    <w:rPr>
      <w:color w:val="954F72" w:themeColor="followedHyperlink"/>
      <w:u w:val="single"/>
    </w:rPr>
  </w:style>
  <w:style w:type="character" w:styleId="Hervorhebung">
    <w:name w:val="Emphasis"/>
    <w:basedOn w:val="Absatz-Standardschriftart"/>
    <w:uiPriority w:val="20"/>
    <w:qFormat/>
    <w:rsid w:val="008E0473"/>
    <w:rPr>
      <w:i/>
      <w:iCs/>
    </w:rPr>
  </w:style>
  <w:style w:type="character" w:customStyle="1" w:styleId="cf01">
    <w:name w:val="cf01"/>
    <w:basedOn w:val="Absatz-Standardschriftart"/>
    <w:rsid w:val="00777736"/>
    <w:rPr>
      <w:rFonts w:ascii="Segoe UI" w:hAnsi="Segoe UI" w:cs="Segoe UI" w:hint="default"/>
      <w:sz w:val="18"/>
      <w:szCs w:val="18"/>
    </w:rPr>
  </w:style>
  <w:style w:type="paragraph" w:customStyle="1" w:styleId="Heading21">
    <w:name w:val="Heading 21"/>
    <w:basedOn w:val="Standard"/>
    <w:next w:val="Standard"/>
    <w:uiPriority w:val="9"/>
    <w:unhideWhenUsed/>
    <w:qFormat/>
    <w:rsid w:val="008E0BB5"/>
    <w:pPr>
      <w:keepNext/>
      <w:keepLines/>
      <w:spacing w:before="40" w:line="480" w:lineRule="auto"/>
      <w:outlineLvl w:val="1"/>
    </w:pPr>
    <w:rPr>
      <w:rFonts w:eastAsia="Yu Gothic Light"/>
      <w:b/>
      <w:i/>
      <w:color w:val="000000"/>
      <w:szCs w:val="26"/>
    </w:rPr>
  </w:style>
  <w:style w:type="paragraph" w:customStyle="1" w:styleId="Heading31">
    <w:name w:val="Heading 31"/>
    <w:basedOn w:val="Standard"/>
    <w:next w:val="Standard"/>
    <w:autoRedefine/>
    <w:uiPriority w:val="9"/>
    <w:unhideWhenUsed/>
    <w:qFormat/>
    <w:rsid w:val="008E0BB5"/>
    <w:pPr>
      <w:keepNext/>
      <w:keepLines/>
      <w:spacing w:before="40"/>
      <w:outlineLvl w:val="2"/>
    </w:pPr>
    <w:rPr>
      <w:rFonts w:eastAsia="Yu Gothic Light"/>
      <w:i/>
      <w:color w:val="000000"/>
    </w:rPr>
  </w:style>
  <w:style w:type="paragraph" w:customStyle="1" w:styleId="Heading41">
    <w:name w:val="Heading 41"/>
    <w:basedOn w:val="Standard"/>
    <w:next w:val="Standard"/>
    <w:autoRedefine/>
    <w:uiPriority w:val="9"/>
    <w:unhideWhenUsed/>
    <w:qFormat/>
    <w:rsid w:val="008E0BB5"/>
    <w:pPr>
      <w:keepNext/>
      <w:keepLines/>
      <w:spacing w:before="40"/>
      <w:outlineLvl w:val="3"/>
    </w:pPr>
    <w:rPr>
      <w:rFonts w:eastAsia="Yu Gothic Light"/>
      <w:b/>
      <w:iCs/>
      <w:color w:val="000000"/>
    </w:rPr>
  </w:style>
  <w:style w:type="numbering" w:customStyle="1" w:styleId="NoList1">
    <w:name w:val="No List1"/>
    <w:next w:val="KeineListe"/>
    <w:uiPriority w:val="99"/>
    <w:semiHidden/>
    <w:unhideWhenUsed/>
    <w:rsid w:val="008E0BB5"/>
  </w:style>
  <w:style w:type="table" w:customStyle="1" w:styleId="TableGrid1">
    <w:name w:val="Table Grid1"/>
    <w:basedOn w:val="NormaleTabelle"/>
    <w:next w:val="Tabellenraster"/>
    <w:uiPriority w:val="39"/>
    <w:rsid w:val="008E0BB5"/>
    <w:pPr>
      <w:spacing w:after="0" w:line="240" w:lineRule="auto"/>
    </w:pPr>
    <w:rPr>
      <w:rFonts w:ascii="Calibri" w:hAnsi="Calibri"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bsatz-Standardschriftart"/>
    <w:uiPriority w:val="99"/>
    <w:semiHidden/>
    <w:unhideWhenUsed/>
    <w:rsid w:val="008E0BB5"/>
    <w:rPr>
      <w:color w:val="605E5C"/>
      <w:shd w:val="clear" w:color="auto" w:fill="E1DFDD"/>
    </w:rPr>
  </w:style>
  <w:style w:type="paragraph" w:styleId="KeinLeerraum">
    <w:name w:val="No Spacing"/>
    <w:uiPriority w:val="1"/>
    <w:qFormat/>
    <w:rsid w:val="008E0BB5"/>
    <w:pPr>
      <w:spacing w:after="0" w:line="240" w:lineRule="auto"/>
    </w:pPr>
    <w:rPr>
      <w:rFonts w:ascii="Calibri" w:hAnsi="Calibri" w:cs="Arial"/>
    </w:rPr>
  </w:style>
  <w:style w:type="character" w:customStyle="1" w:styleId="berschrift2Zchn">
    <w:name w:val="Überschrift 2 Zchn"/>
    <w:basedOn w:val="Absatz-Standardschriftart"/>
    <w:link w:val="berschrift2"/>
    <w:uiPriority w:val="9"/>
    <w:rsid w:val="008E0BB5"/>
    <w:rPr>
      <w:rFonts w:ascii="Times New Roman" w:eastAsia="Yu Gothic Light" w:hAnsi="Times New Roman" w:cs="Times New Roman"/>
      <w:b/>
      <w:i/>
      <w:color w:val="000000"/>
      <w:sz w:val="24"/>
      <w:szCs w:val="26"/>
      <w:lang w:val="en-US"/>
    </w:rPr>
  </w:style>
  <w:style w:type="paragraph" w:styleId="StandardWeb">
    <w:name w:val="Normal (Web)"/>
    <w:basedOn w:val="Standard"/>
    <w:uiPriority w:val="99"/>
    <w:unhideWhenUsed/>
    <w:rsid w:val="008E0BB5"/>
    <w:pPr>
      <w:spacing w:before="100" w:beforeAutospacing="1" w:after="100" w:afterAutospacing="1"/>
    </w:pPr>
    <w:rPr>
      <w:lang w:val="de-DE" w:eastAsia="ja-JP"/>
    </w:rPr>
  </w:style>
  <w:style w:type="character" w:styleId="Seitenzahl">
    <w:name w:val="page number"/>
    <w:basedOn w:val="Absatz-Standardschriftart"/>
    <w:uiPriority w:val="99"/>
    <w:semiHidden/>
    <w:unhideWhenUsed/>
    <w:rsid w:val="008E0BB5"/>
  </w:style>
  <w:style w:type="paragraph" w:customStyle="1" w:styleId="TableText">
    <w:name w:val="Table Text"/>
    <w:basedOn w:val="Standard"/>
    <w:rsid w:val="008E0BB5"/>
    <w:pPr>
      <w:keepNext/>
    </w:pPr>
    <w:rPr>
      <w:bCs/>
    </w:rPr>
  </w:style>
  <w:style w:type="character" w:customStyle="1" w:styleId="berschrift3Zchn">
    <w:name w:val="Überschrift 3 Zchn"/>
    <w:basedOn w:val="Absatz-Standardschriftart"/>
    <w:link w:val="berschrift3"/>
    <w:uiPriority w:val="9"/>
    <w:rsid w:val="008E0BB5"/>
    <w:rPr>
      <w:rFonts w:ascii="Times New Roman" w:eastAsia="Yu Gothic Light" w:hAnsi="Times New Roman" w:cs="Times New Roman"/>
      <w:i/>
      <w:color w:val="000000"/>
      <w:sz w:val="24"/>
      <w:szCs w:val="24"/>
      <w:lang w:val="en-US"/>
    </w:rPr>
  </w:style>
  <w:style w:type="character" w:customStyle="1" w:styleId="ref-lnk">
    <w:name w:val="ref-lnk"/>
    <w:basedOn w:val="Absatz-Standardschriftart"/>
    <w:rsid w:val="008E0BB5"/>
  </w:style>
  <w:style w:type="character" w:customStyle="1" w:styleId="off-screen">
    <w:name w:val="off-screen"/>
    <w:basedOn w:val="Absatz-Standardschriftart"/>
    <w:rsid w:val="008E0BB5"/>
  </w:style>
  <w:style w:type="character" w:customStyle="1" w:styleId="berschrift4Zchn">
    <w:name w:val="Überschrift 4 Zchn"/>
    <w:basedOn w:val="Absatz-Standardschriftart"/>
    <w:link w:val="berschrift4"/>
    <w:uiPriority w:val="9"/>
    <w:rsid w:val="008E0BB5"/>
    <w:rPr>
      <w:rFonts w:ascii="Times New Roman" w:eastAsia="Yu Gothic Light" w:hAnsi="Times New Roman" w:cs="Times New Roman"/>
      <w:b/>
      <w:iCs/>
      <w:color w:val="000000"/>
      <w:sz w:val="24"/>
      <w:lang w:val="en-US"/>
    </w:rPr>
  </w:style>
  <w:style w:type="paragraph" w:styleId="Listennummer">
    <w:name w:val="List Number"/>
    <w:basedOn w:val="Standard"/>
    <w:uiPriority w:val="99"/>
    <w:semiHidden/>
    <w:unhideWhenUsed/>
    <w:rsid w:val="008E0BB5"/>
    <w:pPr>
      <w:numPr>
        <w:numId w:val="20"/>
      </w:numPr>
      <w:tabs>
        <w:tab w:val="clear" w:pos="360"/>
      </w:tabs>
      <w:ind w:left="1434"/>
      <w:contextualSpacing/>
    </w:pPr>
    <w:rPr>
      <w:rFonts w:ascii="Calibri" w:hAnsi="Calibri" w:cs="Arial"/>
    </w:rPr>
  </w:style>
  <w:style w:type="paragraph" w:customStyle="1" w:styleId="TOCHeading1">
    <w:name w:val="TOC Heading1"/>
    <w:basedOn w:val="berschrift1"/>
    <w:next w:val="Standard"/>
    <w:uiPriority w:val="39"/>
    <w:unhideWhenUsed/>
    <w:qFormat/>
    <w:rsid w:val="008E0BB5"/>
    <w:pPr>
      <w:spacing w:line="259" w:lineRule="auto"/>
      <w:jc w:val="both"/>
      <w:outlineLvl w:val="9"/>
    </w:pPr>
    <w:rPr>
      <w:kern w:val="0"/>
      <w:lang w:val="en-US"/>
    </w:rPr>
  </w:style>
  <w:style w:type="paragraph" w:styleId="Verzeichnis1">
    <w:name w:val="toc 1"/>
    <w:basedOn w:val="Standard"/>
    <w:next w:val="Standard"/>
    <w:autoRedefine/>
    <w:uiPriority w:val="39"/>
    <w:unhideWhenUsed/>
    <w:rsid w:val="008E0BB5"/>
    <w:pPr>
      <w:spacing w:after="100"/>
    </w:pPr>
    <w:rPr>
      <w:rFonts w:ascii="Calibri" w:hAnsi="Calibri" w:cs="Arial"/>
    </w:rPr>
  </w:style>
  <w:style w:type="paragraph" w:styleId="Verzeichnis2">
    <w:name w:val="toc 2"/>
    <w:basedOn w:val="Standard"/>
    <w:next w:val="Standard"/>
    <w:autoRedefine/>
    <w:uiPriority w:val="39"/>
    <w:unhideWhenUsed/>
    <w:rsid w:val="008E0BB5"/>
    <w:pPr>
      <w:spacing w:after="100"/>
      <w:ind w:left="220"/>
    </w:pPr>
    <w:rPr>
      <w:rFonts w:ascii="Calibri" w:hAnsi="Calibri" w:cs="Arial"/>
    </w:rPr>
  </w:style>
  <w:style w:type="paragraph" w:styleId="Verzeichnis3">
    <w:name w:val="toc 3"/>
    <w:basedOn w:val="Standard"/>
    <w:next w:val="Standard"/>
    <w:autoRedefine/>
    <w:uiPriority w:val="39"/>
    <w:unhideWhenUsed/>
    <w:rsid w:val="008E0BB5"/>
    <w:pPr>
      <w:spacing w:after="100"/>
      <w:ind w:left="440"/>
    </w:pPr>
    <w:rPr>
      <w:rFonts w:ascii="Calibri" w:hAnsi="Calibri" w:cs="Arial"/>
    </w:rPr>
  </w:style>
  <w:style w:type="table" w:customStyle="1" w:styleId="TableGrid11">
    <w:name w:val="Table Grid11"/>
    <w:basedOn w:val="NormaleTabelle"/>
    <w:next w:val="Tabellenraster"/>
    <w:uiPriority w:val="39"/>
    <w:rsid w:val="008E0BB5"/>
    <w:pPr>
      <w:spacing w:after="0" w:line="240" w:lineRule="auto"/>
    </w:pPr>
    <w:rPr>
      <w:rFonts w:ascii="Calibri" w:eastAsia="Calibri" w:hAnsi="Calibri" w:cs="Arial"/>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uiPriority w:val="39"/>
    <w:rsid w:val="008E0BB5"/>
    <w:pPr>
      <w:spacing w:after="0" w:line="240" w:lineRule="auto"/>
    </w:pPr>
    <w:rPr>
      <w:rFonts w:ascii="Calibri" w:hAnsi="Calibri" w:cs="Arial"/>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basedOn w:val="Absatz-Standardschriftart"/>
    <w:uiPriority w:val="9"/>
    <w:semiHidden/>
    <w:rsid w:val="008E0BB5"/>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Absatz-Standardschriftart"/>
    <w:uiPriority w:val="9"/>
    <w:semiHidden/>
    <w:rsid w:val="008E0BB5"/>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Absatz-Standardschriftart"/>
    <w:uiPriority w:val="9"/>
    <w:semiHidden/>
    <w:rsid w:val="008E0BB5"/>
    <w:rPr>
      <w:rFonts w:asciiTheme="majorHAnsi" w:eastAsiaTheme="majorEastAsia" w:hAnsiTheme="majorHAnsi" w:cstheme="majorBidi"/>
      <w:i/>
      <w:iCs/>
      <w:color w:val="2E74B5" w:themeColor="accent1" w:themeShade="BF"/>
    </w:rPr>
  </w:style>
  <w:style w:type="table" w:customStyle="1" w:styleId="TableGrid3">
    <w:name w:val="Table Grid3"/>
    <w:basedOn w:val="NormaleTabelle"/>
    <w:next w:val="Tabellenraster"/>
    <w:uiPriority w:val="39"/>
    <w:rsid w:val="009A2FDC"/>
    <w:pPr>
      <w:spacing w:after="0" w:line="240" w:lineRule="auto"/>
    </w:pPr>
    <w:rPr>
      <w:rFonts w:ascii="Calibri" w:eastAsia="Calibri" w:hAnsi="Calibri" w:cs="Arial"/>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NormaleTabelle"/>
    <w:next w:val="Tabellenraster"/>
    <w:uiPriority w:val="39"/>
    <w:rsid w:val="00644497"/>
    <w:pPr>
      <w:spacing w:after="0" w:line="240" w:lineRule="auto"/>
    </w:pPr>
    <w:rPr>
      <w:rFonts w:ascii="Calibri" w:hAnsi="Calibri" w:cs="Arial"/>
      <w:kern w:val="2"/>
      <w:sz w:val="24"/>
      <w:szCs w:val="24"/>
      <w:lang w:val="de-D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5756">
      <w:bodyDiv w:val="1"/>
      <w:marLeft w:val="0"/>
      <w:marRight w:val="0"/>
      <w:marTop w:val="0"/>
      <w:marBottom w:val="0"/>
      <w:divBdr>
        <w:top w:val="none" w:sz="0" w:space="0" w:color="auto"/>
        <w:left w:val="none" w:sz="0" w:space="0" w:color="auto"/>
        <w:bottom w:val="none" w:sz="0" w:space="0" w:color="auto"/>
        <w:right w:val="none" w:sz="0" w:space="0" w:color="auto"/>
      </w:divBdr>
    </w:div>
    <w:div w:id="19403606">
      <w:bodyDiv w:val="1"/>
      <w:marLeft w:val="0"/>
      <w:marRight w:val="0"/>
      <w:marTop w:val="0"/>
      <w:marBottom w:val="0"/>
      <w:divBdr>
        <w:top w:val="none" w:sz="0" w:space="0" w:color="auto"/>
        <w:left w:val="none" w:sz="0" w:space="0" w:color="auto"/>
        <w:bottom w:val="none" w:sz="0" w:space="0" w:color="auto"/>
        <w:right w:val="none" w:sz="0" w:space="0" w:color="auto"/>
      </w:divBdr>
    </w:div>
    <w:div w:id="49966393">
      <w:bodyDiv w:val="1"/>
      <w:marLeft w:val="0"/>
      <w:marRight w:val="0"/>
      <w:marTop w:val="0"/>
      <w:marBottom w:val="0"/>
      <w:divBdr>
        <w:top w:val="none" w:sz="0" w:space="0" w:color="auto"/>
        <w:left w:val="none" w:sz="0" w:space="0" w:color="auto"/>
        <w:bottom w:val="none" w:sz="0" w:space="0" w:color="auto"/>
        <w:right w:val="none" w:sz="0" w:space="0" w:color="auto"/>
      </w:divBdr>
    </w:div>
    <w:div w:id="62142161">
      <w:bodyDiv w:val="1"/>
      <w:marLeft w:val="0"/>
      <w:marRight w:val="0"/>
      <w:marTop w:val="0"/>
      <w:marBottom w:val="0"/>
      <w:divBdr>
        <w:top w:val="none" w:sz="0" w:space="0" w:color="auto"/>
        <w:left w:val="none" w:sz="0" w:space="0" w:color="auto"/>
        <w:bottom w:val="none" w:sz="0" w:space="0" w:color="auto"/>
        <w:right w:val="none" w:sz="0" w:space="0" w:color="auto"/>
      </w:divBdr>
    </w:div>
    <w:div w:id="98841161">
      <w:bodyDiv w:val="1"/>
      <w:marLeft w:val="0"/>
      <w:marRight w:val="0"/>
      <w:marTop w:val="0"/>
      <w:marBottom w:val="0"/>
      <w:divBdr>
        <w:top w:val="none" w:sz="0" w:space="0" w:color="auto"/>
        <w:left w:val="none" w:sz="0" w:space="0" w:color="auto"/>
        <w:bottom w:val="none" w:sz="0" w:space="0" w:color="auto"/>
        <w:right w:val="none" w:sz="0" w:space="0" w:color="auto"/>
      </w:divBdr>
    </w:div>
    <w:div w:id="159469719">
      <w:bodyDiv w:val="1"/>
      <w:marLeft w:val="0"/>
      <w:marRight w:val="0"/>
      <w:marTop w:val="0"/>
      <w:marBottom w:val="0"/>
      <w:divBdr>
        <w:top w:val="none" w:sz="0" w:space="0" w:color="auto"/>
        <w:left w:val="none" w:sz="0" w:space="0" w:color="auto"/>
        <w:bottom w:val="none" w:sz="0" w:space="0" w:color="auto"/>
        <w:right w:val="none" w:sz="0" w:space="0" w:color="auto"/>
      </w:divBdr>
    </w:div>
    <w:div w:id="184634972">
      <w:bodyDiv w:val="1"/>
      <w:marLeft w:val="0"/>
      <w:marRight w:val="0"/>
      <w:marTop w:val="0"/>
      <w:marBottom w:val="0"/>
      <w:divBdr>
        <w:top w:val="none" w:sz="0" w:space="0" w:color="auto"/>
        <w:left w:val="none" w:sz="0" w:space="0" w:color="auto"/>
        <w:bottom w:val="none" w:sz="0" w:space="0" w:color="auto"/>
        <w:right w:val="none" w:sz="0" w:space="0" w:color="auto"/>
      </w:divBdr>
    </w:div>
    <w:div w:id="249122061">
      <w:bodyDiv w:val="1"/>
      <w:marLeft w:val="0"/>
      <w:marRight w:val="0"/>
      <w:marTop w:val="0"/>
      <w:marBottom w:val="0"/>
      <w:divBdr>
        <w:top w:val="none" w:sz="0" w:space="0" w:color="auto"/>
        <w:left w:val="none" w:sz="0" w:space="0" w:color="auto"/>
        <w:bottom w:val="none" w:sz="0" w:space="0" w:color="auto"/>
        <w:right w:val="none" w:sz="0" w:space="0" w:color="auto"/>
      </w:divBdr>
    </w:div>
    <w:div w:id="287856172">
      <w:bodyDiv w:val="1"/>
      <w:marLeft w:val="0"/>
      <w:marRight w:val="0"/>
      <w:marTop w:val="0"/>
      <w:marBottom w:val="0"/>
      <w:divBdr>
        <w:top w:val="none" w:sz="0" w:space="0" w:color="auto"/>
        <w:left w:val="none" w:sz="0" w:space="0" w:color="auto"/>
        <w:bottom w:val="none" w:sz="0" w:space="0" w:color="auto"/>
        <w:right w:val="none" w:sz="0" w:space="0" w:color="auto"/>
      </w:divBdr>
    </w:div>
    <w:div w:id="296303479">
      <w:bodyDiv w:val="1"/>
      <w:marLeft w:val="0"/>
      <w:marRight w:val="0"/>
      <w:marTop w:val="0"/>
      <w:marBottom w:val="0"/>
      <w:divBdr>
        <w:top w:val="none" w:sz="0" w:space="0" w:color="auto"/>
        <w:left w:val="none" w:sz="0" w:space="0" w:color="auto"/>
        <w:bottom w:val="none" w:sz="0" w:space="0" w:color="auto"/>
        <w:right w:val="none" w:sz="0" w:space="0" w:color="auto"/>
      </w:divBdr>
    </w:div>
    <w:div w:id="319382503">
      <w:bodyDiv w:val="1"/>
      <w:marLeft w:val="0"/>
      <w:marRight w:val="0"/>
      <w:marTop w:val="0"/>
      <w:marBottom w:val="0"/>
      <w:divBdr>
        <w:top w:val="none" w:sz="0" w:space="0" w:color="auto"/>
        <w:left w:val="none" w:sz="0" w:space="0" w:color="auto"/>
        <w:bottom w:val="none" w:sz="0" w:space="0" w:color="auto"/>
        <w:right w:val="none" w:sz="0" w:space="0" w:color="auto"/>
      </w:divBdr>
    </w:div>
    <w:div w:id="337849941">
      <w:bodyDiv w:val="1"/>
      <w:marLeft w:val="0"/>
      <w:marRight w:val="0"/>
      <w:marTop w:val="0"/>
      <w:marBottom w:val="0"/>
      <w:divBdr>
        <w:top w:val="none" w:sz="0" w:space="0" w:color="auto"/>
        <w:left w:val="none" w:sz="0" w:space="0" w:color="auto"/>
        <w:bottom w:val="none" w:sz="0" w:space="0" w:color="auto"/>
        <w:right w:val="none" w:sz="0" w:space="0" w:color="auto"/>
      </w:divBdr>
    </w:div>
    <w:div w:id="339817344">
      <w:bodyDiv w:val="1"/>
      <w:marLeft w:val="0"/>
      <w:marRight w:val="0"/>
      <w:marTop w:val="0"/>
      <w:marBottom w:val="0"/>
      <w:divBdr>
        <w:top w:val="none" w:sz="0" w:space="0" w:color="auto"/>
        <w:left w:val="none" w:sz="0" w:space="0" w:color="auto"/>
        <w:bottom w:val="none" w:sz="0" w:space="0" w:color="auto"/>
        <w:right w:val="none" w:sz="0" w:space="0" w:color="auto"/>
      </w:divBdr>
    </w:div>
    <w:div w:id="394428302">
      <w:bodyDiv w:val="1"/>
      <w:marLeft w:val="0"/>
      <w:marRight w:val="0"/>
      <w:marTop w:val="0"/>
      <w:marBottom w:val="0"/>
      <w:divBdr>
        <w:top w:val="none" w:sz="0" w:space="0" w:color="auto"/>
        <w:left w:val="none" w:sz="0" w:space="0" w:color="auto"/>
        <w:bottom w:val="none" w:sz="0" w:space="0" w:color="auto"/>
        <w:right w:val="none" w:sz="0" w:space="0" w:color="auto"/>
      </w:divBdr>
    </w:div>
    <w:div w:id="405035732">
      <w:bodyDiv w:val="1"/>
      <w:marLeft w:val="0"/>
      <w:marRight w:val="0"/>
      <w:marTop w:val="0"/>
      <w:marBottom w:val="0"/>
      <w:divBdr>
        <w:top w:val="none" w:sz="0" w:space="0" w:color="auto"/>
        <w:left w:val="none" w:sz="0" w:space="0" w:color="auto"/>
        <w:bottom w:val="none" w:sz="0" w:space="0" w:color="auto"/>
        <w:right w:val="none" w:sz="0" w:space="0" w:color="auto"/>
      </w:divBdr>
    </w:div>
    <w:div w:id="427820355">
      <w:bodyDiv w:val="1"/>
      <w:marLeft w:val="0"/>
      <w:marRight w:val="0"/>
      <w:marTop w:val="0"/>
      <w:marBottom w:val="0"/>
      <w:divBdr>
        <w:top w:val="none" w:sz="0" w:space="0" w:color="auto"/>
        <w:left w:val="none" w:sz="0" w:space="0" w:color="auto"/>
        <w:bottom w:val="none" w:sz="0" w:space="0" w:color="auto"/>
        <w:right w:val="none" w:sz="0" w:space="0" w:color="auto"/>
      </w:divBdr>
    </w:div>
    <w:div w:id="432436835">
      <w:bodyDiv w:val="1"/>
      <w:marLeft w:val="0"/>
      <w:marRight w:val="0"/>
      <w:marTop w:val="0"/>
      <w:marBottom w:val="0"/>
      <w:divBdr>
        <w:top w:val="none" w:sz="0" w:space="0" w:color="auto"/>
        <w:left w:val="none" w:sz="0" w:space="0" w:color="auto"/>
        <w:bottom w:val="none" w:sz="0" w:space="0" w:color="auto"/>
        <w:right w:val="none" w:sz="0" w:space="0" w:color="auto"/>
      </w:divBdr>
    </w:div>
    <w:div w:id="440075004">
      <w:bodyDiv w:val="1"/>
      <w:marLeft w:val="0"/>
      <w:marRight w:val="0"/>
      <w:marTop w:val="0"/>
      <w:marBottom w:val="0"/>
      <w:divBdr>
        <w:top w:val="none" w:sz="0" w:space="0" w:color="auto"/>
        <w:left w:val="none" w:sz="0" w:space="0" w:color="auto"/>
        <w:bottom w:val="none" w:sz="0" w:space="0" w:color="auto"/>
        <w:right w:val="none" w:sz="0" w:space="0" w:color="auto"/>
      </w:divBdr>
    </w:div>
    <w:div w:id="520318307">
      <w:bodyDiv w:val="1"/>
      <w:marLeft w:val="0"/>
      <w:marRight w:val="0"/>
      <w:marTop w:val="0"/>
      <w:marBottom w:val="0"/>
      <w:divBdr>
        <w:top w:val="none" w:sz="0" w:space="0" w:color="auto"/>
        <w:left w:val="none" w:sz="0" w:space="0" w:color="auto"/>
        <w:bottom w:val="none" w:sz="0" w:space="0" w:color="auto"/>
        <w:right w:val="none" w:sz="0" w:space="0" w:color="auto"/>
      </w:divBdr>
    </w:div>
    <w:div w:id="525219148">
      <w:bodyDiv w:val="1"/>
      <w:marLeft w:val="0"/>
      <w:marRight w:val="0"/>
      <w:marTop w:val="0"/>
      <w:marBottom w:val="0"/>
      <w:divBdr>
        <w:top w:val="none" w:sz="0" w:space="0" w:color="auto"/>
        <w:left w:val="none" w:sz="0" w:space="0" w:color="auto"/>
        <w:bottom w:val="none" w:sz="0" w:space="0" w:color="auto"/>
        <w:right w:val="none" w:sz="0" w:space="0" w:color="auto"/>
      </w:divBdr>
    </w:div>
    <w:div w:id="597981046">
      <w:bodyDiv w:val="1"/>
      <w:marLeft w:val="0"/>
      <w:marRight w:val="0"/>
      <w:marTop w:val="0"/>
      <w:marBottom w:val="0"/>
      <w:divBdr>
        <w:top w:val="none" w:sz="0" w:space="0" w:color="auto"/>
        <w:left w:val="none" w:sz="0" w:space="0" w:color="auto"/>
        <w:bottom w:val="none" w:sz="0" w:space="0" w:color="auto"/>
        <w:right w:val="none" w:sz="0" w:space="0" w:color="auto"/>
      </w:divBdr>
    </w:div>
    <w:div w:id="606548908">
      <w:bodyDiv w:val="1"/>
      <w:marLeft w:val="0"/>
      <w:marRight w:val="0"/>
      <w:marTop w:val="0"/>
      <w:marBottom w:val="0"/>
      <w:divBdr>
        <w:top w:val="none" w:sz="0" w:space="0" w:color="auto"/>
        <w:left w:val="none" w:sz="0" w:space="0" w:color="auto"/>
        <w:bottom w:val="none" w:sz="0" w:space="0" w:color="auto"/>
        <w:right w:val="none" w:sz="0" w:space="0" w:color="auto"/>
      </w:divBdr>
      <w:divsChild>
        <w:div w:id="960965332">
          <w:marLeft w:val="0"/>
          <w:marRight w:val="0"/>
          <w:marTop w:val="0"/>
          <w:marBottom w:val="0"/>
          <w:divBdr>
            <w:top w:val="none" w:sz="0" w:space="0" w:color="auto"/>
            <w:left w:val="none" w:sz="0" w:space="0" w:color="auto"/>
            <w:bottom w:val="none" w:sz="0" w:space="0" w:color="auto"/>
            <w:right w:val="none" w:sz="0" w:space="0" w:color="auto"/>
          </w:divBdr>
          <w:divsChild>
            <w:div w:id="797652710">
              <w:marLeft w:val="0"/>
              <w:marRight w:val="0"/>
              <w:marTop w:val="0"/>
              <w:marBottom w:val="0"/>
              <w:divBdr>
                <w:top w:val="none" w:sz="0" w:space="0" w:color="auto"/>
                <w:left w:val="none" w:sz="0" w:space="0" w:color="auto"/>
                <w:bottom w:val="none" w:sz="0" w:space="0" w:color="auto"/>
                <w:right w:val="none" w:sz="0" w:space="0" w:color="auto"/>
              </w:divBdr>
              <w:divsChild>
                <w:div w:id="18801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4408">
      <w:bodyDiv w:val="1"/>
      <w:marLeft w:val="0"/>
      <w:marRight w:val="0"/>
      <w:marTop w:val="0"/>
      <w:marBottom w:val="0"/>
      <w:divBdr>
        <w:top w:val="none" w:sz="0" w:space="0" w:color="auto"/>
        <w:left w:val="none" w:sz="0" w:space="0" w:color="auto"/>
        <w:bottom w:val="none" w:sz="0" w:space="0" w:color="auto"/>
        <w:right w:val="none" w:sz="0" w:space="0" w:color="auto"/>
      </w:divBdr>
      <w:divsChild>
        <w:div w:id="1031538062">
          <w:marLeft w:val="0"/>
          <w:marRight w:val="0"/>
          <w:marTop w:val="0"/>
          <w:marBottom w:val="0"/>
          <w:divBdr>
            <w:top w:val="none" w:sz="0" w:space="0" w:color="auto"/>
            <w:left w:val="none" w:sz="0" w:space="0" w:color="auto"/>
            <w:bottom w:val="none" w:sz="0" w:space="0" w:color="auto"/>
            <w:right w:val="none" w:sz="0" w:space="0" w:color="auto"/>
          </w:divBdr>
        </w:div>
      </w:divsChild>
    </w:div>
    <w:div w:id="628586950">
      <w:bodyDiv w:val="1"/>
      <w:marLeft w:val="0"/>
      <w:marRight w:val="0"/>
      <w:marTop w:val="0"/>
      <w:marBottom w:val="0"/>
      <w:divBdr>
        <w:top w:val="none" w:sz="0" w:space="0" w:color="auto"/>
        <w:left w:val="none" w:sz="0" w:space="0" w:color="auto"/>
        <w:bottom w:val="none" w:sz="0" w:space="0" w:color="auto"/>
        <w:right w:val="none" w:sz="0" w:space="0" w:color="auto"/>
      </w:divBdr>
      <w:divsChild>
        <w:div w:id="1619605602">
          <w:marLeft w:val="0"/>
          <w:marRight w:val="0"/>
          <w:marTop w:val="0"/>
          <w:marBottom w:val="0"/>
          <w:divBdr>
            <w:top w:val="none" w:sz="0" w:space="0" w:color="auto"/>
            <w:left w:val="none" w:sz="0" w:space="0" w:color="auto"/>
            <w:bottom w:val="none" w:sz="0" w:space="0" w:color="auto"/>
            <w:right w:val="none" w:sz="0" w:space="0" w:color="auto"/>
          </w:divBdr>
        </w:div>
      </w:divsChild>
    </w:div>
    <w:div w:id="634455280">
      <w:bodyDiv w:val="1"/>
      <w:marLeft w:val="0"/>
      <w:marRight w:val="0"/>
      <w:marTop w:val="0"/>
      <w:marBottom w:val="0"/>
      <w:divBdr>
        <w:top w:val="none" w:sz="0" w:space="0" w:color="auto"/>
        <w:left w:val="none" w:sz="0" w:space="0" w:color="auto"/>
        <w:bottom w:val="none" w:sz="0" w:space="0" w:color="auto"/>
        <w:right w:val="none" w:sz="0" w:space="0" w:color="auto"/>
      </w:divBdr>
    </w:div>
    <w:div w:id="712005270">
      <w:bodyDiv w:val="1"/>
      <w:marLeft w:val="0"/>
      <w:marRight w:val="0"/>
      <w:marTop w:val="0"/>
      <w:marBottom w:val="0"/>
      <w:divBdr>
        <w:top w:val="none" w:sz="0" w:space="0" w:color="auto"/>
        <w:left w:val="none" w:sz="0" w:space="0" w:color="auto"/>
        <w:bottom w:val="none" w:sz="0" w:space="0" w:color="auto"/>
        <w:right w:val="none" w:sz="0" w:space="0" w:color="auto"/>
      </w:divBdr>
    </w:div>
    <w:div w:id="726028005">
      <w:bodyDiv w:val="1"/>
      <w:marLeft w:val="0"/>
      <w:marRight w:val="0"/>
      <w:marTop w:val="0"/>
      <w:marBottom w:val="0"/>
      <w:divBdr>
        <w:top w:val="none" w:sz="0" w:space="0" w:color="auto"/>
        <w:left w:val="none" w:sz="0" w:space="0" w:color="auto"/>
        <w:bottom w:val="none" w:sz="0" w:space="0" w:color="auto"/>
        <w:right w:val="none" w:sz="0" w:space="0" w:color="auto"/>
      </w:divBdr>
    </w:div>
    <w:div w:id="737434977">
      <w:bodyDiv w:val="1"/>
      <w:marLeft w:val="0"/>
      <w:marRight w:val="0"/>
      <w:marTop w:val="0"/>
      <w:marBottom w:val="0"/>
      <w:divBdr>
        <w:top w:val="none" w:sz="0" w:space="0" w:color="auto"/>
        <w:left w:val="none" w:sz="0" w:space="0" w:color="auto"/>
        <w:bottom w:val="none" w:sz="0" w:space="0" w:color="auto"/>
        <w:right w:val="none" w:sz="0" w:space="0" w:color="auto"/>
      </w:divBdr>
    </w:div>
    <w:div w:id="927883018">
      <w:bodyDiv w:val="1"/>
      <w:marLeft w:val="0"/>
      <w:marRight w:val="0"/>
      <w:marTop w:val="0"/>
      <w:marBottom w:val="0"/>
      <w:divBdr>
        <w:top w:val="none" w:sz="0" w:space="0" w:color="auto"/>
        <w:left w:val="none" w:sz="0" w:space="0" w:color="auto"/>
        <w:bottom w:val="none" w:sz="0" w:space="0" w:color="auto"/>
        <w:right w:val="none" w:sz="0" w:space="0" w:color="auto"/>
      </w:divBdr>
    </w:div>
    <w:div w:id="941915493">
      <w:bodyDiv w:val="1"/>
      <w:marLeft w:val="0"/>
      <w:marRight w:val="0"/>
      <w:marTop w:val="0"/>
      <w:marBottom w:val="0"/>
      <w:divBdr>
        <w:top w:val="none" w:sz="0" w:space="0" w:color="auto"/>
        <w:left w:val="none" w:sz="0" w:space="0" w:color="auto"/>
        <w:bottom w:val="none" w:sz="0" w:space="0" w:color="auto"/>
        <w:right w:val="none" w:sz="0" w:space="0" w:color="auto"/>
      </w:divBdr>
    </w:div>
    <w:div w:id="956715209">
      <w:bodyDiv w:val="1"/>
      <w:marLeft w:val="0"/>
      <w:marRight w:val="0"/>
      <w:marTop w:val="0"/>
      <w:marBottom w:val="0"/>
      <w:divBdr>
        <w:top w:val="none" w:sz="0" w:space="0" w:color="auto"/>
        <w:left w:val="none" w:sz="0" w:space="0" w:color="auto"/>
        <w:bottom w:val="none" w:sz="0" w:space="0" w:color="auto"/>
        <w:right w:val="none" w:sz="0" w:space="0" w:color="auto"/>
      </w:divBdr>
    </w:div>
    <w:div w:id="970937425">
      <w:bodyDiv w:val="1"/>
      <w:marLeft w:val="0"/>
      <w:marRight w:val="0"/>
      <w:marTop w:val="0"/>
      <w:marBottom w:val="0"/>
      <w:divBdr>
        <w:top w:val="none" w:sz="0" w:space="0" w:color="auto"/>
        <w:left w:val="none" w:sz="0" w:space="0" w:color="auto"/>
        <w:bottom w:val="none" w:sz="0" w:space="0" w:color="auto"/>
        <w:right w:val="none" w:sz="0" w:space="0" w:color="auto"/>
      </w:divBdr>
    </w:div>
    <w:div w:id="989863421">
      <w:bodyDiv w:val="1"/>
      <w:marLeft w:val="0"/>
      <w:marRight w:val="0"/>
      <w:marTop w:val="0"/>
      <w:marBottom w:val="0"/>
      <w:divBdr>
        <w:top w:val="none" w:sz="0" w:space="0" w:color="auto"/>
        <w:left w:val="none" w:sz="0" w:space="0" w:color="auto"/>
        <w:bottom w:val="none" w:sz="0" w:space="0" w:color="auto"/>
        <w:right w:val="none" w:sz="0" w:space="0" w:color="auto"/>
      </w:divBdr>
    </w:div>
    <w:div w:id="1034698112">
      <w:bodyDiv w:val="1"/>
      <w:marLeft w:val="0"/>
      <w:marRight w:val="0"/>
      <w:marTop w:val="0"/>
      <w:marBottom w:val="0"/>
      <w:divBdr>
        <w:top w:val="none" w:sz="0" w:space="0" w:color="auto"/>
        <w:left w:val="none" w:sz="0" w:space="0" w:color="auto"/>
        <w:bottom w:val="none" w:sz="0" w:space="0" w:color="auto"/>
        <w:right w:val="none" w:sz="0" w:space="0" w:color="auto"/>
      </w:divBdr>
    </w:div>
    <w:div w:id="1043486220">
      <w:bodyDiv w:val="1"/>
      <w:marLeft w:val="0"/>
      <w:marRight w:val="0"/>
      <w:marTop w:val="0"/>
      <w:marBottom w:val="0"/>
      <w:divBdr>
        <w:top w:val="none" w:sz="0" w:space="0" w:color="auto"/>
        <w:left w:val="none" w:sz="0" w:space="0" w:color="auto"/>
        <w:bottom w:val="none" w:sz="0" w:space="0" w:color="auto"/>
        <w:right w:val="none" w:sz="0" w:space="0" w:color="auto"/>
      </w:divBdr>
    </w:div>
    <w:div w:id="1104114837">
      <w:bodyDiv w:val="1"/>
      <w:marLeft w:val="0"/>
      <w:marRight w:val="0"/>
      <w:marTop w:val="0"/>
      <w:marBottom w:val="0"/>
      <w:divBdr>
        <w:top w:val="none" w:sz="0" w:space="0" w:color="auto"/>
        <w:left w:val="none" w:sz="0" w:space="0" w:color="auto"/>
        <w:bottom w:val="none" w:sz="0" w:space="0" w:color="auto"/>
        <w:right w:val="none" w:sz="0" w:space="0" w:color="auto"/>
      </w:divBdr>
    </w:div>
    <w:div w:id="1131289241">
      <w:bodyDiv w:val="1"/>
      <w:marLeft w:val="0"/>
      <w:marRight w:val="0"/>
      <w:marTop w:val="0"/>
      <w:marBottom w:val="0"/>
      <w:divBdr>
        <w:top w:val="none" w:sz="0" w:space="0" w:color="auto"/>
        <w:left w:val="none" w:sz="0" w:space="0" w:color="auto"/>
        <w:bottom w:val="none" w:sz="0" w:space="0" w:color="auto"/>
        <w:right w:val="none" w:sz="0" w:space="0" w:color="auto"/>
      </w:divBdr>
    </w:div>
    <w:div w:id="1158423317">
      <w:bodyDiv w:val="1"/>
      <w:marLeft w:val="0"/>
      <w:marRight w:val="0"/>
      <w:marTop w:val="0"/>
      <w:marBottom w:val="0"/>
      <w:divBdr>
        <w:top w:val="none" w:sz="0" w:space="0" w:color="auto"/>
        <w:left w:val="none" w:sz="0" w:space="0" w:color="auto"/>
        <w:bottom w:val="none" w:sz="0" w:space="0" w:color="auto"/>
        <w:right w:val="none" w:sz="0" w:space="0" w:color="auto"/>
      </w:divBdr>
    </w:div>
    <w:div w:id="1175613842">
      <w:bodyDiv w:val="1"/>
      <w:marLeft w:val="0"/>
      <w:marRight w:val="0"/>
      <w:marTop w:val="0"/>
      <w:marBottom w:val="0"/>
      <w:divBdr>
        <w:top w:val="none" w:sz="0" w:space="0" w:color="auto"/>
        <w:left w:val="none" w:sz="0" w:space="0" w:color="auto"/>
        <w:bottom w:val="none" w:sz="0" w:space="0" w:color="auto"/>
        <w:right w:val="none" w:sz="0" w:space="0" w:color="auto"/>
      </w:divBdr>
    </w:div>
    <w:div w:id="1216696626">
      <w:bodyDiv w:val="1"/>
      <w:marLeft w:val="0"/>
      <w:marRight w:val="0"/>
      <w:marTop w:val="0"/>
      <w:marBottom w:val="0"/>
      <w:divBdr>
        <w:top w:val="none" w:sz="0" w:space="0" w:color="auto"/>
        <w:left w:val="none" w:sz="0" w:space="0" w:color="auto"/>
        <w:bottom w:val="none" w:sz="0" w:space="0" w:color="auto"/>
        <w:right w:val="none" w:sz="0" w:space="0" w:color="auto"/>
      </w:divBdr>
    </w:div>
    <w:div w:id="1226064414">
      <w:bodyDiv w:val="1"/>
      <w:marLeft w:val="0"/>
      <w:marRight w:val="0"/>
      <w:marTop w:val="0"/>
      <w:marBottom w:val="0"/>
      <w:divBdr>
        <w:top w:val="none" w:sz="0" w:space="0" w:color="auto"/>
        <w:left w:val="none" w:sz="0" w:space="0" w:color="auto"/>
        <w:bottom w:val="none" w:sz="0" w:space="0" w:color="auto"/>
        <w:right w:val="none" w:sz="0" w:space="0" w:color="auto"/>
      </w:divBdr>
    </w:div>
    <w:div w:id="1235049706">
      <w:bodyDiv w:val="1"/>
      <w:marLeft w:val="0"/>
      <w:marRight w:val="0"/>
      <w:marTop w:val="0"/>
      <w:marBottom w:val="0"/>
      <w:divBdr>
        <w:top w:val="none" w:sz="0" w:space="0" w:color="auto"/>
        <w:left w:val="none" w:sz="0" w:space="0" w:color="auto"/>
        <w:bottom w:val="none" w:sz="0" w:space="0" w:color="auto"/>
        <w:right w:val="none" w:sz="0" w:space="0" w:color="auto"/>
      </w:divBdr>
    </w:div>
    <w:div w:id="1306081760">
      <w:bodyDiv w:val="1"/>
      <w:marLeft w:val="0"/>
      <w:marRight w:val="0"/>
      <w:marTop w:val="0"/>
      <w:marBottom w:val="0"/>
      <w:divBdr>
        <w:top w:val="none" w:sz="0" w:space="0" w:color="auto"/>
        <w:left w:val="none" w:sz="0" w:space="0" w:color="auto"/>
        <w:bottom w:val="none" w:sz="0" w:space="0" w:color="auto"/>
        <w:right w:val="none" w:sz="0" w:space="0" w:color="auto"/>
      </w:divBdr>
    </w:div>
    <w:div w:id="1328631143">
      <w:bodyDiv w:val="1"/>
      <w:marLeft w:val="0"/>
      <w:marRight w:val="0"/>
      <w:marTop w:val="0"/>
      <w:marBottom w:val="0"/>
      <w:divBdr>
        <w:top w:val="none" w:sz="0" w:space="0" w:color="auto"/>
        <w:left w:val="none" w:sz="0" w:space="0" w:color="auto"/>
        <w:bottom w:val="none" w:sz="0" w:space="0" w:color="auto"/>
        <w:right w:val="none" w:sz="0" w:space="0" w:color="auto"/>
      </w:divBdr>
    </w:div>
    <w:div w:id="1362121475">
      <w:bodyDiv w:val="1"/>
      <w:marLeft w:val="0"/>
      <w:marRight w:val="0"/>
      <w:marTop w:val="0"/>
      <w:marBottom w:val="0"/>
      <w:divBdr>
        <w:top w:val="none" w:sz="0" w:space="0" w:color="auto"/>
        <w:left w:val="none" w:sz="0" w:space="0" w:color="auto"/>
        <w:bottom w:val="none" w:sz="0" w:space="0" w:color="auto"/>
        <w:right w:val="none" w:sz="0" w:space="0" w:color="auto"/>
      </w:divBdr>
    </w:div>
    <w:div w:id="1363819001">
      <w:bodyDiv w:val="1"/>
      <w:marLeft w:val="0"/>
      <w:marRight w:val="0"/>
      <w:marTop w:val="0"/>
      <w:marBottom w:val="0"/>
      <w:divBdr>
        <w:top w:val="none" w:sz="0" w:space="0" w:color="auto"/>
        <w:left w:val="none" w:sz="0" w:space="0" w:color="auto"/>
        <w:bottom w:val="none" w:sz="0" w:space="0" w:color="auto"/>
        <w:right w:val="none" w:sz="0" w:space="0" w:color="auto"/>
      </w:divBdr>
    </w:div>
    <w:div w:id="1390155132">
      <w:bodyDiv w:val="1"/>
      <w:marLeft w:val="0"/>
      <w:marRight w:val="0"/>
      <w:marTop w:val="0"/>
      <w:marBottom w:val="0"/>
      <w:divBdr>
        <w:top w:val="none" w:sz="0" w:space="0" w:color="auto"/>
        <w:left w:val="none" w:sz="0" w:space="0" w:color="auto"/>
        <w:bottom w:val="none" w:sz="0" w:space="0" w:color="auto"/>
        <w:right w:val="none" w:sz="0" w:space="0" w:color="auto"/>
      </w:divBdr>
    </w:div>
    <w:div w:id="1392775455">
      <w:bodyDiv w:val="1"/>
      <w:marLeft w:val="0"/>
      <w:marRight w:val="0"/>
      <w:marTop w:val="0"/>
      <w:marBottom w:val="0"/>
      <w:divBdr>
        <w:top w:val="none" w:sz="0" w:space="0" w:color="auto"/>
        <w:left w:val="none" w:sz="0" w:space="0" w:color="auto"/>
        <w:bottom w:val="none" w:sz="0" w:space="0" w:color="auto"/>
        <w:right w:val="none" w:sz="0" w:space="0" w:color="auto"/>
      </w:divBdr>
    </w:div>
    <w:div w:id="1411581249">
      <w:bodyDiv w:val="1"/>
      <w:marLeft w:val="0"/>
      <w:marRight w:val="0"/>
      <w:marTop w:val="0"/>
      <w:marBottom w:val="0"/>
      <w:divBdr>
        <w:top w:val="none" w:sz="0" w:space="0" w:color="auto"/>
        <w:left w:val="none" w:sz="0" w:space="0" w:color="auto"/>
        <w:bottom w:val="none" w:sz="0" w:space="0" w:color="auto"/>
        <w:right w:val="none" w:sz="0" w:space="0" w:color="auto"/>
      </w:divBdr>
      <w:divsChild>
        <w:div w:id="2077195285">
          <w:marLeft w:val="0"/>
          <w:marRight w:val="0"/>
          <w:marTop w:val="0"/>
          <w:marBottom w:val="0"/>
          <w:divBdr>
            <w:top w:val="none" w:sz="0" w:space="0" w:color="auto"/>
            <w:left w:val="none" w:sz="0" w:space="0" w:color="auto"/>
            <w:bottom w:val="none" w:sz="0" w:space="0" w:color="auto"/>
            <w:right w:val="none" w:sz="0" w:space="0" w:color="auto"/>
          </w:divBdr>
        </w:div>
      </w:divsChild>
    </w:div>
    <w:div w:id="1431202669">
      <w:bodyDiv w:val="1"/>
      <w:marLeft w:val="0"/>
      <w:marRight w:val="0"/>
      <w:marTop w:val="0"/>
      <w:marBottom w:val="0"/>
      <w:divBdr>
        <w:top w:val="none" w:sz="0" w:space="0" w:color="auto"/>
        <w:left w:val="none" w:sz="0" w:space="0" w:color="auto"/>
        <w:bottom w:val="none" w:sz="0" w:space="0" w:color="auto"/>
        <w:right w:val="none" w:sz="0" w:space="0" w:color="auto"/>
      </w:divBdr>
    </w:div>
    <w:div w:id="1463157340">
      <w:bodyDiv w:val="1"/>
      <w:marLeft w:val="0"/>
      <w:marRight w:val="0"/>
      <w:marTop w:val="0"/>
      <w:marBottom w:val="0"/>
      <w:divBdr>
        <w:top w:val="none" w:sz="0" w:space="0" w:color="auto"/>
        <w:left w:val="none" w:sz="0" w:space="0" w:color="auto"/>
        <w:bottom w:val="none" w:sz="0" w:space="0" w:color="auto"/>
        <w:right w:val="none" w:sz="0" w:space="0" w:color="auto"/>
      </w:divBdr>
    </w:div>
    <w:div w:id="1495147148">
      <w:bodyDiv w:val="1"/>
      <w:marLeft w:val="0"/>
      <w:marRight w:val="0"/>
      <w:marTop w:val="0"/>
      <w:marBottom w:val="0"/>
      <w:divBdr>
        <w:top w:val="none" w:sz="0" w:space="0" w:color="auto"/>
        <w:left w:val="none" w:sz="0" w:space="0" w:color="auto"/>
        <w:bottom w:val="none" w:sz="0" w:space="0" w:color="auto"/>
        <w:right w:val="none" w:sz="0" w:space="0" w:color="auto"/>
      </w:divBdr>
    </w:div>
    <w:div w:id="1539077247">
      <w:bodyDiv w:val="1"/>
      <w:marLeft w:val="0"/>
      <w:marRight w:val="0"/>
      <w:marTop w:val="0"/>
      <w:marBottom w:val="0"/>
      <w:divBdr>
        <w:top w:val="none" w:sz="0" w:space="0" w:color="auto"/>
        <w:left w:val="none" w:sz="0" w:space="0" w:color="auto"/>
        <w:bottom w:val="none" w:sz="0" w:space="0" w:color="auto"/>
        <w:right w:val="none" w:sz="0" w:space="0" w:color="auto"/>
      </w:divBdr>
    </w:div>
    <w:div w:id="1543785954">
      <w:bodyDiv w:val="1"/>
      <w:marLeft w:val="0"/>
      <w:marRight w:val="0"/>
      <w:marTop w:val="0"/>
      <w:marBottom w:val="0"/>
      <w:divBdr>
        <w:top w:val="none" w:sz="0" w:space="0" w:color="auto"/>
        <w:left w:val="none" w:sz="0" w:space="0" w:color="auto"/>
        <w:bottom w:val="none" w:sz="0" w:space="0" w:color="auto"/>
        <w:right w:val="none" w:sz="0" w:space="0" w:color="auto"/>
      </w:divBdr>
    </w:div>
    <w:div w:id="1576091793">
      <w:bodyDiv w:val="1"/>
      <w:marLeft w:val="0"/>
      <w:marRight w:val="0"/>
      <w:marTop w:val="0"/>
      <w:marBottom w:val="0"/>
      <w:divBdr>
        <w:top w:val="none" w:sz="0" w:space="0" w:color="auto"/>
        <w:left w:val="none" w:sz="0" w:space="0" w:color="auto"/>
        <w:bottom w:val="none" w:sz="0" w:space="0" w:color="auto"/>
        <w:right w:val="none" w:sz="0" w:space="0" w:color="auto"/>
      </w:divBdr>
    </w:div>
    <w:div w:id="1607426595">
      <w:bodyDiv w:val="1"/>
      <w:marLeft w:val="0"/>
      <w:marRight w:val="0"/>
      <w:marTop w:val="0"/>
      <w:marBottom w:val="0"/>
      <w:divBdr>
        <w:top w:val="none" w:sz="0" w:space="0" w:color="auto"/>
        <w:left w:val="none" w:sz="0" w:space="0" w:color="auto"/>
        <w:bottom w:val="none" w:sz="0" w:space="0" w:color="auto"/>
        <w:right w:val="none" w:sz="0" w:space="0" w:color="auto"/>
      </w:divBdr>
    </w:div>
    <w:div w:id="1660186210">
      <w:bodyDiv w:val="1"/>
      <w:marLeft w:val="0"/>
      <w:marRight w:val="0"/>
      <w:marTop w:val="0"/>
      <w:marBottom w:val="0"/>
      <w:divBdr>
        <w:top w:val="none" w:sz="0" w:space="0" w:color="auto"/>
        <w:left w:val="none" w:sz="0" w:space="0" w:color="auto"/>
        <w:bottom w:val="none" w:sz="0" w:space="0" w:color="auto"/>
        <w:right w:val="none" w:sz="0" w:space="0" w:color="auto"/>
      </w:divBdr>
    </w:div>
    <w:div w:id="1675644968">
      <w:bodyDiv w:val="1"/>
      <w:marLeft w:val="0"/>
      <w:marRight w:val="0"/>
      <w:marTop w:val="0"/>
      <w:marBottom w:val="0"/>
      <w:divBdr>
        <w:top w:val="none" w:sz="0" w:space="0" w:color="auto"/>
        <w:left w:val="none" w:sz="0" w:space="0" w:color="auto"/>
        <w:bottom w:val="none" w:sz="0" w:space="0" w:color="auto"/>
        <w:right w:val="none" w:sz="0" w:space="0" w:color="auto"/>
      </w:divBdr>
    </w:div>
    <w:div w:id="1698700521">
      <w:bodyDiv w:val="1"/>
      <w:marLeft w:val="0"/>
      <w:marRight w:val="0"/>
      <w:marTop w:val="0"/>
      <w:marBottom w:val="0"/>
      <w:divBdr>
        <w:top w:val="none" w:sz="0" w:space="0" w:color="auto"/>
        <w:left w:val="none" w:sz="0" w:space="0" w:color="auto"/>
        <w:bottom w:val="none" w:sz="0" w:space="0" w:color="auto"/>
        <w:right w:val="none" w:sz="0" w:space="0" w:color="auto"/>
      </w:divBdr>
    </w:div>
    <w:div w:id="1729498685">
      <w:bodyDiv w:val="1"/>
      <w:marLeft w:val="0"/>
      <w:marRight w:val="0"/>
      <w:marTop w:val="0"/>
      <w:marBottom w:val="0"/>
      <w:divBdr>
        <w:top w:val="none" w:sz="0" w:space="0" w:color="auto"/>
        <w:left w:val="none" w:sz="0" w:space="0" w:color="auto"/>
        <w:bottom w:val="none" w:sz="0" w:space="0" w:color="auto"/>
        <w:right w:val="none" w:sz="0" w:space="0" w:color="auto"/>
      </w:divBdr>
    </w:div>
    <w:div w:id="1746032719">
      <w:bodyDiv w:val="1"/>
      <w:marLeft w:val="0"/>
      <w:marRight w:val="0"/>
      <w:marTop w:val="0"/>
      <w:marBottom w:val="0"/>
      <w:divBdr>
        <w:top w:val="none" w:sz="0" w:space="0" w:color="auto"/>
        <w:left w:val="none" w:sz="0" w:space="0" w:color="auto"/>
        <w:bottom w:val="none" w:sz="0" w:space="0" w:color="auto"/>
        <w:right w:val="none" w:sz="0" w:space="0" w:color="auto"/>
      </w:divBdr>
    </w:div>
    <w:div w:id="1758675856">
      <w:bodyDiv w:val="1"/>
      <w:marLeft w:val="0"/>
      <w:marRight w:val="0"/>
      <w:marTop w:val="0"/>
      <w:marBottom w:val="0"/>
      <w:divBdr>
        <w:top w:val="none" w:sz="0" w:space="0" w:color="auto"/>
        <w:left w:val="none" w:sz="0" w:space="0" w:color="auto"/>
        <w:bottom w:val="none" w:sz="0" w:space="0" w:color="auto"/>
        <w:right w:val="none" w:sz="0" w:space="0" w:color="auto"/>
      </w:divBdr>
    </w:div>
    <w:div w:id="1823813394">
      <w:bodyDiv w:val="1"/>
      <w:marLeft w:val="0"/>
      <w:marRight w:val="0"/>
      <w:marTop w:val="0"/>
      <w:marBottom w:val="0"/>
      <w:divBdr>
        <w:top w:val="none" w:sz="0" w:space="0" w:color="auto"/>
        <w:left w:val="none" w:sz="0" w:space="0" w:color="auto"/>
        <w:bottom w:val="none" w:sz="0" w:space="0" w:color="auto"/>
        <w:right w:val="none" w:sz="0" w:space="0" w:color="auto"/>
      </w:divBdr>
    </w:div>
    <w:div w:id="1869023588">
      <w:bodyDiv w:val="1"/>
      <w:marLeft w:val="0"/>
      <w:marRight w:val="0"/>
      <w:marTop w:val="0"/>
      <w:marBottom w:val="0"/>
      <w:divBdr>
        <w:top w:val="none" w:sz="0" w:space="0" w:color="auto"/>
        <w:left w:val="none" w:sz="0" w:space="0" w:color="auto"/>
        <w:bottom w:val="none" w:sz="0" w:space="0" w:color="auto"/>
        <w:right w:val="none" w:sz="0" w:space="0" w:color="auto"/>
      </w:divBdr>
    </w:div>
    <w:div w:id="1884637587">
      <w:bodyDiv w:val="1"/>
      <w:marLeft w:val="0"/>
      <w:marRight w:val="0"/>
      <w:marTop w:val="0"/>
      <w:marBottom w:val="0"/>
      <w:divBdr>
        <w:top w:val="none" w:sz="0" w:space="0" w:color="auto"/>
        <w:left w:val="none" w:sz="0" w:space="0" w:color="auto"/>
        <w:bottom w:val="none" w:sz="0" w:space="0" w:color="auto"/>
        <w:right w:val="none" w:sz="0" w:space="0" w:color="auto"/>
      </w:divBdr>
    </w:div>
    <w:div w:id="1898592038">
      <w:bodyDiv w:val="1"/>
      <w:marLeft w:val="0"/>
      <w:marRight w:val="0"/>
      <w:marTop w:val="0"/>
      <w:marBottom w:val="0"/>
      <w:divBdr>
        <w:top w:val="none" w:sz="0" w:space="0" w:color="auto"/>
        <w:left w:val="none" w:sz="0" w:space="0" w:color="auto"/>
        <w:bottom w:val="none" w:sz="0" w:space="0" w:color="auto"/>
        <w:right w:val="none" w:sz="0" w:space="0" w:color="auto"/>
      </w:divBdr>
    </w:div>
    <w:div w:id="1917978287">
      <w:bodyDiv w:val="1"/>
      <w:marLeft w:val="0"/>
      <w:marRight w:val="0"/>
      <w:marTop w:val="0"/>
      <w:marBottom w:val="0"/>
      <w:divBdr>
        <w:top w:val="none" w:sz="0" w:space="0" w:color="auto"/>
        <w:left w:val="none" w:sz="0" w:space="0" w:color="auto"/>
        <w:bottom w:val="none" w:sz="0" w:space="0" w:color="auto"/>
        <w:right w:val="none" w:sz="0" w:space="0" w:color="auto"/>
      </w:divBdr>
    </w:div>
    <w:div w:id="1933389264">
      <w:bodyDiv w:val="1"/>
      <w:marLeft w:val="0"/>
      <w:marRight w:val="0"/>
      <w:marTop w:val="0"/>
      <w:marBottom w:val="0"/>
      <w:divBdr>
        <w:top w:val="none" w:sz="0" w:space="0" w:color="auto"/>
        <w:left w:val="none" w:sz="0" w:space="0" w:color="auto"/>
        <w:bottom w:val="none" w:sz="0" w:space="0" w:color="auto"/>
        <w:right w:val="none" w:sz="0" w:space="0" w:color="auto"/>
      </w:divBdr>
    </w:div>
    <w:div w:id="1992294602">
      <w:bodyDiv w:val="1"/>
      <w:marLeft w:val="0"/>
      <w:marRight w:val="0"/>
      <w:marTop w:val="0"/>
      <w:marBottom w:val="0"/>
      <w:divBdr>
        <w:top w:val="none" w:sz="0" w:space="0" w:color="auto"/>
        <w:left w:val="none" w:sz="0" w:space="0" w:color="auto"/>
        <w:bottom w:val="none" w:sz="0" w:space="0" w:color="auto"/>
        <w:right w:val="none" w:sz="0" w:space="0" w:color="auto"/>
      </w:divBdr>
    </w:div>
    <w:div w:id="2009165670">
      <w:bodyDiv w:val="1"/>
      <w:marLeft w:val="0"/>
      <w:marRight w:val="0"/>
      <w:marTop w:val="0"/>
      <w:marBottom w:val="0"/>
      <w:divBdr>
        <w:top w:val="none" w:sz="0" w:space="0" w:color="auto"/>
        <w:left w:val="none" w:sz="0" w:space="0" w:color="auto"/>
        <w:bottom w:val="none" w:sz="0" w:space="0" w:color="auto"/>
        <w:right w:val="none" w:sz="0" w:space="0" w:color="auto"/>
      </w:divBdr>
    </w:div>
    <w:div w:id="2010474212">
      <w:bodyDiv w:val="1"/>
      <w:marLeft w:val="0"/>
      <w:marRight w:val="0"/>
      <w:marTop w:val="0"/>
      <w:marBottom w:val="0"/>
      <w:divBdr>
        <w:top w:val="none" w:sz="0" w:space="0" w:color="auto"/>
        <w:left w:val="none" w:sz="0" w:space="0" w:color="auto"/>
        <w:bottom w:val="none" w:sz="0" w:space="0" w:color="auto"/>
        <w:right w:val="none" w:sz="0" w:space="0" w:color="auto"/>
      </w:divBdr>
    </w:div>
    <w:div w:id="2019690782">
      <w:bodyDiv w:val="1"/>
      <w:marLeft w:val="0"/>
      <w:marRight w:val="0"/>
      <w:marTop w:val="0"/>
      <w:marBottom w:val="0"/>
      <w:divBdr>
        <w:top w:val="none" w:sz="0" w:space="0" w:color="auto"/>
        <w:left w:val="none" w:sz="0" w:space="0" w:color="auto"/>
        <w:bottom w:val="none" w:sz="0" w:space="0" w:color="auto"/>
        <w:right w:val="none" w:sz="0" w:space="0" w:color="auto"/>
      </w:divBdr>
    </w:div>
    <w:div w:id="2024741732">
      <w:bodyDiv w:val="1"/>
      <w:marLeft w:val="0"/>
      <w:marRight w:val="0"/>
      <w:marTop w:val="0"/>
      <w:marBottom w:val="0"/>
      <w:divBdr>
        <w:top w:val="none" w:sz="0" w:space="0" w:color="auto"/>
        <w:left w:val="none" w:sz="0" w:space="0" w:color="auto"/>
        <w:bottom w:val="none" w:sz="0" w:space="0" w:color="auto"/>
        <w:right w:val="none" w:sz="0" w:space="0" w:color="auto"/>
      </w:divBdr>
    </w:div>
    <w:div w:id="2033652328">
      <w:bodyDiv w:val="1"/>
      <w:marLeft w:val="0"/>
      <w:marRight w:val="0"/>
      <w:marTop w:val="0"/>
      <w:marBottom w:val="0"/>
      <w:divBdr>
        <w:top w:val="none" w:sz="0" w:space="0" w:color="auto"/>
        <w:left w:val="none" w:sz="0" w:space="0" w:color="auto"/>
        <w:bottom w:val="none" w:sz="0" w:space="0" w:color="auto"/>
        <w:right w:val="none" w:sz="0" w:space="0" w:color="auto"/>
      </w:divBdr>
    </w:div>
    <w:div w:id="2034258826">
      <w:bodyDiv w:val="1"/>
      <w:marLeft w:val="0"/>
      <w:marRight w:val="0"/>
      <w:marTop w:val="0"/>
      <w:marBottom w:val="0"/>
      <w:divBdr>
        <w:top w:val="none" w:sz="0" w:space="0" w:color="auto"/>
        <w:left w:val="none" w:sz="0" w:space="0" w:color="auto"/>
        <w:bottom w:val="none" w:sz="0" w:space="0" w:color="auto"/>
        <w:right w:val="none" w:sz="0" w:space="0" w:color="auto"/>
      </w:divBdr>
    </w:div>
    <w:div w:id="2045016738">
      <w:bodyDiv w:val="1"/>
      <w:marLeft w:val="0"/>
      <w:marRight w:val="0"/>
      <w:marTop w:val="0"/>
      <w:marBottom w:val="0"/>
      <w:divBdr>
        <w:top w:val="none" w:sz="0" w:space="0" w:color="auto"/>
        <w:left w:val="none" w:sz="0" w:space="0" w:color="auto"/>
        <w:bottom w:val="none" w:sz="0" w:space="0" w:color="auto"/>
        <w:right w:val="none" w:sz="0" w:space="0" w:color="auto"/>
      </w:divBdr>
    </w:div>
    <w:div w:id="2065373158">
      <w:bodyDiv w:val="1"/>
      <w:marLeft w:val="0"/>
      <w:marRight w:val="0"/>
      <w:marTop w:val="0"/>
      <w:marBottom w:val="0"/>
      <w:divBdr>
        <w:top w:val="none" w:sz="0" w:space="0" w:color="auto"/>
        <w:left w:val="none" w:sz="0" w:space="0" w:color="auto"/>
        <w:bottom w:val="none" w:sz="0" w:space="0" w:color="auto"/>
        <w:right w:val="none" w:sz="0" w:space="0" w:color="auto"/>
      </w:divBdr>
    </w:div>
    <w:div w:id="2066175475">
      <w:bodyDiv w:val="1"/>
      <w:marLeft w:val="0"/>
      <w:marRight w:val="0"/>
      <w:marTop w:val="0"/>
      <w:marBottom w:val="0"/>
      <w:divBdr>
        <w:top w:val="none" w:sz="0" w:space="0" w:color="auto"/>
        <w:left w:val="none" w:sz="0" w:space="0" w:color="auto"/>
        <w:bottom w:val="none" w:sz="0" w:space="0" w:color="auto"/>
        <w:right w:val="none" w:sz="0" w:space="0" w:color="auto"/>
      </w:divBdr>
    </w:div>
    <w:div w:id="2082752180">
      <w:bodyDiv w:val="1"/>
      <w:marLeft w:val="0"/>
      <w:marRight w:val="0"/>
      <w:marTop w:val="0"/>
      <w:marBottom w:val="0"/>
      <w:divBdr>
        <w:top w:val="none" w:sz="0" w:space="0" w:color="auto"/>
        <w:left w:val="none" w:sz="0" w:space="0" w:color="auto"/>
        <w:bottom w:val="none" w:sz="0" w:space="0" w:color="auto"/>
        <w:right w:val="none" w:sz="0" w:space="0" w:color="auto"/>
      </w:divBdr>
    </w:div>
    <w:div w:id="2115710129">
      <w:bodyDiv w:val="1"/>
      <w:marLeft w:val="0"/>
      <w:marRight w:val="0"/>
      <w:marTop w:val="0"/>
      <w:marBottom w:val="0"/>
      <w:divBdr>
        <w:top w:val="none" w:sz="0" w:space="0" w:color="auto"/>
        <w:left w:val="none" w:sz="0" w:space="0" w:color="auto"/>
        <w:bottom w:val="none" w:sz="0" w:space="0" w:color="auto"/>
        <w:right w:val="none" w:sz="0" w:space="0" w:color="auto"/>
      </w:divBdr>
    </w:div>
    <w:div w:id="2135129586">
      <w:bodyDiv w:val="1"/>
      <w:marLeft w:val="0"/>
      <w:marRight w:val="0"/>
      <w:marTop w:val="0"/>
      <w:marBottom w:val="0"/>
      <w:divBdr>
        <w:top w:val="none" w:sz="0" w:space="0" w:color="auto"/>
        <w:left w:val="none" w:sz="0" w:space="0" w:color="auto"/>
        <w:bottom w:val="none" w:sz="0" w:space="0" w:color="auto"/>
        <w:right w:val="none" w:sz="0" w:space="0" w:color="auto"/>
      </w:divBdr>
    </w:div>
    <w:div w:id="2135754130">
      <w:bodyDiv w:val="1"/>
      <w:marLeft w:val="0"/>
      <w:marRight w:val="0"/>
      <w:marTop w:val="0"/>
      <w:marBottom w:val="0"/>
      <w:divBdr>
        <w:top w:val="none" w:sz="0" w:space="0" w:color="auto"/>
        <w:left w:val="none" w:sz="0" w:space="0" w:color="auto"/>
        <w:bottom w:val="none" w:sz="0" w:space="0" w:color="auto"/>
        <w:right w:val="none" w:sz="0" w:space="0" w:color="auto"/>
      </w:divBdr>
    </w:div>
    <w:div w:id="2142073032">
      <w:bodyDiv w:val="1"/>
      <w:marLeft w:val="0"/>
      <w:marRight w:val="0"/>
      <w:marTop w:val="0"/>
      <w:marBottom w:val="0"/>
      <w:divBdr>
        <w:top w:val="none" w:sz="0" w:space="0" w:color="auto"/>
        <w:left w:val="none" w:sz="0" w:space="0" w:color="auto"/>
        <w:bottom w:val="none" w:sz="0" w:space="0" w:color="auto"/>
        <w:right w:val="none" w:sz="0" w:space="0" w:color="auto"/>
      </w:divBdr>
    </w:div>
    <w:div w:id="2146971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hristian-stadler/ifrs-database/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34932-188F-4696-BCC2-7F691469E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2943</Words>
  <Characters>15043</Characters>
  <Application>Microsoft Office Word</Application>
  <DocSecurity>0</DocSecurity>
  <Lines>654</Lines>
  <Paragraphs>449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Holger Daske</cp:lastModifiedBy>
  <cp:revision>8</cp:revision>
  <cp:lastPrinted>2024-01-23T10:56:00Z</cp:lastPrinted>
  <dcterms:created xsi:type="dcterms:W3CDTF">2025-04-02T09:03:00Z</dcterms:created>
  <dcterms:modified xsi:type="dcterms:W3CDTF">2025-04-07T10:56:00Z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df5f4f7c151b6f07e1570cdd7d57a6801b35b4e9b53b8a58a4ba21c365a87274</vt:lpwstr>
  </property>
</Properties>
</file>