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inline xmlns:a="http://schemas.openxmlformats.org/drawingml/2006/main" xmlns:pic="http://schemas.openxmlformats.org/drawingml/2006/picture">
            <wp:extent cx="7560309" cy="10668000"/>
            <wp:docPr id="1" name="Picture 1"/>
            <wp:cNvGraphicFramePr>
              <a:graphicFrameLocks noChangeAspect="1"/>
            </wp:cNvGraphicFramePr>
            <a:graphic>
              <a:graphicData uri="http://schemas.openxmlformats.org/drawingml/2006/picture">
                <pic:pic>
                  <pic:nvPicPr>
                    <pic:cNvPr id="0" name="environment-readiness-cover.png"/>
                    <pic:cNvPicPr/>
                  </pic:nvPicPr>
                  <pic:blipFill>
                    <a:blip r:embed="rId9"/>
                    <a:stretch>
                      <a:fillRect/>
                    </a:stretch>
                  </pic:blipFill>
                  <pic:spPr>
                    <a:xfrm>
                      <a:off x="0" y="0"/>
                      <a:ext cx="7560309" cy="10668000"/>
                    </a:xfrm>
                    <a:prstGeom prst="rect"/>
                  </pic:spPr>
                </pic:pic>
              </a:graphicData>
            </a:graphic>
          </wp:inline>
        </w:drawing>
      </w:r>
    </w:p>
    <w:p>
      <w:pPr>
        <w:sectPr>
          <w:pgSz w:w="11906" w:h="16838"/>
          <w:pgMar w:top="0" w:right="0" w:bottom="0" w:left="0" w:header="0" w:footer="0" w:gutter="0"/>
          <w:cols w:space="720"/>
          <w:docGrid w:linePitch="360"/>
        </w:sectPr>
      </w:pPr>
    </w:p>
    <w:p>
      <w:pPr>
        <w:keepNext/>
        <w:spacing w:before="0" w:after="120" w:line="240" w:lineRule="auto"/>
      </w:pPr>
      <w:r>
        <w:rPr>
          <w:rFonts w:ascii="Arial" w:hAnsi="Arial"/>
          <w:b/>
          <w:caps/>
          <w:color w:val="0E7D74"/>
          <w:sz w:val="20"/>
        </w:rPr>
        <w:t>DECISION</w:t>
      </w:r>
    </w:p>
    <w:p>
      <w:pPr>
        <w:spacing w:before="0" w:after="200" w:line="259" w:lineRule="auto"/>
      </w:pPr>
      <w:r>
        <w:rPr>
          <w:rFonts w:ascii="Arial" w:hAnsi="Arial"/>
          <w:b w:val="0"/>
          <w:caps w:val="0"/>
          <w:color w:val="0B1413"/>
          <w:sz w:val="58"/>
        </w:rPr>
        <w:t>Dev is now modelled as a tenant-equivalent platform environment; Test remains the critical missing boundary.</w:t>
      </w:r>
    </w:p>
    <w:p>
      <w:pPr>
        <w:spacing w:before="0" w:after="280" w:line="324" w:lineRule="auto"/>
      </w:pPr>
      <w:r>
        <w:rPr>
          <w:rFonts w:ascii="Arial" w:hAnsi="Arial"/>
          <w:b w:val="0"/>
          <w:caps w:val="0"/>
          <w:color w:val="4B5A57"/>
          <w:sz w:val="24"/>
        </w:rPr>
        <w:t>The Dev setup record, Cloud API and accounting connection model are now live. The estate still does not provide a safe Dev → Test → customer release path because Test shares Dev data and several intended hostnames are not yet configured.</w:t>
      </w:r>
    </w:p>
    <w:tbl>
      <w:tblPr>
        <w:tblW w:type="dxa" w:w="9820"/>
        <w:jc w:val="left"/>
        <w:tblLayout w:type="fixed"/>
        <w:tblLook w:firstColumn="1" w:firstRow="1" w:lastColumn="0" w:lastRow="0" w:noHBand="0" w:noVBand="1" w:val="04A0"/>
      </w:tblPr>
      <w:tblGrid>
        <w:gridCol w:w="9820"/>
      </w:tblGrid>
      <w:tr>
        <w:tc>
          <w:tcPr>
            <w:tcW w:type="dxa" w:w="9820"/>
            <w:shd w:fill="075D57"/>
            <w:tcMar>
              <w:top w:w="150" w:type="dxa"/>
              <w:start w:w="220" w:type="dxa"/>
              <w:bottom w:w="150" w:type="dxa"/>
              <w:end w:w="220" w:type="dxa"/>
            </w:tcMar>
          </w:tcPr>
          <w:p/>
          <w:p>
            <w:pPr>
              <w:spacing w:before="0" w:after="60" w:line="240" w:lineRule="auto"/>
            </w:pPr>
            <w:r>
              <w:rPr>
                <w:rFonts w:ascii="Arial" w:hAnsi="Arial"/>
                <w:b/>
                <w:caps/>
                <w:color w:val="FFFFFF"/>
                <w:sz w:val="20"/>
              </w:rPr>
              <w:t>NON-NEGOTIABLE</w:t>
            </w:r>
          </w:p>
          <w:p>
            <w:pPr>
              <w:spacing w:before="0" w:after="0" w:line="300" w:lineRule="auto"/>
            </w:pPr>
            <w:r>
              <w:rPr>
                <w:rFonts w:ascii="Arial" w:hAnsi="Arial"/>
                <w:b w:val="0"/>
                <w:caps w:val="0"/>
                <w:color w:val="FFFFFF"/>
                <w:sz w:val="23"/>
              </w:rPr>
              <w:t>Dev, Test and Jenkar must never share a Supabase project. App and Live may share the same project only when they belong to the same environment or customer tenant.</w:t>
            </w:r>
          </w:p>
        </w:tc>
      </w:tr>
    </w:tbl>
    <w:p>
      <w:pPr>
        <w:spacing w:after="20"/>
      </w:pPr>
    </w:p>
    <w:p>
      <w:pPr>
        <w:keepNext/>
        <w:spacing w:before="360" w:after="140" w:line="264" w:lineRule="auto"/>
      </w:pPr>
      <w:r>
        <w:rPr>
          <w:rFonts w:ascii="Arial" w:hAnsi="Arial"/>
          <w:b w:val="0"/>
          <w:caps w:val="0"/>
          <w:color w:val="0B1413"/>
          <w:sz w:val="36"/>
        </w:rPr>
        <w:t>What we have agreed</w:t>
      </w:r>
    </w:p>
    <w:p>
      <w:pPr>
        <w:pStyle w:val="ListBullet"/>
        <w:spacing w:before="0" w:after="80" w:line="300" w:lineRule="auto"/>
        <w:ind w:left="346" w:hanging="230"/>
      </w:pPr>
      <w:r>
        <w:rPr>
          <w:rFonts w:ascii="Arial" w:hAnsi="Arial"/>
          <w:b w:val="0"/>
          <w:caps w:val="0"/>
          <w:color w:val="4B5A57"/>
          <w:sz w:val="23"/>
        </w:rPr>
        <w:t>dev.multideck.app and dev.multideck.live are the continuous-development environment.</w:t>
      </w:r>
    </w:p>
    <w:p>
      <w:pPr>
        <w:pStyle w:val="ListBullet"/>
        <w:spacing w:before="0" w:after="80" w:line="300" w:lineRule="auto"/>
        <w:ind w:left="346" w:hanging="230"/>
      </w:pPr>
      <w:r>
        <w:rPr>
          <w:rFonts w:ascii="Arial" w:hAnsi="Arial"/>
          <w:b w:val="0"/>
          <w:caps w:val="0"/>
          <w:color w:val="4B5A57"/>
          <w:sz w:val="23"/>
        </w:rPr>
        <w:t>test.multideck.app and test.multideck.live are the longer-lived beta and acceptance environment.</w:t>
      </w:r>
    </w:p>
    <w:p>
      <w:pPr>
        <w:pStyle w:val="ListBullet"/>
        <w:spacing w:before="0" w:after="80" w:line="300" w:lineRule="auto"/>
        <w:ind w:left="346" w:hanging="230"/>
      </w:pPr>
      <w:r>
        <w:rPr>
          <w:rFonts w:ascii="Arial" w:hAnsi="Arial"/>
          <w:b w:val="0"/>
          <w:caps w:val="0"/>
          <w:color w:val="4B5A57"/>
          <w:sz w:val="23"/>
        </w:rPr>
        <w:t>jenkar.multideck.app and jenkar.multideck.live are the only customer production tenant surfaces today.</w:t>
      </w:r>
    </w:p>
    <w:p>
      <w:pPr>
        <w:pStyle w:val="ListBullet"/>
        <w:spacing w:before="0" w:after="80" w:line="300" w:lineRule="auto"/>
        <w:ind w:left="346" w:hanging="230"/>
      </w:pPr>
      <w:r>
        <w:rPr>
          <w:rFonts w:ascii="Arial" w:hAnsi="Arial"/>
          <w:b w:val="0"/>
          <w:caps w:val="0"/>
          <w:color w:val="4B5A57"/>
          <w:sz w:val="23"/>
        </w:rPr>
        <w:t>multideck.cloud is a separate control plane. It records safe infrastructure evidence and never stores tenant runtime credentials.</w:t>
      </w:r>
    </w:p>
    <w:p>
      <w:pPr>
        <w:keepNext/>
        <w:spacing w:before="360" w:after="140" w:line="264" w:lineRule="auto"/>
      </w:pPr>
      <w:r>
        <w:rPr>
          <w:rFonts w:ascii="Arial" w:hAnsi="Arial"/>
          <w:b w:val="0"/>
          <w:caps w:val="0"/>
          <w:color w:val="0B1413"/>
          <w:sz w:val="36"/>
        </w:rPr>
        <w:t>Why this matters now</w:t>
      </w:r>
    </w:p>
    <w:p>
      <w:pPr>
        <w:spacing w:before="0" w:after="200" w:line="324" w:lineRule="auto"/>
      </w:pPr>
      <w:r>
        <w:rPr>
          <w:rFonts w:ascii="Arial" w:hAnsi="Arial"/>
          <w:b w:val="0"/>
          <w:caps w:val="0"/>
          <w:color w:val="4B5A57"/>
          <w:sz w:val="24"/>
        </w:rPr>
        <w:t>Accounting settings exposed the underlying issue: Cloud could not reliably describe or verify the environment attached to a workspace. That is a platform readiness problem, not only an accounting problem. The Cloud setup schema and Dev adoption record now remove that immediate blocker.</w:t>
      </w:r>
    </w:p>
    <w:tbl>
      <w:tblPr>
        <w:tblW w:type="dxa" w:w="9820"/>
        <w:jc w:val="left"/>
        <w:tblLayout w:type="fixed"/>
        <w:tblLook w:firstColumn="1" w:firstRow="1" w:lastColumn="0" w:lastRow="0" w:noHBand="0" w:noVBand="1" w:val="04A0"/>
      </w:tblPr>
      <w:tblGrid>
        <w:gridCol w:w="9820"/>
      </w:tblGrid>
      <w:tr>
        <w:tc>
          <w:tcPr>
            <w:tcW w:type="dxa" w:w="9820"/>
            <w:shd w:fill="FFF7E6"/>
            <w:tcMar>
              <w:top w:w="150" w:type="dxa"/>
              <w:start w:w="220" w:type="dxa"/>
              <w:bottom w:w="150" w:type="dxa"/>
              <w:end w:w="220" w:type="dxa"/>
            </w:tcMar>
          </w:tcPr>
          <w:p/>
          <w:p>
            <w:pPr>
              <w:spacing w:before="0" w:after="60" w:line="240" w:lineRule="auto"/>
            </w:pPr>
            <w:r>
              <w:rPr>
                <w:rFonts w:ascii="Arial" w:hAnsi="Arial"/>
                <w:b/>
                <w:caps/>
                <w:color w:val="0B1413"/>
                <w:sz w:val="20"/>
              </w:rPr>
              <w:t>RELEASE RULE</w:t>
            </w:r>
          </w:p>
          <w:p>
            <w:pPr>
              <w:spacing w:before="0" w:after="0" w:line="300" w:lineRule="auto"/>
            </w:pPr>
            <w:r>
              <w:rPr>
                <w:rFonts w:ascii="Arial" w:hAnsi="Arial"/>
                <w:b w:val="0"/>
                <w:caps w:val="0"/>
                <w:color w:val="0B1413"/>
                <w:sz w:val="23"/>
              </w:rPr>
              <w:t>A feature must work in Dev, then pass a repeatable Test check, before it can be released to Jenkar.</w:t>
            </w:r>
          </w:p>
        </w:tc>
      </w:tr>
    </w:tbl>
    <w:p>
      <w:pPr>
        <w:spacing w:after="20"/>
      </w:pPr>
    </w:p>
    <w:p>
      <w:pPr>
        <w:keepNext/>
        <w:spacing w:before="0" w:after="120" w:line="240" w:lineRule="auto"/>
      </w:pPr>
      <w:r>
        <w:rPr>
          <w:rFonts w:ascii="Arial" w:hAnsi="Arial"/>
          <w:b/>
          <w:caps/>
          <w:color w:val="0E7D74"/>
          <w:sz w:val="20"/>
        </w:rPr>
        <w:t>CURRENT-STATE AUDIT</w:t>
      </w:r>
    </w:p>
    <w:p>
      <w:pPr>
        <w:spacing w:before="0" w:after="200" w:line="259" w:lineRule="auto"/>
      </w:pPr>
      <w:r>
        <w:rPr>
          <w:rFonts w:ascii="Arial" w:hAnsi="Arial"/>
          <w:b w:val="0"/>
          <w:caps w:val="0"/>
          <w:color w:val="0B1413"/>
          <w:sz w:val="58"/>
        </w:rPr>
        <w:t>What is live today</w:t>
      </w:r>
    </w:p>
    <w:p>
      <w:pPr>
        <w:spacing w:before="0" w:after="280" w:line="324" w:lineRule="auto"/>
      </w:pPr>
      <w:r>
        <w:rPr>
          <w:rFonts w:ascii="Arial" w:hAnsi="Arial"/>
          <w:b w:val="0"/>
          <w:caps w:val="0"/>
          <w:color w:val="4B5A57"/>
          <w:sz w:val="24"/>
        </w:rPr>
        <w:t>Read-only checks completed on 26 August 2026. “Reachable” confirms a successful public HTTPS response; it does not confirm that the environment is production-ready.</w:t>
      </w:r>
    </w:p>
    <w:tbl>
      <w:tblPr>
        <w:tblW w:type="dxa" w:w="9820"/>
        <w:jc w:val="left"/>
        <w:tblLayout w:type="fixed"/>
        <w:tblLook w:firstColumn="1" w:firstRow="1" w:lastColumn="0" w:lastRow="0" w:noHBand="0" w:noVBand="1" w:val="04A0"/>
      </w:tblPr>
      <w:tblGrid>
        <w:gridCol w:w="2650"/>
        <w:gridCol w:w="3300"/>
        <w:gridCol w:w="3870"/>
      </w:tblGrid>
      <w:tr>
        <w:trPr>
          <w:tblHeader/>
        </w:trPr>
        <w:tc>
          <w:tcPr>
            <w:tcW w:type="dxa" w:w="2650"/>
            <w:shd w:fill="E7F1EE"/>
            <w:tcMar>
              <w:top w:w="120" w:type="dxa"/>
              <w:start w:w="140" w:type="dxa"/>
              <w:bottom w:w="120" w:type="dxa"/>
              <w:end w:w="140" w:type="dxa"/>
            </w:tcMar>
            <w:tcBorders>
              <w:top w:val="single" w:sz="6" w:color="D8E3E0"/>
              <w:left w:val="single" w:sz="6" w:color="D8E3E0"/>
              <w:bottom w:val="single" w:sz="6" w:color="D8E3E0"/>
              <w:right w:val="single" w:sz="6" w:color="D8E3E0"/>
            </w:tcBorders>
            <w:vAlign w:val="center"/>
          </w:tcPr>
          <w:p>
            <w:pPr>
              <w:spacing w:before="0" w:after="0" w:line="252" w:lineRule="auto"/>
            </w:pPr>
            <w:r>
              <w:rPr>
                <w:rFonts w:ascii="Arial" w:hAnsi="Arial"/>
                <w:b/>
                <w:caps w:val="0"/>
                <w:color w:val="0E7D74"/>
                <w:sz w:val="21"/>
              </w:rPr>
              <w:t>Surface</w:t>
            </w:r>
          </w:p>
        </w:tc>
        <w:tc>
          <w:tcPr>
            <w:tcW w:type="dxa" w:w="3300"/>
            <w:shd w:fill="E7F1EE"/>
            <w:tcMar>
              <w:top w:w="120" w:type="dxa"/>
              <w:start w:w="140" w:type="dxa"/>
              <w:bottom w:w="120" w:type="dxa"/>
              <w:end w:w="140" w:type="dxa"/>
            </w:tcMar>
            <w:tcBorders>
              <w:top w:val="single" w:sz="6" w:color="D8E3E0"/>
              <w:left w:val="single" w:sz="6" w:color="D8E3E0"/>
              <w:bottom w:val="single" w:sz="6" w:color="D8E3E0"/>
              <w:right w:val="single" w:sz="6" w:color="D8E3E0"/>
            </w:tcBorders>
            <w:vAlign w:val="center"/>
          </w:tcPr>
          <w:p>
            <w:pPr>
              <w:spacing w:before="0" w:after="0" w:line="252" w:lineRule="auto"/>
            </w:pPr>
            <w:r>
              <w:rPr>
                <w:rFonts w:ascii="Arial" w:hAnsi="Arial"/>
                <w:b/>
                <w:caps w:val="0"/>
                <w:color w:val="0E7D74"/>
                <w:sz w:val="21"/>
              </w:rPr>
              <w:t>Observed state</w:t>
            </w:r>
          </w:p>
        </w:tc>
        <w:tc>
          <w:tcPr>
            <w:tcW w:type="dxa" w:w="3870"/>
            <w:shd w:fill="E7F1EE"/>
            <w:tcMar>
              <w:top w:w="120" w:type="dxa"/>
              <w:start w:w="140" w:type="dxa"/>
              <w:bottom w:w="120" w:type="dxa"/>
              <w:end w:w="140" w:type="dxa"/>
            </w:tcMar>
            <w:tcBorders>
              <w:top w:val="single" w:sz="6" w:color="D8E3E0"/>
              <w:left w:val="single" w:sz="6" w:color="D8E3E0"/>
              <w:bottom w:val="single" w:sz="6" w:color="D8E3E0"/>
              <w:right w:val="single" w:sz="6" w:color="D8E3E0"/>
            </w:tcBorders>
            <w:vAlign w:val="center"/>
          </w:tcPr>
          <w:p>
            <w:pPr>
              <w:spacing w:before="0" w:after="0" w:line="252" w:lineRule="auto"/>
            </w:pPr>
            <w:r>
              <w:rPr>
                <w:rFonts w:ascii="Arial" w:hAnsi="Arial"/>
                <w:b/>
                <w:caps w:val="0"/>
                <w:color w:val="0E7D74"/>
                <w:sz w:val="21"/>
              </w:rPr>
              <w:t>Readiness</w:t>
            </w:r>
          </w:p>
        </w:tc>
      </w:tr>
      <w:tr>
        <w:tc>
          <w:tcPr>
            <w:tcW w:type="dxa" w:w="265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caps w:val="0"/>
                <w:color w:val="0B1413"/>
                <w:sz w:val="20"/>
              </w:rPr>
              <w:t>dev.multideck.app</w:t>
            </w:r>
          </w:p>
        </w:tc>
        <w:tc>
          <w:tcPr>
            <w:tcW w:type="dxa" w:w="33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Reachable. Dev branch; HTTP 200 verified.</w:t>
            </w:r>
          </w:p>
        </w:tc>
        <w:tc>
          <w:tcPr>
            <w:tcW w:type="dxa" w:w="387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Adopted in Cloud as a live platform environment on project aqtwypsuijxlnvtxpuxe.</w:t>
            </w:r>
          </w:p>
        </w:tc>
      </w:tr>
      <w:tr>
        <w:tc>
          <w:tcPr>
            <w:tcW w:type="dxa" w:w="265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caps w:val="0"/>
                <w:color w:val="0B1413"/>
                <w:sz w:val="20"/>
              </w:rPr>
              <w:t>test.multideck.app</w:t>
            </w:r>
          </w:p>
        </w:tc>
        <w:tc>
          <w:tcPr>
            <w:tcW w:type="dxa" w:w="33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Reachable. Deployed from the Test branch.</w:t>
            </w:r>
          </w:p>
        </w:tc>
        <w:tc>
          <w:tcPr>
            <w:tcW w:type="dxa" w:w="387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Uses the same Supabase project as Dev — not isolated.</w:t>
            </w:r>
          </w:p>
        </w:tc>
      </w:tr>
      <w:tr>
        <w:tc>
          <w:tcPr>
            <w:tcW w:type="dxa" w:w="265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caps w:val="0"/>
                <w:color w:val="0B1413"/>
                <w:sz w:val="20"/>
              </w:rPr>
              <w:t>jenkar.multideck.app</w:t>
            </w:r>
          </w:p>
        </w:tc>
        <w:tc>
          <w:tcPr>
            <w:tcW w:type="dxa" w:w="33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Not publicly resolvable.</w:t>
            </w:r>
          </w:p>
        </w:tc>
        <w:tc>
          <w:tcPr>
            <w:tcW w:type="dxa" w:w="387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No live Jenkar operator workspace is available.</w:t>
            </w:r>
          </w:p>
        </w:tc>
      </w:tr>
      <w:tr>
        <w:tc>
          <w:tcPr>
            <w:tcW w:type="dxa" w:w="265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caps w:val="0"/>
                <w:color w:val="0B1413"/>
                <w:sz w:val="20"/>
              </w:rPr>
              <w:t>dev.multideck.live</w:t>
            </w:r>
          </w:p>
        </w:tc>
        <w:tc>
          <w:tcPr>
            <w:tcW w:type="dxa" w:w="33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Not publicly resolvable.</w:t>
            </w:r>
          </w:p>
        </w:tc>
        <w:tc>
          <w:tcPr>
            <w:tcW w:type="dxa" w:w="387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A Dev branch deployment exists, but the custom DNS route is not configured.</w:t>
            </w:r>
          </w:p>
        </w:tc>
      </w:tr>
      <w:tr>
        <w:tc>
          <w:tcPr>
            <w:tcW w:type="dxa" w:w="265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caps w:val="0"/>
                <w:color w:val="0B1413"/>
                <w:sz w:val="20"/>
              </w:rPr>
              <w:t>test.multideck.live</w:t>
            </w:r>
          </w:p>
        </w:tc>
        <w:tc>
          <w:tcPr>
            <w:tcW w:type="dxa" w:w="33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Not publicly resolvable.</w:t>
            </w:r>
          </w:p>
        </w:tc>
        <w:tc>
          <w:tcPr>
            <w:tcW w:type="dxa" w:w="387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No Test deployment or custom route is configured.</w:t>
            </w:r>
          </w:p>
        </w:tc>
      </w:tr>
      <w:tr>
        <w:tc>
          <w:tcPr>
            <w:tcW w:type="dxa" w:w="265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caps w:val="0"/>
                <w:color w:val="0B1413"/>
                <w:sz w:val="20"/>
              </w:rPr>
              <w:t>jenkar.multideck.live</w:t>
            </w:r>
          </w:p>
        </w:tc>
        <w:tc>
          <w:tcPr>
            <w:tcW w:type="dxa" w:w="33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Reachable.</w:t>
            </w:r>
          </w:p>
        </w:tc>
        <w:tc>
          <w:tcPr>
            <w:tcW w:type="dxa" w:w="387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Has its own Vercel project and Jenkar Supabase project.</w:t>
            </w:r>
          </w:p>
        </w:tc>
      </w:tr>
      <w:tr>
        <w:tc>
          <w:tcPr>
            <w:tcW w:type="dxa" w:w="265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caps w:val="0"/>
                <w:color w:val="0B1413"/>
                <w:sz w:val="20"/>
              </w:rPr>
              <w:t>multideck.cloud</w:t>
            </w:r>
          </w:p>
        </w:tc>
        <w:tc>
          <w:tcPr>
            <w:tcW w:type="dxa" w:w="33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Reachable. Cloud setup API deployed.</w:t>
            </w:r>
          </w:p>
        </w:tc>
        <w:tc>
          <w:tcPr>
            <w:tcW w:type="dxa" w:w="387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Dev has a completed adoption run, safe provider records and a live setup checklist.</w:t>
            </w:r>
          </w:p>
        </w:tc>
      </w:tr>
    </w:tbl>
    <w:p>
      <w:pPr>
        <w:spacing w:after="40"/>
      </w:pPr>
    </w:p>
    <w:p>
      <w:pPr>
        <w:keepNext/>
        <w:spacing w:before="360" w:after="140" w:line="264" w:lineRule="auto"/>
      </w:pPr>
      <w:r>
        <w:rPr>
          <w:rFonts w:ascii="Arial" w:hAnsi="Arial"/>
          <w:b w:val="0"/>
          <w:caps w:val="0"/>
          <w:color w:val="0B1413"/>
          <w:sz w:val="36"/>
        </w:rPr>
        <w:t>The immediate risk</w:t>
      </w:r>
    </w:p>
    <w:p>
      <w:pPr>
        <w:spacing w:before="0" w:after="200" w:line="324" w:lineRule="auto"/>
      </w:pPr>
      <w:r>
        <w:rPr>
          <w:rFonts w:ascii="Arial" w:hAnsi="Arial"/>
          <w:b w:val="0"/>
          <w:caps w:val="0"/>
          <w:color w:val="4B5A57"/>
          <w:sz w:val="24"/>
        </w:rPr>
        <w:t>Test changes can currently read and write the same data as Dev. This prevents reliable beta validation, makes failures difficult to reproduce, and creates a route for test configuration to affect active development work. It is the highest-priority environment risk.</w:t>
      </w:r>
    </w:p>
    <w:tbl>
      <w:tblPr>
        <w:tblW w:type="dxa" w:w="9820"/>
        <w:jc w:val="left"/>
        <w:tblLayout w:type="fixed"/>
        <w:tblLook w:firstColumn="1" w:firstRow="1" w:lastColumn="0" w:lastRow="0" w:noHBand="0" w:noVBand="1" w:val="04A0"/>
      </w:tblPr>
      <w:tblGrid>
        <w:gridCol w:w="9820"/>
      </w:tblGrid>
      <w:tr>
        <w:tc>
          <w:tcPr>
            <w:tcW w:type="dxa" w:w="9820"/>
            <w:shd w:fill="FFF7E6"/>
            <w:tcMar>
              <w:top w:w="150" w:type="dxa"/>
              <w:start w:w="220" w:type="dxa"/>
              <w:bottom w:w="150" w:type="dxa"/>
              <w:end w:w="220" w:type="dxa"/>
            </w:tcMar>
          </w:tcPr>
          <w:p/>
          <w:p>
            <w:pPr>
              <w:spacing w:before="0" w:after="60" w:line="240" w:lineRule="auto"/>
            </w:pPr>
            <w:r>
              <w:rPr>
                <w:rFonts w:ascii="Arial" w:hAnsi="Arial"/>
                <w:b/>
                <w:caps/>
                <w:color w:val="0B1413"/>
                <w:sz w:val="20"/>
              </w:rPr>
              <w:t>ACCOUNTING IMPACT</w:t>
            </w:r>
          </w:p>
          <w:p>
            <w:pPr>
              <w:spacing w:before="0" w:after="0" w:line="300" w:lineRule="auto"/>
            </w:pPr>
            <w:r>
              <w:rPr>
                <w:rFonts w:ascii="Arial" w:hAnsi="Arial"/>
                <w:b w:val="0"/>
                <w:caps w:val="0"/>
                <w:color w:val="0B1413"/>
                <w:sz w:val="23"/>
              </w:rPr>
              <w:t>ERPNext and Sage 50 setup must not be tested against a customer tenant until the Test environment has its own project, sandbox provider settings and recorded verification evidence.</w:t>
            </w:r>
          </w:p>
        </w:tc>
      </w:tr>
    </w:tbl>
    <w:p>
      <w:pPr>
        <w:spacing w:after="20"/>
      </w:pPr>
    </w:p>
    <w:p>
      <w:pPr>
        <w:keepNext/>
        <w:spacing w:before="0" w:after="120" w:line="240" w:lineRule="auto"/>
      </w:pPr>
      <w:r>
        <w:rPr>
          <w:rFonts w:ascii="Arial" w:hAnsi="Arial"/>
          <w:b/>
          <w:caps/>
          <w:color w:val="0E7D74"/>
          <w:sz w:val="20"/>
        </w:rPr>
        <w:t>TARGET ARCHITECTURE</w:t>
      </w:r>
    </w:p>
    <w:p>
      <w:pPr>
        <w:spacing w:before="0" w:after="200" w:line="259" w:lineRule="auto"/>
      </w:pPr>
      <w:r>
        <w:rPr>
          <w:rFonts w:ascii="Arial" w:hAnsi="Arial"/>
          <w:b w:val="0"/>
          <w:caps w:val="0"/>
          <w:color w:val="0B1413"/>
          <w:sz w:val="58"/>
        </w:rPr>
        <w:t>One isolated project per system</w:t>
      </w:r>
    </w:p>
    <w:p>
      <w:pPr>
        <w:spacing w:before="0" w:after="280" w:line="324" w:lineRule="auto"/>
      </w:pPr>
      <w:r>
        <w:rPr>
          <w:rFonts w:ascii="Arial" w:hAnsi="Arial"/>
          <w:b w:val="0"/>
          <w:caps w:val="0"/>
          <w:color w:val="4B5A57"/>
          <w:sz w:val="24"/>
        </w:rPr>
        <w:t>Each row is an independent security and delivery boundary. The two product surfaces in a row share that row’s project because they operate on the same environment data.</w:t>
      </w:r>
    </w:p>
    <w:tbl>
      <w:tblPr>
        <w:tblW w:type="dxa" w:w="9820"/>
        <w:jc w:val="left"/>
        <w:tblLayout w:type="fixed"/>
        <w:tblLook w:firstColumn="1" w:firstRow="1" w:lastColumn="0" w:lastRow="0" w:noHBand="0" w:noVBand="1" w:val="04A0"/>
      </w:tblPr>
      <w:tblGrid>
        <w:gridCol w:w="1450"/>
        <w:gridCol w:w="2500"/>
        <w:gridCol w:w="3000"/>
        <w:gridCol w:w="2870"/>
      </w:tblGrid>
      <w:tr>
        <w:trPr>
          <w:tblHeader/>
        </w:trPr>
        <w:tc>
          <w:tcPr>
            <w:tcW w:type="dxa" w:w="1450"/>
            <w:shd w:fill="E7F1EE"/>
            <w:tcMar>
              <w:top w:w="120" w:type="dxa"/>
              <w:start w:w="140" w:type="dxa"/>
              <w:bottom w:w="120" w:type="dxa"/>
              <w:end w:w="140" w:type="dxa"/>
            </w:tcMar>
            <w:tcBorders>
              <w:top w:val="single" w:sz="6" w:color="D8E3E0"/>
              <w:left w:val="single" w:sz="6" w:color="D8E3E0"/>
              <w:bottom w:val="single" w:sz="6" w:color="D8E3E0"/>
              <w:right w:val="single" w:sz="6" w:color="D8E3E0"/>
            </w:tcBorders>
            <w:vAlign w:val="center"/>
          </w:tcPr>
          <w:p>
            <w:pPr>
              <w:spacing w:before="0" w:after="0" w:line="252" w:lineRule="auto"/>
            </w:pPr>
            <w:r>
              <w:rPr>
                <w:rFonts w:ascii="Arial" w:hAnsi="Arial"/>
                <w:b/>
                <w:caps w:val="0"/>
                <w:color w:val="0E7D74"/>
                <w:sz w:val="21"/>
              </w:rPr>
              <w:t>System</w:t>
            </w:r>
          </w:p>
        </w:tc>
        <w:tc>
          <w:tcPr>
            <w:tcW w:type="dxa" w:w="2500"/>
            <w:shd w:fill="E7F1EE"/>
            <w:tcMar>
              <w:top w:w="120" w:type="dxa"/>
              <w:start w:w="140" w:type="dxa"/>
              <w:bottom w:w="120" w:type="dxa"/>
              <w:end w:w="140" w:type="dxa"/>
            </w:tcMar>
            <w:tcBorders>
              <w:top w:val="single" w:sz="6" w:color="D8E3E0"/>
              <w:left w:val="single" w:sz="6" w:color="D8E3E0"/>
              <w:bottom w:val="single" w:sz="6" w:color="D8E3E0"/>
              <w:right w:val="single" w:sz="6" w:color="D8E3E0"/>
            </w:tcBorders>
            <w:vAlign w:val="center"/>
          </w:tcPr>
          <w:p>
            <w:pPr>
              <w:spacing w:before="0" w:after="0" w:line="252" w:lineRule="auto"/>
            </w:pPr>
            <w:r>
              <w:rPr>
                <w:rFonts w:ascii="Arial" w:hAnsi="Arial"/>
                <w:b/>
                <w:caps w:val="0"/>
                <w:color w:val="0E7D74"/>
                <w:sz w:val="21"/>
              </w:rPr>
              <w:t>Supabase project</w:t>
            </w:r>
          </w:p>
        </w:tc>
        <w:tc>
          <w:tcPr>
            <w:tcW w:type="dxa" w:w="3000"/>
            <w:shd w:fill="E7F1EE"/>
            <w:tcMar>
              <w:top w:w="120" w:type="dxa"/>
              <w:start w:w="140" w:type="dxa"/>
              <w:bottom w:w="120" w:type="dxa"/>
              <w:end w:w="140" w:type="dxa"/>
            </w:tcMar>
            <w:tcBorders>
              <w:top w:val="single" w:sz="6" w:color="D8E3E0"/>
              <w:left w:val="single" w:sz="6" w:color="D8E3E0"/>
              <w:bottom w:val="single" w:sz="6" w:color="D8E3E0"/>
              <w:right w:val="single" w:sz="6" w:color="D8E3E0"/>
            </w:tcBorders>
            <w:vAlign w:val="center"/>
          </w:tcPr>
          <w:p>
            <w:pPr>
              <w:spacing w:before="0" w:after="0" w:line="252" w:lineRule="auto"/>
            </w:pPr>
            <w:r>
              <w:rPr>
                <w:rFonts w:ascii="Arial" w:hAnsi="Arial"/>
                <w:b/>
                <w:caps w:val="0"/>
                <w:color w:val="0E7D74"/>
                <w:sz w:val="21"/>
              </w:rPr>
              <w:t>Product surfaces</w:t>
            </w:r>
          </w:p>
        </w:tc>
        <w:tc>
          <w:tcPr>
            <w:tcW w:type="dxa" w:w="2870"/>
            <w:shd w:fill="E7F1EE"/>
            <w:tcMar>
              <w:top w:w="120" w:type="dxa"/>
              <w:start w:w="140" w:type="dxa"/>
              <w:bottom w:w="120" w:type="dxa"/>
              <w:end w:w="140" w:type="dxa"/>
            </w:tcMar>
            <w:tcBorders>
              <w:top w:val="single" w:sz="6" w:color="D8E3E0"/>
              <w:left w:val="single" w:sz="6" w:color="D8E3E0"/>
              <w:bottom w:val="single" w:sz="6" w:color="D8E3E0"/>
              <w:right w:val="single" w:sz="6" w:color="D8E3E0"/>
            </w:tcBorders>
            <w:vAlign w:val="center"/>
          </w:tcPr>
          <w:p>
            <w:pPr>
              <w:spacing w:before="0" w:after="0" w:line="252" w:lineRule="auto"/>
            </w:pPr>
            <w:r>
              <w:rPr>
                <w:rFonts w:ascii="Arial" w:hAnsi="Arial"/>
                <w:b/>
                <w:caps w:val="0"/>
                <w:color w:val="0E7D74"/>
                <w:sz w:val="21"/>
              </w:rPr>
              <w:t>Purpose</w:t>
            </w:r>
          </w:p>
        </w:tc>
      </w:tr>
      <w:tr>
        <w:tc>
          <w:tcPr>
            <w:tcW w:type="dxa" w:w="145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caps w:val="0"/>
                <w:color w:val="0B1413"/>
                <w:sz w:val="20"/>
              </w:rPr>
              <w:t>Dev</w:t>
            </w:r>
          </w:p>
        </w:tc>
        <w:tc>
          <w:tcPr>
            <w:tcW w:type="dxa" w:w="25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Dedicated Development project</w:t>
            </w:r>
          </w:p>
        </w:tc>
        <w:tc>
          <w:tcPr>
            <w:tcW w:type="dxa" w:w="30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dev.multideck.app</w:t>
              <w:br/>
              <w:t>dev.multideck.live</w:t>
            </w:r>
          </w:p>
        </w:tc>
        <w:tc>
          <w:tcPr>
            <w:tcW w:type="dxa" w:w="287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Continuous feature development and sandbox integrations.</w:t>
            </w:r>
          </w:p>
        </w:tc>
      </w:tr>
      <w:tr>
        <w:tc>
          <w:tcPr>
            <w:tcW w:type="dxa" w:w="145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caps w:val="0"/>
                <w:color w:val="0B1413"/>
                <w:sz w:val="20"/>
              </w:rPr>
              <w:t>Test</w:t>
            </w:r>
          </w:p>
        </w:tc>
        <w:tc>
          <w:tcPr>
            <w:tcW w:type="dxa" w:w="25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New dedicated Test project</w:t>
            </w:r>
          </w:p>
        </w:tc>
        <w:tc>
          <w:tcPr>
            <w:tcW w:type="dxa" w:w="30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test.multideck.app</w:t>
              <w:br/>
              <w:t>test.multideck.live</w:t>
            </w:r>
          </w:p>
        </w:tc>
        <w:tc>
          <w:tcPr>
            <w:tcW w:type="dxa" w:w="287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Stable beta testing, repeatable checks and release acceptance.</w:t>
            </w:r>
          </w:p>
        </w:tc>
      </w:tr>
      <w:tr>
        <w:tc>
          <w:tcPr>
            <w:tcW w:type="dxa" w:w="145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caps w:val="0"/>
                <w:color w:val="0B1413"/>
                <w:sz w:val="20"/>
              </w:rPr>
              <w:t>Jenkar</w:t>
            </w:r>
          </w:p>
        </w:tc>
        <w:tc>
          <w:tcPr>
            <w:tcW w:type="dxa" w:w="25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Existing dedicated Jenkar project</w:t>
            </w:r>
          </w:p>
        </w:tc>
        <w:tc>
          <w:tcPr>
            <w:tcW w:type="dxa" w:w="30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jenkar.multideck.app</w:t>
              <w:br/>
              <w:t>jenkar.multideck.live</w:t>
            </w:r>
          </w:p>
        </w:tc>
        <w:tc>
          <w:tcPr>
            <w:tcW w:type="dxa" w:w="287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Customer production operations and customer portal.</w:t>
            </w:r>
          </w:p>
        </w:tc>
      </w:tr>
      <w:tr>
        <w:tc>
          <w:tcPr>
            <w:tcW w:type="dxa" w:w="145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caps w:val="0"/>
                <w:color w:val="0B1413"/>
                <w:sz w:val="20"/>
              </w:rPr>
              <w:t>Cloud</w:t>
            </w:r>
          </w:p>
        </w:tc>
        <w:tc>
          <w:tcPr>
            <w:tcW w:type="dxa" w:w="25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Separate control-plane project</w:t>
            </w:r>
          </w:p>
        </w:tc>
        <w:tc>
          <w:tcPr>
            <w:tcW w:type="dxa" w:w="30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multideck.cloud</w:t>
            </w:r>
          </w:p>
        </w:tc>
        <w:tc>
          <w:tcPr>
            <w:tcW w:type="dxa" w:w="287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Safe records, setup evidence, release controls and health checks.</w:t>
            </w:r>
          </w:p>
        </w:tc>
      </w:tr>
    </w:tbl>
    <w:p>
      <w:pPr>
        <w:spacing w:after="40"/>
      </w:pPr>
    </w:p>
    <w:p>
      <w:pPr>
        <w:keepNext/>
        <w:spacing w:before="360" w:after="140" w:line="264" w:lineRule="auto"/>
      </w:pPr>
      <w:r>
        <w:rPr>
          <w:rFonts w:ascii="Arial" w:hAnsi="Arial"/>
          <w:b w:val="0"/>
          <w:caps w:val="0"/>
          <w:color w:val="0B1413"/>
          <w:sz w:val="36"/>
        </w:rPr>
        <w:t>Operating rules</w:t>
      </w:r>
    </w:p>
    <w:p>
      <w:pPr>
        <w:pStyle w:val="ListBullet"/>
        <w:spacing w:before="0" w:after="80" w:line="300" w:lineRule="auto"/>
        <w:ind w:left="346" w:hanging="230"/>
      </w:pPr>
      <w:r>
        <w:rPr>
          <w:rFonts w:ascii="Arial" w:hAnsi="Arial"/>
          <w:b w:val="0"/>
          <w:caps w:val="0"/>
          <w:color w:val="4B5A57"/>
          <w:sz w:val="23"/>
        </w:rPr>
        <w:t>No customer data, Auth users, Storage objects or provider credentials are copied between the four projects.</w:t>
      </w:r>
    </w:p>
    <w:p>
      <w:pPr>
        <w:pStyle w:val="ListBullet"/>
        <w:spacing w:before="0" w:after="80" w:line="300" w:lineRule="auto"/>
        <w:ind w:left="346" w:hanging="230"/>
      </w:pPr>
      <w:r>
        <w:rPr>
          <w:rFonts w:ascii="Arial" w:hAnsi="Arial"/>
          <w:b w:val="0"/>
          <w:caps w:val="0"/>
          <w:color w:val="4B5A57"/>
          <w:sz w:val="23"/>
        </w:rPr>
        <w:t>Each project has its own exact auth origins, redirect allow list, Edge Function secrets and health checks.</w:t>
      </w:r>
    </w:p>
    <w:p>
      <w:pPr>
        <w:pStyle w:val="ListBullet"/>
        <w:spacing w:before="0" w:after="80" w:line="300" w:lineRule="auto"/>
        <w:ind w:left="346" w:hanging="230"/>
      </w:pPr>
      <w:r>
        <w:rPr>
          <w:rFonts w:ascii="Arial" w:hAnsi="Arial"/>
          <w:b w:val="0"/>
          <w:caps w:val="0"/>
          <w:color w:val="4B5A57"/>
          <w:sz w:val="23"/>
        </w:rPr>
        <w:t>Dev and Test use synthetic or approved sandbox data only. Customer provider credentials remain inside the customer’s own project.</w:t>
      </w:r>
    </w:p>
    <w:p>
      <w:pPr>
        <w:pStyle w:val="ListBullet"/>
        <w:spacing w:before="0" w:after="80" w:line="300" w:lineRule="auto"/>
        <w:ind w:left="346" w:hanging="230"/>
      </w:pPr>
      <w:r>
        <w:rPr>
          <w:rFonts w:ascii="Arial" w:hAnsi="Arial"/>
          <w:b w:val="0"/>
          <w:caps w:val="0"/>
          <w:color w:val="4B5A57"/>
          <w:sz w:val="23"/>
        </w:rPr>
        <w:t>Cloud records project references, deployment evidence and safe connection status — never API secrets, database passwords or service-role keys.</w:t>
      </w:r>
    </w:p>
    <w:p>
      <w:pPr>
        <w:keepNext/>
        <w:spacing w:before="0" w:after="120" w:line="240" w:lineRule="auto"/>
      </w:pPr>
      <w:r>
        <w:rPr>
          <w:rFonts w:ascii="Arial" w:hAnsi="Arial"/>
          <w:b/>
          <w:caps/>
          <w:color w:val="0E7D74"/>
          <w:sz w:val="20"/>
        </w:rPr>
        <w:t>GAPS TO CLOSE</w:t>
      </w:r>
    </w:p>
    <w:p>
      <w:pPr>
        <w:spacing w:before="0" w:after="200" w:line="259" w:lineRule="auto"/>
      </w:pPr>
      <w:r>
        <w:rPr>
          <w:rFonts w:ascii="Arial" w:hAnsi="Arial"/>
          <w:b w:val="0"/>
          <w:caps w:val="0"/>
          <w:color w:val="0B1413"/>
          <w:sz w:val="58"/>
        </w:rPr>
        <w:t>What the platform needs next</w:t>
      </w:r>
    </w:p>
    <w:p>
      <w:pPr>
        <w:keepNext/>
        <w:spacing w:before="360" w:after="140" w:line="264" w:lineRule="auto"/>
      </w:pPr>
      <w:r>
        <w:rPr>
          <w:rFonts w:ascii="Arial" w:hAnsi="Arial"/>
          <w:b w:val="0"/>
          <w:caps w:val="0"/>
          <w:color w:val="0B1413"/>
          <w:sz w:val="36"/>
        </w:rPr>
        <w:t>1. Establish the missing Test boundary</w:t>
      </w:r>
    </w:p>
    <w:p>
      <w:pPr>
        <w:pStyle w:val="ListNumber"/>
        <w:spacing w:before="0" w:after="100" w:line="300" w:lineRule="auto"/>
        <w:ind w:left="389" w:hanging="259"/>
      </w:pPr>
      <w:r>
        <w:rPr>
          <w:rFonts w:ascii="Arial" w:hAnsi="Arial"/>
          <w:b w:val="0"/>
          <w:caps w:val="0"/>
          <w:color w:val="4B5A57"/>
          <w:sz w:val="23"/>
        </w:rPr>
        <w:t>Create the dedicated Test Supabase project and apply the approved application baseline, migrations, storage policies and Edge Functions.</w:t>
      </w:r>
    </w:p>
    <w:p>
      <w:pPr>
        <w:pStyle w:val="ListNumber"/>
        <w:spacing w:before="0" w:after="100" w:line="300" w:lineRule="auto"/>
        <w:ind w:left="389" w:hanging="259"/>
      </w:pPr>
      <w:r>
        <w:rPr>
          <w:rFonts w:ascii="Arial" w:hAnsi="Arial"/>
          <w:b w:val="0"/>
          <w:caps w:val="0"/>
          <w:color w:val="4B5A57"/>
          <w:sz w:val="23"/>
        </w:rPr>
        <w:t>Attach test.multideck.app and test.multideck.live to that project with Test-only public configuration and secrets.</w:t>
      </w:r>
    </w:p>
    <w:p>
      <w:pPr>
        <w:pStyle w:val="ListNumber"/>
        <w:spacing w:before="0" w:after="100" w:line="300" w:lineRule="auto"/>
        <w:ind w:left="389" w:hanging="259"/>
      </w:pPr>
      <w:r>
        <w:rPr>
          <w:rFonts w:ascii="Arial" w:hAnsi="Arial"/>
          <w:b w:val="0"/>
          <w:caps w:val="0"/>
          <w:color w:val="4B5A57"/>
          <w:sz w:val="23"/>
        </w:rPr>
        <w:t>Seed controlled test data and integration sandboxes. Do not clone Jenkar data or identities.</w:t>
      </w:r>
    </w:p>
    <w:p>
      <w:pPr>
        <w:keepNext/>
        <w:spacing w:before="360" w:after="140" w:line="264" w:lineRule="auto"/>
      </w:pPr>
      <w:r>
        <w:rPr>
          <w:rFonts w:ascii="Arial" w:hAnsi="Arial"/>
          <w:b w:val="0"/>
          <w:caps w:val="0"/>
          <w:color w:val="0B1413"/>
          <w:sz w:val="36"/>
        </w:rPr>
        <w:t>2. Complete the product surfaces</w:t>
      </w:r>
    </w:p>
    <w:p>
      <w:pPr>
        <w:pStyle w:val="ListNumber"/>
        <w:spacing w:before="0" w:after="100" w:line="300" w:lineRule="auto"/>
        <w:ind w:left="389" w:hanging="259"/>
      </w:pPr>
      <w:r>
        <w:rPr>
          <w:rFonts w:ascii="Arial" w:hAnsi="Arial"/>
          <w:b w:val="0"/>
          <w:caps w:val="0"/>
          <w:color w:val="4B5A57"/>
          <w:sz w:val="23"/>
        </w:rPr>
        <w:t>Configure dev.multideck.live and test.multideck.live DNS and deploy their branch-specific builds.</w:t>
      </w:r>
    </w:p>
    <w:p>
      <w:pPr>
        <w:pStyle w:val="ListNumber"/>
        <w:spacing w:before="0" w:after="100" w:line="300" w:lineRule="auto"/>
        <w:ind w:left="389" w:hanging="259"/>
      </w:pPr>
      <w:r>
        <w:rPr>
          <w:rFonts w:ascii="Arial" w:hAnsi="Arial"/>
          <w:b w:val="0"/>
          <w:caps w:val="0"/>
          <w:color w:val="4B5A57"/>
          <w:sz w:val="23"/>
        </w:rPr>
        <w:t>Provision jenkar.multideck.app against the existing Jenkar project and verify its exact customer hostname.</w:t>
      </w:r>
    </w:p>
    <w:p>
      <w:pPr>
        <w:pStyle w:val="ListNumber"/>
        <w:spacing w:before="0" w:after="100" w:line="300" w:lineRule="auto"/>
        <w:ind w:left="389" w:hanging="259"/>
      </w:pPr>
      <w:r>
        <w:rPr>
          <w:rFonts w:ascii="Arial" w:hAnsi="Arial"/>
          <w:b w:val="0"/>
          <w:caps w:val="0"/>
          <w:color w:val="4B5A57"/>
          <w:sz w:val="23"/>
        </w:rPr>
        <w:t>Keep the App and Live build configuration separate per environment, even where they share that environment’s Supabase project.</w:t>
      </w:r>
    </w:p>
    <w:p>
      <w:pPr>
        <w:keepNext/>
        <w:spacing w:before="360" w:after="140" w:line="264" w:lineRule="auto"/>
      </w:pPr>
      <w:r>
        <w:rPr>
          <w:rFonts w:ascii="Arial" w:hAnsi="Arial"/>
          <w:b w:val="0"/>
          <w:caps w:val="0"/>
          <w:color w:val="0B1413"/>
          <w:sz w:val="36"/>
        </w:rPr>
        <w:t>3. Repair Cloud provisioning</w:t>
      </w:r>
    </w:p>
    <w:p>
      <w:pPr>
        <w:pStyle w:val="ListNumber"/>
        <w:spacing w:before="0" w:after="100" w:line="300" w:lineRule="auto"/>
        <w:ind w:left="389" w:hanging="259"/>
      </w:pPr>
      <w:r>
        <w:rPr>
          <w:rFonts w:ascii="Arial" w:hAnsi="Arial"/>
          <w:b w:val="0"/>
          <w:caps w:val="0"/>
          <w:color w:val="4B5A57"/>
          <w:sz w:val="23"/>
        </w:rPr>
        <w:t>Maintain the deployed guided setup schema, setup steps, provider connection records and safe verification API in the live Cloud project.</w:t>
      </w:r>
    </w:p>
    <w:p>
      <w:pPr>
        <w:pStyle w:val="ListNumber"/>
        <w:spacing w:before="0" w:after="100" w:line="300" w:lineRule="auto"/>
        <w:ind w:left="389" w:hanging="259"/>
      </w:pPr>
      <w:r>
        <w:rPr>
          <w:rFonts w:ascii="Arial" w:hAnsi="Arial"/>
          <w:b w:val="0"/>
          <w:caps w:val="0"/>
          <w:color w:val="4B5A57"/>
          <w:sz w:val="23"/>
        </w:rPr>
        <w:t>Classify Test as a platform environment when it is created; retain Dev as a platform environment and Jenkar as the customer tenant. Do not bill or provision Dev or Test as customers.</w:t>
      </w:r>
    </w:p>
    <w:p>
      <w:pPr>
        <w:pStyle w:val="ListNumber"/>
        <w:spacing w:before="0" w:after="100" w:line="300" w:lineRule="auto"/>
        <w:ind w:left="389" w:hanging="259"/>
      </w:pPr>
      <w:r>
        <w:rPr>
          <w:rFonts w:ascii="Arial" w:hAnsi="Arial"/>
          <w:b w:val="0"/>
          <w:caps w:val="0"/>
          <w:color w:val="4B5A57"/>
          <w:sz w:val="23"/>
        </w:rPr>
        <w:t>Use the completed Dev adoption pattern for existing resources; use normal provisioning only for new customer tenants.</w:t>
      </w:r>
    </w:p>
    <w:tbl>
      <w:tblPr>
        <w:tblW w:type="dxa" w:w="9820"/>
        <w:jc w:val="left"/>
        <w:tblLayout w:type="fixed"/>
        <w:tblLook w:firstColumn="1" w:firstRow="1" w:lastColumn="0" w:lastRow="0" w:noHBand="0" w:noVBand="1" w:val="04A0"/>
      </w:tblPr>
      <w:tblGrid>
        <w:gridCol w:w="9820"/>
      </w:tblGrid>
      <w:tr>
        <w:tc>
          <w:tcPr>
            <w:tcW w:type="dxa" w:w="9820"/>
            <w:shd w:fill="075D57"/>
            <w:tcMar>
              <w:top w:w="150" w:type="dxa"/>
              <w:start w:w="220" w:type="dxa"/>
              <w:bottom w:w="150" w:type="dxa"/>
              <w:end w:w="220" w:type="dxa"/>
            </w:tcMar>
          </w:tcPr>
          <w:p/>
          <w:p>
            <w:pPr>
              <w:spacing w:before="0" w:after="60" w:line="240" w:lineRule="auto"/>
            </w:pPr>
            <w:r>
              <w:rPr>
                <w:rFonts w:ascii="Arial" w:hAnsi="Arial"/>
                <w:b/>
                <w:caps/>
                <w:color w:val="FFFFFF"/>
                <w:sz w:val="20"/>
              </w:rPr>
              <w:t>CONTROL-PLANE RULE</w:t>
            </w:r>
          </w:p>
          <w:p>
            <w:pPr>
              <w:spacing w:before="0" w:after="0" w:line="300" w:lineRule="auto"/>
            </w:pPr>
            <w:r>
              <w:rPr>
                <w:rFonts w:ascii="Arial" w:hAnsi="Arial"/>
                <w:b w:val="0"/>
                <w:caps w:val="0"/>
                <w:color w:val="FFFFFF"/>
                <w:sz w:val="23"/>
              </w:rPr>
              <w:t>A green health check alone is not provisioning evidence. Cloud must show the project, deployment, hostname, baseline and verification state for each system.</w:t>
            </w:r>
          </w:p>
        </w:tc>
      </w:tr>
    </w:tbl>
    <w:p>
      <w:pPr>
        <w:spacing w:after="20"/>
      </w:pPr>
    </w:p>
    <w:p>
      <w:pPr>
        <w:keepNext/>
        <w:spacing w:before="0" w:after="120" w:line="240" w:lineRule="auto"/>
      </w:pPr>
      <w:r>
        <w:rPr>
          <w:rFonts w:ascii="Arial" w:hAnsi="Arial"/>
          <w:b/>
          <w:caps/>
          <w:color w:val="0E7D74"/>
          <w:sz w:val="20"/>
        </w:rPr>
        <w:t>DELIVERY PLAN</w:t>
      </w:r>
    </w:p>
    <w:p>
      <w:pPr>
        <w:spacing w:before="0" w:after="200" w:line="259" w:lineRule="auto"/>
      </w:pPr>
      <w:r>
        <w:rPr>
          <w:rFonts w:ascii="Arial" w:hAnsi="Arial"/>
          <w:b w:val="0"/>
          <w:caps w:val="0"/>
          <w:color w:val="0B1413"/>
          <w:sz w:val="58"/>
        </w:rPr>
        <w:t>A staged route to reliable releases</w:t>
      </w:r>
    </w:p>
    <w:tbl>
      <w:tblPr>
        <w:tblW w:type="dxa" w:w="9820"/>
        <w:jc w:val="left"/>
        <w:tblLayout w:type="fixed"/>
        <w:tblLook w:firstColumn="1" w:firstRow="1" w:lastColumn="0" w:lastRow="0" w:noHBand="0" w:noVBand="1" w:val="04A0"/>
      </w:tblPr>
      <w:tblGrid>
        <w:gridCol w:w="1500"/>
        <w:gridCol w:w="3300"/>
        <w:gridCol w:w="2200"/>
        <w:gridCol w:w="2820"/>
      </w:tblGrid>
      <w:tr>
        <w:trPr>
          <w:tblHeader/>
        </w:trPr>
        <w:tc>
          <w:tcPr>
            <w:tcW w:type="dxa" w:w="1500"/>
            <w:shd w:fill="E7F1EE"/>
            <w:tcMar>
              <w:top w:w="120" w:type="dxa"/>
              <w:start w:w="140" w:type="dxa"/>
              <w:bottom w:w="120" w:type="dxa"/>
              <w:end w:w="140" w:type="dxa"/>
            </w:tcMar>
            <w:tcBorders>
              <w:top w:val="single" w:sz="6" w:color="D8E3E0"/>
              <w:left w:val="single" w:sz="6" w:color="D8E3E0"/>
              <w:bottom w:val="single" w:sz="6" w:color="D8E3E0"/>
              <w:right w:val="single" w:sz="6" w:color="D8E3E0"/>
            </w:tcBorders>
            <w:vAlign w:val="center"/>
          </w:tcPr>
          <w:p>
            <w:pPr>
              <w:spacing w:before="0" w:after="0" w:line="252" w:lineRule="auto"/>
            </w:pPr>
            <w:r>
              <w:rPr>
                <w:rFonts w:ascii="Arial" w:hAnsi="Arial"/>
                <w:b/>
                <w:caps w:val="0"/>
                <w:color w:val="0E7D74"/>
                <w:sz w:val="21"/>
              </w:rPr>
              <w:t>Phase</w:t>
            </w:r>
          </w:p>
        </w:tc>
        <w:tc>
          <w:tcPr>
            <w:tcW w:type="dxa" w:w="3300"/>
            <w:shd w:fill="E7F1EE"/>
            <w:tcMar>
              <w:top w:w="120" w:type="dxa"/>
              <w:start w:w="140" w:type="dxa"/>
              <w:bottom w:w="120" w:type="dxa"/>
              <w:end w:w="140" w:type="dxa"/>
            </w:tcMar>
            <w:tcBorders>
              <w:top w:val="single" w:sz="6" w:color="D8E3E0"/>
              <w:left w:val="single" w:sz="6" w:color="D8E3E0"/>
              <w:bottom w:val="single" w:sz="6" w:color="D8E3E0"/>
              <w:right w:val="single" w:sz="6" w:color="D8E3E0"/>
            </w:tcBorders>
            <w:vAlign w:val="center"/>
          </w:tcPr>
          <w:p>
            <w:pPr>
              <w:spacing w:before="0" w:after="0" w:line="252" w:lineRule="auto"/>
            </w:pPr>
            <w:r>
              <w:rPr>
                <w:rFonts w:ascii="Arial" w:hAnsi="Arial"/>
                <w:b/>
                <w:caps w:val="0"/>
                <w:color w:val="0E7D74"/>
                <w:sz w:val="21"/>
              </w:rPr>
              <w:t>Outcome</w:t>
            </w:r>
          </w:p>
        </w:tc>
        <w:tc>
          <w:tcPr>
            <w:tcW w:type="dxa" w:w="2200"/>
            <w:shd w:fill="E7F1EE"/>
            <w:tcMar>
              <w:top w:w="120" w:type="dxa"/>
              <w:start w:w="140" w:type="dxa"/>
              <w:bottom w:w="120" w:type="dxa"/>
              <w:end w:w="140" w:type="dxa"/>
            </w:tcMar>
            <w:tcBorders>
              <w:top w:val="single" w:sz="6" w:color="D8E3E0"/>
              <w:left w:val="single" w:sz="6" w:color="D8E3E0"/>
              <w:bottom w:val="single" w:sz="6" w:color="D8E3E0"/>
              <w:right w:val="single" w:sz="6" w:color="D8E3E0"/>
            </w:tcBorders>
            <w:vAlign w:val="center"/>
          </w:tcPr>
          <w:p>
            <w:pPr>
              <w:spacing w:before="0" w:after="0" w:line="252" w:lineRule="auto"/>
            </w:pPr>
            <w:r>
              <w:rPr>
                <w:rFonts w:ascii="Arial" w:hAnsi="Arial"/>
                <w:b/>
                <w:caps w:val="0"/>
                <w:color w:val="0E7D74"/>
                <w:sz w:val="21"/>
              </w:rPr>
              <w:t>Accountable role</w:t>
            </w:r>
          </w:p>
        </w:tc>
        <w:tc>
          <w:tcPr>
            <w:tcW w:type="dxa" w:w="2820"/>
            <w:shd w:fill="E7F1EE"/>
            <w:tcMar>
              <w:top w:w="120" w:type="dxa"/>
              <w:start w:w="140" w:type="dxa"/>
              <w:bottom w:w="120" w:type="dxa"/>
              <w:end w:w="140" w:type="dxa"/>
            </w:tcMar>
            <w:tcBorders>
              <w:top w:val="single" w:sz="6" w:color="D8E3E0"/>
              <w:left w:val="single" w:sz="6" w:color="D8E3E0"/>
              <w:bottom w:val="single" w:sz="6" w:color="D8E3E0"/>
              <w:right w:val="single" w:sz="6" w:color="D8E3E0"/>
            </w:tcBorders>
            <w:vAlign w:val="center"/>
          </w:tcPr>
          <w:p>
            <w:pPr>
              <w:spacing w:before="0" w:after="0" w:line="252" w:lineRule="auto"/>
            </w:pPr>
            <w:r>
              <w:rPr>
                <w:rFonts w:ascii="Arial" w:hAnsi="Arial"/>
                <w:b/>
                <w:caps w:val="0"/>
                <w:color w:val="0E7D74"/>
                <w:sz w:val="21"/>
              </w:rPr>
              <w:t>Exit check</w:t>
            </w:r>
          </w:p>
        </w:tc>
      </w:tr>
      <w:tr>
        <w:tc>
          <w:tcPr>
            <w:tcW w:type="dxa" w:w="15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caps w:val="0"/>
                <w:color w:val="0B1413"/>
                <w:sz w:val="20"/>
              </w:rPr>
              <w:t>0. Freeze the model</w:t>
            </w:r>
          </w:p>
        </w:tc>
        <w:tc>
          <w:tcPr>
            <w:tcW w:type="dxa" w:w="33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Document Dev, Test, Jenkar and Cloud as separate system types.</w:t>
            </w:r>
          </w:p>
        </w:tc>
        <w:tc>
          <w:tcPr>
            <w:tcW w:type="dxa" w:w="22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Product + platform</w:t>
            </w:r>
          </w:p>
        </w:tc>
        <w:tc>
          <w:tcPr>
            <w:tcW w:type="dxa" w:w="282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No ambiguity over which hostname or project owns a change.</w:t>
            </w:r>
          </w:p>
        </w:tc>
      </w:tr>
      <w:tr>
        <w:tc>
          <w:tcPr>
            <w:tcW w:type="dxa" w:w="15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caps w:val="0"/>
                <w:color w:val="0B1413"/>
                <w:sz w:val="20"/>
              </w:rPr>
              <w:t>1. Isolate Test</w:t>
            </w:r>
          </w:p>
        </w:tc>
        <w:tc>
          <w:tcPr>
            <w:tcW w:type="dxa" w:w="33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Dedicated Test project, App and Live deployments, DNS and sandbox data.</w:t>
            </w:r>
          </w:p>
        </w:tc>
        <w:tc>
          <w:tcPr>
            <w:tcW w:type="dxa" w:w="22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Platform engineering</w:t>
            </w:r>
          </w:p>
        </w:tc>
        <w:tc>
          <w:tcPr>
            <w:tcW w:type="dxa" w:w="282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Test can operate without reaching Dev or Jenkar resources.</w:t>
            </w:r>
          </w:p>
        </w:tc>
      </w:tr>
      <w:tr>
        <w:tc>
          <w:tcPr>
            <w:tcW w:type="dxa" w:w="15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caps w:val="0"/>
                <w:color w:val="0B1413"/>
                <w:sz w:val="20"/>
              </w:rPr>
              <w:t>2. Complete Jenkar App</w:t>
            </w:r>
          </w:p>
        </w:tc>
        <w:tc>
          <w:tcPr>
            <w:tcW w:type="dxa" w:w="33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Jenkar operator workspace is deployed on the existing Jenkar project.</w:t>
            </w:r>
          </w:p>
        </w:tc>
        <w:tc>
          <w:tcPr>
            <w:tcW w:type="dxa" w:w="22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Platform + App</w:t>
            </w:r>
          </w:p>
        </w:tc>
        <w:tc>
          <w:tcPr>
            <w:tcW w:type="dxa" w:w="282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jenkar.multideck.app signs in and cannot access other projects.</w:t>
            </w:r>
          </w:p>
        </w:tc>
      </w:tr>
      <w:tr>
        <w:tc>
          <w:tcPr>
            <w:tcW w:type="dxa" w:w="15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caps w:val="0"/>
                <w:color w:val="0B1413"/>
                <w:sz w:val="20"/>
              </w:rPr>
              <w:t>3. Enable Cloud setup</w:t>
            </w:r>
          </w:p>
        </w:tc>
        <w:tc>
          <w:tcPr>
            <w:tcW w:type="dxa" w:w="33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Guided setup data model, adoption path and environment/tenant classification are live for Dev.</w:t>
            </w:r>
          </w:p>
        </w:tc>
        <w:tc>
          <w:tcPr>
            <w:tcW w:type="dxa" w:w="22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Cloud engineering</w:t>
            </w:r>
          </w:p>
        </w:tc>
        <w:tc>
          <w:tcPr>
            <w:tcW w:type="dxa" w:w="282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Completed: Cloud now shows Dev evidence instead of the generic accounting settings error.</w:t>
            </w:r>
          </w:p>
        </w:tc>
      </w:tr>
      <w:tr>
        <w:tc>
          <w:tcPr>
            <w:tcW w:type="dxa" w:w="15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caps w:val="0"/>
                <w:color w:val="0B1413"/>
                <w:sz w:val="20"/>
              </w:rPr>
              <w:t>4. Prove the release gate</w:t>
            </w:r>
          </w:p>
        </w:tc>
        <w:tc>
          <w:tcPr>
            <w:tcW w:type="dxa" w:w="33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One feature passes Dev then Test before Jenkar release.</w:t>
            </w:r>
          </w:p>
        </w:tc>
        <w:tc>
          <w:tcPr>
            <w:tcW w:type="dxa" w:w="22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Delivery lead</w:t>
            </w:r>
          </w:p>
        </w:tc>
        <w:tc>
          <w:tcPr>
            <w:tcW w:type="dxa" w:w="282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Recorded acceptance evidence and clean rollback path.</w:t>
            </w:r>
          </w:p>
        </w:tc>
      </w:tr>
    </w:tbl>
    <w:p>
      <w:pPr>
        <w:spacing w:after="40"/>
      </w:pPr>
    </w:p>
    <w:p>
      <w:pPr>
        <w:keepNext/>
        <w:spacing w:before="360" w:after="140" w:line="264" w:lineRule="auto"/>
      </w:pPr>
      <w:r>
        <w:rPr>
          <w:rFonts w:ascii="Arial" w:hAnsi="Arial"/>
          <w:b w:val="0"/>
          <w:caps w:val="0"/>
          <w:color w:val="0B1413"/>
          <w:sz w:val="36"/>
        </w:rPr>
        <w:t>Release acceptance gates</w:t>
      </w:r>
    </w:p>
    <w:p>
      <w:pPr>
        <w:pStyle w:val="ListBullet"/>
        <w:spacing w:before="0" w:after="80" w:line="300" w:lineRule="auto"/>
        <w:ind w:left="346" w:hanging="230"/>
      </w:pPr>
      <w:r>
        <w:rPr>
          <w:rFonts w:ascii="Arial" w:hAnsi="Arial"/>
          <w:b w:val="0"/>
          <w:caps w:val="0"/>
          <w:color w:val="4B5A57"/>
          <w:sz w:val="23"/>
        </w:rPr>
        <w:t>The same feature build is healthy on both Dev product surfaces.</w:t>
      </w:r>
    </w:p>
    <w:p>
      <w:pPr>
        <w:pStyle w:val="ListBullet"/>
        <w:spacing w:before="0" w:after="80" w:line="300" w:lineRule="auto"/>
        <w:ind w:left="346" w:hanging="230"/>
      </w:pPr>
      <w:r>
        <w:rPr>
          <w:rFonts w:ascii="Arial" w:hAnsi="Arial"/>
          <w:b w:val="0"/>
          <w:caps w:val="0"/>
          <w:color w:val="4B5A57"/>
          <w:sz w:val="23"/>
        </w:rPr>
        <w:t>Test has passed functional, permission, integration, language and right-to-left checks against its own project.</w:t>
      </w:r>
    </w:p>
    <w:p>
      <w:pPr>
        <w:pStyle w:val="ListBullet"/>
        <w:spacing w:before="0" w:after="80" w:line="300" w:lineRule="auto"/>
        <w:ind w:left="346" w:hanging="230"/>
      </w:pPr>
      <w:r>
        <w:rPr>
          <w:rFonts w:ascii="Arial" w:hAnsi="Arial"/>
          <w:b w:val="0"/>
          <w:caps w:val="0"/>
          <w:color w:val="4B5A57"/>
          <w:sz w:val="23"/>
        </w:rPr>
        <w:t>Cloud shows an approved deployment and health evidence for the target Jenkar system.</w:t>
      </w:r>
    </w:p>
    <w:p>
      <w:pPr>
        <w:pStyle w:val="ListBullet"/>
        <w:spacing w:before="0" w:after="80" w:line="300" w:lineRule="auto"/>
        <w:ind w:left="346" w:hanging="230"/>
      </w:pPr>
      <w:r>
        <w:rPr>
          <w:rFonts w:ascii="Arial" w:hAnsi="Arial"/>
          <w:b w:val="0"/>
          <w:caps w:val="0"/>
          <w:color w:val="4B5A57"/>
          <w:sz w:val="23"/>
        </w:rPr>
        <w:t>The Jenkar release uses only Jenkar configuration and has a tested rollback route.</w:t>
      </w:r>
    </w:p>
    <w:p>
      <w:pPr>
        <w:keepNext/>
        <w:spacing w:before="360" w:after="140" w:line="264" w:lineRule="auto"/>
      </w:pPr>
      <w:r>
        <w:rPr>
          <w:rFonts w:ascii="Arial" w:hAnsi="Arial"/>
          <w:b w:val="0"/>
          <w:caps w:val="0"/>
          <w:color w:val="0B1413"/>
          <w:sz w:val="36"/>
        </w:rPr>
        <w:t>First proof case: Accounting</w:t>
      </w:r>
    </w:p>
    <w:p>
      <w:pPr>
        <w:spacing w:before="0" w:after="200" w:line="324" w:lineRule="auto"/>
      </w:pPr>
      <w:r>
        <w:rPr>
          <w:rFonts w:ascii="Arial" w:hAnsi="Arial"/>
          <w:b w:val="0"/>
          <w:caps w:val="0"/>
          <w:color w:val="4B5A57"/>
          <w:sz w:val="24"/>
        </w:rPr>
        <w:t>Use the Accounting settings route as the first end-to-end proof. It now opens against the Dev setup model, records provider connection metadata only, and keeps ERPNext and Sage 50 secrets inside the Dev project. Repeat the same proof in the new Test project before allowing a Jenkar release.</w:t>
      </w:r>
    </w:p>
    <w:p>
      <w:pPr>
        <w:keepNext/>
        <w:spacing w:before="0" w:after="120" w:line="240" w:lineRule="auto"/>
      </w:pPr>
      <w:r>
        <w:rPr>
          <w:rFonts w:ascii="Arial" w:hAnsi="Arial"/>
          <w:b/>
          <w:caps/>
          <w:color w:val="0E7D74"/>
          <w:sz w:val="20"/>
        </w:rPr>
        <w:t>NEXT DECISIONS</w:t>
      </w:r>
    </w:p>
    <w:p>
      <w:pPr>
        <w:spacing w:before="0" w:after="200" w:line="259" w:lineRule="auto"/>
      </w:pPr>
      <w:r>
        <w:rPr>
          <w:rFonts w:ascii="Arial" w:hAnsi="Arial"/>
          <w:b w:val="0"/>
          <w:caps w:val="0"/>
          <w:color w:val="0B1413"/>
          <w:sz w:val="58"/>
        </w:rPr>
        <w:t>What we need to authorise</w:t>
      </w:r>
    </w:p>
    <w:p>
      <w:pPr>
        <w:spacing w:before="0" w:after="280" w:line="324" w:lineRule="auto"/>
      </w:pPr>
      <w:r>
        <w:rPr>
          <w:rFonts w:ascii="Arial" w:hAnsi="Arial"/>
          <w:b w:val="0"/>
          <w:caps w:val="0"/>
          <w:color w:val="4B5A57"/>
          <w:sz w:val="24"/>
        </w:rPr>
        <w:t>The remaining work changes cloud projects, deployment configuration and DNS. It should be carried out deliberately, in this order, with the existing systems adopted rather than rebuilt.</w:t>
      </w:r>
    </w:p>
    <w:tbl>
      <w:tblPr>
        <w:tblW w:type="dxa" w:w="9820"/>
        <w:jc w:val="left"/>
        <w:tblLayout w:type="fixed"/>
        <w:tblLook w:firstColumn="1" w:firstRow="1" w:lastColumn="0" w:lastRow="0" w:noHBand="0" w:noVBand="1" w:val="04A0"/>
      </w:tblPr>
      <w:tblGrid>
        <w:gridCol w:w="2900"/>
        <w:gridCol w:w="6920"/>
      </w:tblGrid>
      <w:tr>
        <w:trPr>
          <w:tblHeader/>
        </w:trPr>
        <w:tc>
          <w:tcPr>
            <w:tcW w:type="dxa" w:w="2900"/>
            <w:shd w:fill="E7F1EE"/>
            <w:tcMar>
              <w:top w:w="120" w:type="dxa"/>
              <w:start w:w="140" w:type="dxa"/>
              <w:bottom w:w="120" w:type="dxa"/>
              <w:end w:w="140" w:type="dxa"/>
            </w:tcMar>
            <w:tcBorders>
              <w:top w:val="single" w:sz="6" w:color="D8E3E0"/>
              <w:left w:val="single" w:sz="6" w:color="D8E3E0"/>
              <w:bottom w:val="single" w:sz="6" w:color="D8E3E0"/>
              <w:right w:val="single" w:sz="6" w:color="D8E3E0"/>
            </w:tcBorders>
            <w:vAlign w:val="center"/>
          </w:tcPr>
          <w:p>
            <w:pPr>
              <w:spacing w:before="0" w:after="0" w:line="252" w:lineRule="auto"/>
            </w:pPr>
            <w:r>
              <w:rPr>
                <w:rFonts w:ascii="Arial" w:hAnsi="Arial"/>
                <w:b/>
                <w:caps w:val="0"/>
                <w:color w:val="0E7D74"/>
                <w:sz w:val="21"/>
              </w:rPr>
              <w:t>Decision</w:t>
            </w:r>
          </w:p>
        </w:tc>
        <w:tc>
          <w:tcPr>
            <w:tcW w:type="dxa" w:w="6920"/>
            <w:shd w:fill="E7F1EE"/>
            <w:tcMar>
              <w:top w:w="120" w:type="dxa"/>
              <w:start w:w="140" w:type="dxa"/>
              <w:bottom w:w="120" w:type="dxa"/>
              <w:end w:w="140" w:type="dxa"/>
            </w:tcMar>
            <w:tcBorders>
              <w:top w:val="single" w:sz="6" w:color="D8E3E0"/>
              <w:left w:val="single" w:sz="6" w:color="D8E3E0"/>
              <w:bottom w:val="single" w:sz="6" w:color="D8E3E0"/>
              <w:right w:val="single" w:sz="6" w:color="D8E3E0"/>
            </w:tcBorders>
            <w:vAlign w:val="center"/>
          </w:tcPr>
          <w:p>
            <w:pPr>
              <w:spacing w:before="0" w:after="0" w:line="252" w:lineRule="auto"/>
            </w:pPr>
            <w:r>
              <w:rPr>
                <w:rFonts w:ascii="Arial" w:hAnsi="Arial"/>
                <w:b/>
                <w:caps w:val="0"/>
                <w:color w:val="0E7D74"/>
                <w:sz w:val="21"/>
              </w:rPr>
              <w:t>Recommendation</w:t>
            </w:r>
          </w:p>
        </w:tc>
      </w:tr>
      <w:tr>
        <w:tc>
          <w:tcPr>
            <w:tcW w:type="dxa" w:w="29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caps w:val="0"/>
                <w:color w:val="0B1413"/>
                <w:sz w:val="20"/>
              </w:rPr>
              <w:t>Development project</w:t>
            </w:r>
          </w:p>
        </w:tc>
        <w:tc>
          <w:tcPr>
            <w:tcW w:type="dxa" w:w="692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Keep the existing Development project as Dev. This is now recorded as a platform environment in Cloud.</w:t>
            </w:r>
          </w:p>
        </w:tc>
      </w:tr>
      <w:tr>
        <w:tc>
          <w:tcPr>
            <w:tcW w:type="dxa" w:w="29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caps w:val="0"/>
                <w:color w:val="0B1413"/>
                <w:sz w:val="20"/>
              </w:rPr>
              <w:t>Test project</w:t>
            </w:r>
          </w:p>
        </w:tc>
        <w:tc>
          <w:tcPr>
            <w:tcW w:type="dxa" w:w="692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Create a new, separate project. Do not reuse Dev or Jenkar.</w:t>
            </w:r>
          </w:p>
        </w:tc>
      </w:tr>
      <w:tr>
        <w:tc>
          <w:tcPr>
            <w:tcW w:type="dxa" w:w="29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caps w:val="0"/>
                <w:color w:val="0B1413"/>
                <w:sz w:val="20"/>
              </w:rPr>
              <w:t>Jenkar project</w:t>
            </w:r>
          </w:p>
        </w:tc>
        <w:tc>
          <w:tcPr>
            <w:tcW w:type="dxa" w:w="692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Keep the existing Jenkar project. Attach both Jenkar App and Jenkar Live to it after verification.</w:t>
            </w:r>
          </w:p>
        </w:tc>
      </w:tr>
      <w:tr>
        <w:tc>
          <w:tcPr>
            <w:tcW w:type="dxa" w:w="29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caps w:val="0"/>
                <w:color w:val="0B1413"/>
                <w:sz w:val="20"/>
              </w:rPr>
              <w:t>Cloud data model</w:t>
            </w:r>
          </w:p>
        </w:tc>
        <w:tc>
          <w:tcPr>
            <w:tcW w:type="dxa" w:w="692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Keep the explicit platform-environment versus customer-tenant classification now deployed for Dev adoption and new provisioning.</w:t>
            </w:r>
          </w:p>
        </w:tc>
      </w:tr>
      <w:tr>
        <w:tc>
          <w:tcPr>
            <w:tcW w:type="dxa" w:w="290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caps w:val="0"/>
                <w:color w:val="0B1413"/>
                <w:sz w:val="20"/>
              </w:rPr>
              <w:t>Provider connections</w:t>
            </w:r>
          </w:p>
        </w:tc>
        <w:tc>
          <w:tcPr>
            <w:tcW w:type="dxa" w:w="6920"/>
            <w:shd w:fill="F5F8F7"/>
            <w:tcMar>
              <w:top w:w="110" w:type="dxa"/>
              <w:start w:w="130" w:type="dxa"/>
              <w:bottom w:w="110" w:type="dxa"/>
              <w:end w:w="130" w:type="dxa"/>
            </w:tcMar>
            <w:tcBorders>
              <w:top w:val="single" w:sz="6" w:color="D8E3E0"/>
              <w:left w:val="single" w:sz="6" w:color="D8E3E0"/>
              <w:bottom w:val="single" w:sz="6" w:color="D8E3E0"/>
              <w:right w:val="single" w:sz="6" w:color="D8E3E0"/>
            </w:tcBorders>
            <w:vAlign w:val="center"/>
          </w:tcPr>
          <w:p>
            <w:pPr>
              <w:spacing w:before="0" w:after="0" w:line="276" w:lineRule="auto"/>
            </w:pPr>
            <w:r>
              <w:rPr>
                <w:rFonts w:ascii="Arial" w:hAnsi="Arial"/>
                <w:b w:val="0"/>
                <w:caps w:val="0"/>
                <w:color w:val="4B5A57"/>
                <w:sz w:val="20"/>
              </w:rPr>
              <w:t>Use sandbox ERPNext and Sage 50/Hyperext settings in Dev and Test. Store only safe status in Cloud.</w:t>
            </w:r>
          </w:p>
        </w:tc>
      </w:tr>
    </w:tbl>
    <w:p>
      <w:pPr>
        <w:spacing w:after="40"/>
      </w:pPr>
    </w:p>
    <w:tbl>
      <w:tblPr>
        <w:tblW w:type="dxa" w:w="9820"/>
        <w:jc w:val="left"/>
        <w:tblLayout w:type="fixed"/>
        <w:tblLook w:firstColumn="1" w:firstRow="1" w:lastColumn="0" w:lastRow="0" w:noHBand="0" w:noVBand="1" w:val="04A0"/>
      </w:tblPr>
      <w:tblGrid>
        <w:gridCol w:w="9820"/>
      </w:tblGrid>
      <w:tr>
        <w:tc>
          <w:tcPr>
            <w:tcW w:type="dxa" w:w="9820"/>
            <w:shd w:fill="075D57"/>
            <w:tcMar>
              <w:top w:w="150" w:type="dxa"/>
              <w:start w:w="220" w:type="dxa"/>
              <w:bottom w:w="150" w:type="dxa"/>
              <w:end w:w="220" w:type="dxa"/>
            </w:tcMar>
          </w:tcPr>
          <w:p/>
          <w:p>
            <w:pPr>
              <w:spacing w:before="0" w:after="60" w:line="240" w:lineRule="auto"/>
            </w:pPr>
            <w:r>
              <w:rPr>
                <w:rFonts w:ascii="Arial" w:hAnsi="Arial"/>
                <w:b/>
                <w:caps/>
                <w:color w:val="FFFFFF"/>
                <w:sz w:val="20"/>
              </w:rPr>
              <w:t>RECOMMENDED NEXT STEP</w:t>
            </w:r>
          </w:p>
          <w:p>
            <w:pPr>
              <w:spacing w:before="0" w:after="0" w:line="300" w:lineRule="auto"/>
            </w:pPr>
            <w:r>
              <w:rPr>
                <w:rFonts w:ascii="Arial" w:hAnsi="Arial"/>
                <w:b w:val="0"/>
                <w:caps w:val="0"/>
                <w:color w:val="FFFFFF"/>
                <w:sz w:val="23"/>
              </w:rPr>
              <w:t>Create the isolated Test project and its two hostnames first. Then prove the accounting route in Dev and Test before releasing it to Jenkar.</w:t>
            </w:r>
          </w:p>
        </w:tc>
      </w:tr>
    </w:tbl>
    <w:p>
      <w:pPr>
        <w:spacing w:after="20"/>
      </w:pPr>
    </w:p>
    <w:p>
      <w:pPr>
        <w:keepNext/>
        <w:spacing w:before="360" w:after="140" w:line="264" w:lineRule="auto"/>
      </w:pPr>
      <w:r>
        <w:rPr>
          <w:rFonts w:ascii="Arial" w:hAnsi="Arial"/>
          <w:b w:val="0"/>
          <w:caps w:val="0"/>
          <w:color w:val="0B1413"/>
          <w:sz w:val="36"/>
        </w:rPr>
        <w:t>Audit scope and assumptions</w:t>
      </w:r>
    </w:p>
    <w:p>
      <w:pPr>
        <w:pStyle w:val="ListBullet"/>
        <w:spacing w:before="0" w:after="80" w:line="300" w:lineRule="auto"/>
        <w:ind w:left="346" w:hanging="230"/>
      </w:pPr>
      <w:r>
        <w:rPr>
          <w:rFonts w:ascii="Arial" w:hAnsi="Arial"/>
          <w:b w:val="0"/>
          <w:caps w:val="0"/>
          <w:color w:val="4B5A57"/>
          <w:sz w:val="23"/>
        </w:rPr>
        <w:t>This brief is based on the 26 August 2026 audit plus the completed Dev adoption changes to the live Cloud project and Cloud API.</w:t>
      </w:r>
    </w:p>
    <w:p>
      <w:pPr>
        <w:pStyle w:val="ListBullet"/>
        <w:spacing w:before="0" w:after="80" w:line="300" w:lineRule="auto"/>
        <w:ind w:left="346" w:hanging="230"/>
      </w:pPr>
      <w:r>
        <w:rPr>
          <w:rFonts w:ascii="Arial" w:hAnsi="Arial"/>
          <w:b w:val="0"/>
          <w:caps w:val="0"/>
          <w:color w:val="4B5A57"/>
          <w:sz w:val="23"/>
        </w:rPr>
        <w:t>A reachable route is not treated as proof of correct Auth, provider secret, migration or tenant-isolation configuration.</w:t>
      </w:r>
    </w:p>
    <w:p>
      <w:pPr>
        <w:pStyle w:val="ListBullet"/>
        <w:spacing w:before="0" w:after="80" w:line="300" w:lineRule="auto"/>
        <w:ind w:left="346" w:hanging="230"/>
      </w:pPr>
      <w:r>
        <w:rPr>
          <w:rFonts w:ascii="Arial" w:hAnsi="Arial"/>
          <w:b w:val="0"/>
          <w:caps w:val="0"/>
          <w:color w:val="4B5A57"/>
          <w:sz w:val="23"/>
        </w:rPr>
        <w:t>The completed adoption changes recorded safe identifiers, status, checklist and roster evidence only. No provider credentials, tenant data, Auth users, DNS records or deployments were copied or recreated.</w:t>
      </w:r>
    </w:p>
    <w:sectPr w:rsidR="00FC693F" w:rsidRPr="0006063C" w:rsidSect="00034616">
      <w:headerReference w:type="default" r:id="rId10"/>
      <w:footerReference w:type="default" r:id="rId11"/>
      <w:pgSz w:w="11906" w:h="16838"/>
      <w:pgMar w:top="880" w:right="1040" w:bottom="840" w:left="1040" w:header="360" w:footer="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820"/>
      <w:jc w:val="left"/>
      <w:tblLayout w:type="fixed"/>
      <w:tblLook w:firstColumn="1" w:firstRow="1" w:lastColumn="0" w:lastRow="0" w:noHBand="0" w:noVBand="1" w:val="04A0"/>
    </w:tblPr>
    <w:tblGrid>
      <w:gridCol w:w="7350"/>
      <w:gridCol w:w="2470"/>
    </w:tblGrid>
    <w:tr>
      <w:tc>
        <w:tcPr>
          <w:tcW w:type="dxa" w:w="7350"/>
          <w:tcMar>
            <w:top w:w="0" w:type="dxa"/>
            <w:start w:w="0" w:type="dxa"/>
            <w:bottom w:w="0" w:type="dxa"/>
            <w:end w:w="0" w:type="dxa"/>
          </w:tcMar>
        </w:tcPr>
        <w:p>
          <w:pPr>
            <w:spacing w:before="0" w:after="0" w:line="240" w:lineRule="auto"/>
          </w:pPr>
          <w:r>
            <w:rPr>
              <w:rFonts w:ascii="Arial" w:hAnsi="Arial"/>
              <w:b w:val="0"/>
              <w:caps/>
              <w:color w:val="4B5A57"/>
              <w:sz w:val="17"/>
            </w:rPr>
            <w:t>MULTIDECK | ENVIRONMENT READINESS BRIEF</w:t>
          </w:r>
        </w:p>
      </w:tc>
      <w:tc>
        <w:tcPr>
          <w:tcW w:type="dxa" w:w="2470"/>
          <w:tcMar>
            <w:top w:w="0" w:type="dxa"/>
            <w:start w:w="0" w:type="dxa"/>
            <w:bottom w:w="0" w:type="dxa"/>
            <w:end w:w="0" w:type="dxa"/>
          </w:tcMar>
        </w:tcPr>
        <w:p>
          <w:pPr>
            <w:spacing w:before="0" w:after="0" w:line="240" w:lineRule="auto"/>
            <w:jc w:val="right"/>
          </w:pPr>
          <w:r>
            <w:rPr>
              <w:rFonts w:ascii="Arial" w:hAnsi="Arial"/>
              <w:b w:val="0"/>
              <w:caps w:val="0"/>
              <w:color w:val="4B5A57"/>
              <w:sz w:val="17"/>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drawing>
        <wp:inline xmlns:a="http://schemas.openxmlformats.org/drawingml/2006/main" xmlns:pic="http://schemas.openxmlformats.org/drawingml/2006/picture">
          <wp:extent cx="1460500" cy="314233"/>
          <wp:docPr id="1" name="Picture 1"/>
          <wp:cNvGraphicFramePr>
            <a:graphicFrameLocks noChangeAspect="1"/>
          </wp:cNvGraphicFramePr>
          <a:graphic>
            <a:graphicData uri="http://schemas.openxmlformats.org/drawingml/2006/picture">
              <pic:pic>
                <pic:nvPicPr>
                  <pic:cNvPr id="0" name="multideck-full-logo.svg.png"/>
                  <pic:cNvPicPr/>
                </pic:nvPicPr>
                <pic:blipFill>
                  <a:blip r:embed="rId1"/>
                  <a:stretch>
                    <a:fillRect/>
                  </a:stretch>
                </pic:blipFill>
                <pic:spPr>
                  <a:xfrm>
                    <a:off x="0" y="0"/>
                    <a:ext cx="1460500" cy="314233"/>
                  </a:xfrm>
                  <a:prstGeom prst="rect"/>
                </pic:spPr>
              </pic:pic>
            </a:graphicData>
          </a:graphic>
        </wp:inline>
      </w:drawing>
    </w:r>
  </w:p>
  <w:p>
    <w:pPr>
      <w:spacing w:before="0" w:after="0" w:line="240" w:lineRule="auto"/>
      <w:pBdr>
        <w:bottom w:val="single" w:sz="6" w:space="10" w:color="D8E3E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Multideck Environment Readiness Brief</dc:title>
  <dc:subject>Dev, Test and Jenkar environment architecture</dc:subject>
  <dc:creator>Multideck</dc:creator>
  <cp:keywords/>
  <dc:description>generated by python-docx</dc:description>
  <cp:lastModifiedBy/>
  <cp:revision>1</cp:revision>
  <dcterms:created xsi:type="dcterms:W3CDTF">2013-12-23T23:15:00Z</dcterms:created>
  <dcterms:modified xsi:type="dcterms:W3CDTF">2013-12-23T23:15:00Z</dcterms:modified>
  <cp:category/>
</cp:coreProperties>
</file>