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907"/>
        <w:jc w:val="center"/>
        <w:tblLayout w:type="fixed"/>
        <w:tblLook w:firstColumn="1" w:firstRow="1" w:lastColumn="0" w:lastRow="0" w:noHBand="0" w:noVBand="1" w:val="04A0"/>
      </w:tblPr>
      <w:tblGrid>
        <w:gridCol w:w="11907"/>
      </w:tblGrid>
      <w:tr>
        <w:trPr>
          <w:trHeight w:val="15984" w:hRule="exact"/>
        </w:trPr>
        <w:tc>
          <w:tcPr>
            <w:tcW w:type="dxa" w:w="11906"/>
            <w:shd w:fill="E8F2F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type="dxa" w:w="11907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907"/>
            </w:tblGrid>
            <w:tr>
              <w:trPr>
                <w:trHeight w:val="2131" w:hRule="exact"/>
              </w:trPr>
              <w:tc>
                <w:tcPr>
                  <w:tcW w:type="dxa" w:w="11906"/>
                  <w:shd w:fill="14877D" w:val="clear"/>
                  <w:tcMar>
                    <w:top w:w="310" w:type="dxa"/>
                    <w:start w:w="1000" w:type="dxa"/>
                    <w:bottom w:w="260" w:type="dxa"/>
                    <w:end w:w="100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2514600" cy="816926"/>
                        <wp:docPr id="1" name="Picture 1" title="Multideck" descr="Multideck logo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logo-pane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600" cy="81692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keepNext w:val="0"/>
              <w:spacing w:before="1400" w:after="200" w:line="276" w:lineRule="auto"/>
              <w:ind w:left="1008" w:right="1008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62"/>
              </w:rPr>
              <w:t>Tenant isolation and releases</w:t>
            </w:r>
          </w:p>
          <w:p>
            <w:pPr>
              <w:keepNext w:val="0"/>
              <w:spacing w:before="0" w:after="3000" w:line="276" w:lineRule="auto"/>
              <w:ind w:left="1008" w:right="1008"/>
            </w:pPr>
            <w:r>
              <w:rPr>
                <w:rFonts w:ascii="Arial" w:hAnsi="Arial" w:eastAsia="Arial"/>
                <w:b w:val="0"/>
                <w:i w:val="0"/>
                <w:color w:val="52615F"/>
                <w:sz w:val="26"/>
              </w:rPr>
              <w:t>How Multideck keeps customer data separate while safely shipping one evolving platform.</w:t>
            </w:r>
          </w:p>
          <w:tbl>
            <w:tblPr>
              <w:tblW w:type="dxa" w:w="9525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525"/>
            </w:tblGrid>
            <w:tr>
              <w:tc>
                <w:tcPr>
                  <w:tcW w:type="dxa" w:w="9524"/>
                  <w:shd w:fill="FFFFFF" w:val="clear"/>
                  <w:tcMar>
                    <w:top w:w="210" w:type="dxa"/>
                    <w:start w:w="520" w:type="dxa"/>
                    <w:bottom w:w="200" w:type="dxa"/>
                    <w:end w:w="52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keepNext w:val="0"/>
                    <w:spacing w:before="0" w:after="0" w:line="264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14877D"/>
                      <w:sz w:val="18"/>
                    </w:rPr>
                    <w:t>WHAT THIS GUIDE DOES</w:t>
                  </w:r>
                </w:p>
                <w:p>
                  <w:pPr>
                    <w:pStyle w:val="ListBullet"/>
                    <w:keepNext w:val="0"/>
                    <w:spacing w:before="60" w:after="60" w:line="259" w:lineRule="auto"/>
                    <w:ind w:left="369" w:hanging="142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52615F"/>
                      <w:sz w:val="20"/>
                    </w:rPr>
                    <w:t>Explains 25 pricing methods in operator language.</w:t>
                  </w:r>
                </w:p>
                <w:p>
                  <w:pPr>
                    <w:pStyle w:val="ListBullet"/>
                    <w:keepNext w:val="0"/>
                    <w:spacing w:before="60" w:after="60" w:line="259" w:lineRule="auto"/>
                    <w:ind w:left="369" w:hanging="142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52615F"/>
                      <w:sz w:val="20"/>
                    </w:rPr>
                    <w:t>Shows required inputs, calculation behaviour and safeguards.</w:t>
                  </w:r>
                </w:p>
                <w:p>
                  <w:pPr>
                    <w:pStyle w:val="ListBullet"/>
                    <w:keepNext w:val="0"/>
                    <w:spacing w:before="60" w:after="60" w:line="259" w:lineRule="auto"/>
                    <w:ind w:left="369" w:hanging="142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52615F"/>
                      <w:sz w:val="20"/>
                    </w:rPr>
                    <w:t>Keeps supplier cost and customer sell rules independent by design.</w:t>
                  </w:r>
                </w:p>
                <w:p>
                  <w:pPr>
                    <w:pStyle w:val="ListBullet"/>
                    <w:keepNext w:val="0"/>
                    <w:spacing w:before="60" w:after="60" w:line="259" w:lineRule="auto"/>
                    <w:ind w:left="369" w:hanging="142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52615F"/>
                      <w:sz w:val="20"/>
                    </w:rPr>
                    <w:t>Provides a common vocabulary for future freight-calculator design.</w:t>
                  </w:r>
                </w:p>
              </w:tc>
            </w:tr>
          </w:tbl>
          <w:p/>
          <w:p>
            <w:pPr>
              <w:keepNext w:val="0"/>
              <w:spacing w:before="1240" w:after="0" w:line="276" w:lineRule="auto"/>
              <w:ind w:left="1008"/>
            </w:pPr>
            <w:r>
              <w:rPr>
                <w:rFonts w:ascii="Arial" w:hAnsi="Arial" w:eastAsia="Arial"/>
                <w:b w:val="0"/>
                <w:i w:val="0"/>
                <w:color w:val="71807E"/>
                <w:sz w:val="17"/>
              </w:rPr>
              <w:t>Multideck product reference  |  July 2026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0" w:right="0" w:bottom="0" w:left="0" w:header="360" w:footer="403" w:gutter="0"/>
          <w:cols w:space="720"/>
          <w:docGrid w:linePitch="360"/>
        </w:sectPr>
      </w:pPr>
    </w:p>
    <w:p>
      <w:pPr>
        <w:pStyle w:val="GuideEyebrow"/>
      </w:pPr>
      <w:r>
        <w:t>TENANT OPERATING MODEL</w:t>
      </w:r>
    </w:p>
    <w:p>
      <w:pPr>
        <w:pStyle w:val="GuideHeading1"/>
      </w:pPr>
      <w:r>
        <w:t>Each customer stays isolated.</w:t>
        <w:br/>
        <w:t>Every release stays controlled.</w:t>
      </w:r>
    </w:p>
    <w:p>
      <w:pPr>
        <w:pStyle w:val="GuideBody"/>
      </w:pPr>
      <w:r>
        <w:t>Every Multideck customer receives its own dedicated Supabase project. Their application connects only to that project; customer projects never connect to one another. The shared platform evolves through a private Multideck release service, not through customer action.</w:t>
      </w:r>
    </w:p>
    <w:tbl>
      <w:tblPr>
        <w:tblW w:type="dxa" w:w="9695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371"/>
      </w:tblGrid>
      <w:tr>
        <w:tc>
          <w:tcPr>
            <w:tcW w:type="dxa" w:w="2324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3F7F6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00645E"/>
                <w:sz w:val="17"/>
              </w:rPr>
              <w:t>Customer data</w:t>
            </w:r>
          </w:p>
        </w:tc>
        <w:tc>
          <w:tcPr>
            <w:tcW w:type="dxa" w:w="7370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3F7F6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7"/>
              </w:rPr>
              <w:t>Each tenant has its own Supabase project, users, storage and records.</w:t>
            </w:r>
          </w:p>
        </w:tc>
      </w:tr>
      <w:tr>
        <w:tc>
          <w:tcPr>
            <w:tcW w:type="dxa" w:w="2324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3F7F6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00645E"/>
                <w:sz w:val="17"/>
              </w:rPr>
              <w:t>Customer app</w:t>
            </w:r>
          </w:p>
        </w:tc>
        <w:tc>
          <w:tcPr>
            <w:tcW w:type="dxa" w:w="7370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3F7F6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7"/>
              </w:rPr>
              <w:t>ABC Freight can only connect to ABC Freight’s project; the same is true for every tenant.</w:t>
            </w:r>
          </w:p>
        </w:tc>
      </w:tr>
      <w:tr>
        <w:tc>
          <w:tcPr>
            <w:tcW w:type="dxa" w:w="2324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3F7F6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00645E"/>
                <w:sz w:val="17"/>
              </w:rPr>
              <w:t>Tenant configuration</w:t>
            </w:r>
          </w:p>
        </w:tc>
        <w:tc>
          <w:tcPr>
            <w:tcW w:type="dxa" w:w="7370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3F7F6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7"/>
              </w:rPr>
              <w:t>Customer-specific fields, views and workflows remain in place when the core product updates.</w:t>
            </w:r>
          </w:p>
        </w:tc>
      </w:tr>
      <w:tr>
        <w:tc>
          <w:tcPr>
            <w:tcW w:type="dxa" w:w="2324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3F7F6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00645E"/>
                <w:sz w:val="17"/>
              </w:rPr>
              <w:t>Private operations</w:t>
            </w:r>
          </w:p>
        </w:tc>
        <w:tc>
          <w:tcPr>
            <w:tcW w:type="dxa" w:w="7370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3F7F6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7"/>
              </w:rPr>
              <w:t>Multideck’s release service applies approved migrations; credentials never reach a browser.</w:t>
            </w:r>
          </w:p>
        </w:tc>
      </w:tr>
    </w:tbl>
    <w:p>
      <w:pPr>
        <w:pStyle w:val="GuideHeading2"/>
      </w:pPr>
      <w:r>
        <w:t>What stays separate</w:t>
      </w:r>
    </w:p>
    <w:p>
      <w:pPr>
        <w:pStyle w:val="GuideBody"/>
      </w:pPr>
      <w:r>
        <w:t>The customer-facing app, authentication, storage and business data remain inside the customer’s own tenant. Only the private release service has operational access for approved platform changes.</w:t>
      </w:r>
    </w:p>
    <w:p>
      <w:r>
        <w:br w:type="page"/>
      </w:r>
    </w:p>
    <w:p>
      <w:pPr>
        <w:pStyle w:val="GuideEyebrow"/>
      </w:pPr>
      <w:r>
        <w:t>CONTROLLED RELEASES</w:t>
      </w:r>
    </w:p>
    <w:p>
      <w:pPr>
        <w:pStyle w:val="GuideHeading1"/>
      </w:pPr>
      <w:r>
        <w:t>One release, safely applied</w:t>
        <w:br/>
        <w:t>to every tenant</w:t>
      </w:r>
    </w:p>
    <w:tbl>
      <w:tblPr>
        <w:tblW w:type="dxa" w:w="9695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4592"/>
        <w:gridCol w:w="4309"/>
      </w:tblGrid>
      <w:tr>
        <w:trPr>
          <w:tblHeader w:val="true"/>
        </w:trPr>
        <w:tc>
          <w:tcPr>
            <w:tcW w:type="dxa" w:w="794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E8F2F0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00645E"/>
                <w:sz w:val="16"/>
              </w:rPr>
              <w:t>Step</w:t>
            </w:r>
          </w:p>
        </w:tc>
        <w:tc>
          <w:tcPr>
            <w:tcW w:type="dxa" w:w="4592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E8F2F0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00645E"/>
                <w:sz w:val="16"/>
              </w:rPr>
              <w:t>Release activity</w:t>
            </w:r>
          </w:p>
        </w:tc>
        <w:tc>
          <w:tcPr>
            <w:tcW w:type="dxa" w:w="4309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E8F2F0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00645E"/>
                <w:sz w:val="16"/>
              </w:rPr>
              <w:t>Outcome</w:t>
            </w:r>
          </w:p>
        </w:tc>
      </w:tr>
      <w:tr>
        <w:tc>
          <w:tcPr>
            <w:tcW w:type="dxa" w:w="794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52615F"/>
                <w:sz w:val="16"/>
              </w:rPr>
              <w:t>01</w:t>
            </w:r>
          </w:p>
        </w:tc>
        <w:tc>
          <w:tcPr>
            <w:tcW w:type="dxa" w:w="4592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6"/>
              </w:rPr>
              <w:t>Build and test</w:t>
            </w:r>
          </w:p>
        </w:tc>
        <w:tc>
          <w:tcPr>
            <w:tcW w:type="dxa" w:w="4309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6"/>
              </w:rPr>
              <w:t>Feature and migration are validated before release.</w:t>
            </w:r>
          </w:p>
        </w:tc>
      </w:tr>
      <w:tr>
        <w:tc>
          <w:tcPr>
            <w:tcW w:type="dxa" w:w="794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52615F"/>
                <w:sz w:val="16"/>
              </w:rPr>
              <w:t>02</w:t>
            </w:r>
          </w:p>
        </w:tc>
        <w:tc>
          <w:tcPr>
            <w:tcW w:type="dxa" w:w="4592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6"/>
              </w:rPr>
              <w:t>Approve release</w:t>
            </w:r>
          </w:p>
        </w:tc>
        <w:tc>
          <w:tcPr>
            <w:tcW w:type="dxa" w:w="4309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6"/>
              </w:rPr>
              <w:t>An operator starts the controlled rollout.</w:t>
            </w:r>
          </w:p>
        </w:tc>
      </w:tr>
      <w:tr>
        <w:tc>
          <w:tcPr>
            <w:tcW w:type="dxa" w:w="794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52615F"/>
                <w:sz w:val="16"/>
              </w:rPr>
              <w:t>03</w:t>
            </w:r>
          </w:p>
        </w:tc>
        <w:tc>
          <w:tcPr>
            <w:tcW w:type="dxa" w:w="4592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6"/>
              </w:rPr>
              <w:t>Canary tenant</w:t>
            </w:r>
          </w:p>
        </w:tc>
        <w:tc>
          <w:tcPr>
            <w:tcW w:type="dxa" w:w="4309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6"/>
              </w:rPr>
              <w:t>An internal tenant proves the change first.</w:t>
            </w:r>
          </w:p>
        </w:tc>
      </w:tr>
      <w:tr>
        <w:tc>
          <w:tcPr>
            <w:tcW w:type="dxa" w:w="794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52615F"/>
                <w:sz w:val="16"/>
              </w:rPr>
              <w:t>04</w:t>
            </w:r>
          </w:p>
        </w:tc>
        <w:tc>
          <w:tcPr>
            <w:tcW w:type="dxa" w:w="4592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6"/>
              </w:rPr>
              <w:t>Tenant rollout</w:t>
            </w:r>
          </w:p>
        </w:tc>
        <w:tc>
          <w:tcPr>
            <w:tcW w:type="dxa" w:w="4309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6"/>
              </w:rPr>
              <w:t>Each project is migrated, checked and recorded in sequence.</w:t>
            </w:r>
          </w:p>
        </w:tc>
      </w:tr>
      <w:tr>
        <w:tc>
          <w:tcPr>
            <w:tcW w:type="dxa" w:w="794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52615F"/>
                <w:sz w:val="16"/>
              </w:rPr>
              <w:t>05</w:t>
            </w:r>
          </w:p>
        </w:tc>
        <w:tc>
          <w:tcPr>
            <w:tcW w:type="dxa" w:w="4592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6"/>
              </w:rPr>
              <w:t>Deploy app</w:t>
            </w:r>
          </w:p>
        </w:tc>
        <w:tc>
          <w:tcPr>
            <w:tcW w:type="dxa" w:w="4309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6"/>
              </w:rPr>
              <w:t>The compatible Multideck version is deployed for that tenant.</w:t>
            </w:r>
          </w:p>
        </w:tc>
      </w:tr>
      <w:tr>
        <w:tc>
          <w:tcPr>
            <w:tcW w:type="dxa" w:w="794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52615F"/>
                <w:sz w:val="16"/>
              </w:rPr>
              <w:t>06</w:t>
            </w:r>
          </w:p>
        </w:tc>
        <w:tc>
          <w:tcPr>
            <w:tcW w:type="dxa" w:w="4592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6"/>
              </w:rPr>
              <w:t>Monitor and recover</w:t>
            </w:r>
          </w:p>
        </w:tc>
        <w:tc>
          <w:tcPr>
            <w:tcW w:type="dxa" w:w="4309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6"/>
              </w:rPr>
              <w:t>Failures pause only the affected tenant for safe retry.</w:t>
            </w:r>
          </w:p>
        </w:tc>
      </w:tr>
    </w:tbl>
    <w:sectPr w:rsidR="00FC693F" w:rsidRPr="0006063C" w:rsidSect="00034616">
      <w:headerReference w:type="default" r:id="rId16"/>
      <w:footerReference w:type="default" r:id="rId17"/>
      <w:pgSz w:w="11906" w:h="16838"/>
      <w:pgMar w:top="1872" w:right="1022" w:bottom="893" w:left="1022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865"/>
      <w:jc w:val="center"/>
      <w:tblLayout w:type="fixed"/>
      <w:tblLook w:firstColumn="1" w:firstRow="1" w:lastColumn="0" w:lastRow="0" w:noHBand="0" w:noVBand="1" w:val="04A0"/>
    </w:tblPr>
    <w:tblGrid>
      <w:gridCol w:w="7484"/>
      <w:gridCol w:w="2381"/>
    </w:tblGrid>
    <w:tr>
      <w:tc>
        <w:tcPr>
          <w:tcW w:type="dxa" w:w="7483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keepNext w:val="0"/>
            <w:spacing w:before="0" w:after="0" w:line="264" w:lineRule="auto"/>
          </w:pPr>
          <w:r>
            <w:rPr>
              <w:rFonts w:ascii="Arial" w:hAnsi="Arial" w:eastAsia="Arial"/>
              <w:b w:val="0"/>
              <w:i w:val="0"/>
              <w:color w:val="71807E"/>
              <w:sz w:val="16"/>
            </w:rPr>
            <w:t>MULTIDECK  |  CALCULATOR GUIDE</w:t>
          </w:r>
        </w:p>
      </w:tc>
      <w:tc>
        <w:tcPr>
          <w:tcW w:type="dxa" w:w="2381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71807E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865"/>
      <w:jc w:val="center"/>
      <w:tblLayout w:type="fixed"/>
      <w:tblLook w:firstColumn="1" w:firstRow="1" w:lastColumn="0" w:lastRow="0" w:noHBand="0" w:noVBand="1" w:val="04A0"/>
    </w:tblPr>
    <w:tblGrid>
      <w:gridCol w:w="7484"/>
      <w:gridCol w:w="2381"/>
    </w:tblGrid>
    <w:tr>
      <w:tc>
        <w:tcPr>
          <w:tcW w:type="dxa" w:w="7483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</w:tc>
      <w:tc>
        <w:tcPr>
          <w:tcW w:type="dxa" w:w="2381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71807E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865"/>
      <w:jc w:val="center"/>
      <w:tblLayout w:type="fixed"/>
      <w:tblLook w:firstColumn="1" w:firstRow="1" w:lastColumn="0" w:lastRow="0" w:noHBand="0" w:noVBand="1" w:val="04A0"/>
    </w:tblPr>
    <w:tblGrid>
      <w:gridCol w:w="7484"/>
      <w:gridCol w:w="2381"/>
    </w:tblGrid>
    <w:tr>
      <w:tc>
        <w:tcPr>
          <w:tcW w:type="dxa" w:w="7483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keepNext w:val="0"/>
            <w:spacing w:before="0" w:after="0" w:line="264" w:lineRule="auto"/>
          </w:pPr>
          <w:r>
            <w:rPr>
              <w:rFonts w:ascii="Arial" w:hAnsi="Arial" w:eastAsia="Arial"/>
              <w:b w:val="0"/>
              <w:i w:val="0"/>
              <w:color w:val="71807E"/>
              <w:sz w:val="16"/>
            </w:rPr>
            <w:t>MULTIDECK  |  CALCULATOR GUIDE</w:t>
          </w:r>
        </w:p>
      </w:tc>
      <w:tc>
        <w:tcPr>
          <w:tcW w:type="dxa" w:w="2381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71807E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80" w:line="240" w:lineRule="auto"/>
      <w:jc w:val="right"/>
      <w:pBdr>
        <w:bottom w:val="single" w:sz="4" w:space="7" w:color="CDDCD9"/>
      </w:pBdr>
    </w:pPr>
    <w:r>
      <w:drawing>
        <wp:inline xmlns:a="http://schemas.openxmlformats.org/drawingml/2006/main" xmlns:pic="http://schemas.openxmlformats.org/drawingml/2006/picture">
          <wp:extent cx="1627632" cy="411658"/>
          <wp:docPr id="1" name="Picture 1" title="Multideck" descr="Multidec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7632" cy="411658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80" w:line="240" w:lineRule="auto"/>
      <w:jc w:val="right"/>
      <w:pBdr>
        <w:bottom w:val="single" w:sz="4" w:space="7" w:color="CDDCD9"/>
      </w:pBdr>
    </w:pPr>
    <w:r>
      <w:drawing>
        <wp:inline xmlns:a="http://schemas.openxmlformats.org/drawingml/2006/main" xmlns:pic="http://schemas.openxmlformats.org/drawingml/2006/picture">
          <wp:extent cx="1627632" cy="411658"/>
          <wp:docPr id="1" name="Picture 1" title="Multideck" descr="Multidec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7632" cy="41165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 w:eastAsia="Arial"/>
      <w:color w:val="11181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Title">
    <w:name w:val="Guide Title"/>
    <w:pPr>
      <w:keepNext/>
      <w:spacing w:before="0" w:after="200" w:line="276" w:lineRule="auto"/>
    </w:pPr>
    <w:rPr>
      <w:rFonts w:ascii="Arial" w:hAnsi="Arial" w:eastAsia="Arial"/>
      <w:b w:val="0"/>
      <w:color w:val="111817"/>
      <w:sz w:val="52"/>
    </w:rPr>
  </w:style>
  <w:style w:type="paragraph" w:customStyle="1" w:styleId="GuideHeading1">
    <w:name w:val="Guide Heading 1"/>
    <w:pPr>
      <w:keepNext/>
      <w:spacing w:before="0" w:after="160" w:line="276" w:lineRule="auto"/>
    </w:pPr>
    <w:rPr>
      <w:rFonts w:ascii="Arial" w:hAnsi="Arial" w:eastAsia="Arial"/>
      <w:b w:val="0"/>
      <w:color w:val="111817"/>
      <w:sz w:val="42"/>
    </w:rPr>
  </w:style>
  <w:style w:type="paragraph" w:customStyle="1" w:styleId="GuideHeading2">
    <w:name w:val="Guide Heading 2"/>
    <w:pPr>
      <w:keepNext/>
      <w:spacing w:before="240" w:after="100" w:line="276" w:lineRule="auto"/>
    </w:pPr>
    <w:rPr>
      <w:rFonts w:ascii="Arial" w:hAnsi="Arial" w:eastAsia="Arial"/>
      <w:b w:val="0"/>
      <w:color w:val="111817"/>
      <w:sz w:val="28"/>
    </w:rPr>
  </w:style>
  <w:style w:type="paragraph" w:customStyle="1" w:styleId="GuideEyebrow">
    <w:name w:val="Guide Eyebrow"/>
    <w:pPr>
      <w:keepNext/>
      <w:spacing w:before="0" w:after="100" w:line="276" w:lineRule="auto"/>
    </w:pPr>
    <w:rPr>
      <w:rFonts w:ascii="Arial" w:hAnsi="Arial" w:eastAsia="Arial"/>
      <w:b w:val="0"/>
      <w:color w:val="14877D"/>
      <w:sz w:val="18"/>
    </w:rPr>
  </w:style>
  <w:style w:type="paragraph" w:customStyle="1" w:styleId="GuideLead">
    <w:name w:val="Guide Lead"/>
    <w:pPr>
      <w:keepNext w:val="0"/>
      <w:spacing w:before="0" w:after="240" w:line="276" w:lineRule="auto"/>
    </w:pPr>
    <w:rPr>
      <w:rFonts w:ascii="Arial" w:hAnsi="Arial" w:eastAsia="Arial"/>
      <w:b w:val="0"/>
      <w:color w:val="52615F"/>
      <w:sz w:val="25"/>
    </w:rPr>
  </w:style>
  <w:style w:type="paragraph" w:customStyle="1" w:styleId="GuideBody">
    <w:name w:val="Guide Body"/>
    <w:pPr>
      <w:keepNext w:val="0"/>
      <w:spacing w:before="0" w:after="140" w:line="276" w:lineRule="auto"/>
    </w:pPr>
    <w:rPr>
      <w:rFonts w:ascii="Arial" w:hAnsi="Arial" w:eastAsia="Arial"/>
      <w:b w:val="0"/>
      <w:color w:val="52615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eader" Target="header4.xml"/><Relationship Id="rId17" Type="http://schemas.openxmlformats.org/officeDocument/2006/relationships/footer" Target="footer4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Multideck Calculator Guide Template</dc:title>
  <dc:subject>Reusable Multideck pricing and product reference guide</dc:subject>
  <dc:creator>Multideck</dc:creator>
  <cp:keywords>Multideck, calculator, freight, pricing, guide, template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