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Commercial invoice working draft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TRADE INVOICE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d.document.fields.tradeInvoiceReference}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d.document.fields.invoiceDate}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PURCHASE ORDER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d.document.fields.purchaseOrder}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INCOTERMS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d.document.fields.incoterms}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COUNTRY OF EXPORT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d.document.fields.countryOfExport}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COUNTRY OF DESTINATION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d.document.fields.countryOfDestination}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Trade goods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020"/>
        <w:gridCol w:w="1077"/>
        <w:gridCol w:w="964"/>
        <w:gridCol w:w="1531"/>
        <w:gridCol w:w="1417"/>
        <w:gridCol w:w="1474"/>
      </w:tblGrid>
      <w:tr>
        <w:trPr>
          <w:tblHeader w:val="true"/>
          <w:cantSplit/>
        </w:trPr>
        <w:tc>
          <w:tcPr>
            <w:tcW w:type="dxa" w:w="272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020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96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HS code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 value</w:t>
            </w:r>
          </w:p>
        </w:tc>
        <w:tc>
          <w:tcPr>
            <w:tcW w:type="dxa" w:w="147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d.document.tradeLines[i].description}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d.document.tradeLines[i].quantity}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d.document.tradeLines[i].unit}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d.document.tradeLines[i].originCountry}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d.document.tradeLines[i].commodity}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d.document.tradeLines[i].unitPrice}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d.document.tradeLines[i].amount}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d.document.tradeLines[i+1]}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d.document.totals.net}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d.document.totals.tax}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d.document.totals.total}</w:t>
            </w:r>
          </w:p>
        </w:tc>
      </w:tr>
    </w:tbl>
    <w:p>
      <w:pPr>
        <w:pStyle w:val="Heading2"/>
        <w:spacing w:before="160" w:after="60"/>
      </w:pPr>
      <w:r>
        <w:t>Notes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invoice working draft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