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i w:val="0"/>
          <w:color w:val="292929"/>
          <w:sz w:val="46"/>
        </w:rPr>
        <w:t>CRM dev release report</w:t>
      </w:r>
    </w:p>
    <w:p>
      <w:pPr>
        <w:spacing w:after="200"/>
      </w:pPr>
      <w:r>
        <w:rPr>
          <w:rFonts w:ascii="Calibri" w:hAnsi="Calibri"/>
          <w:b/>
          <w:i w:val="0"/>
          <w:color w:val="2E766D"/>
          <w:sz w:val="26"/>
        </w:rPr>
        <w:t>Features added, replaced and moving forward</w:t>
      </w:r>
    </w:p>
    <w:tbl>
      <w:tblPr>
        <w:tblW w:type="dxa" w:w="9360"/>
        <w:jc w:val="center"/>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1700"/>
        <w:gridCol w:w="7660"/>
      </w:tblGrid>
      <w:tr>
        <w:tc>
          <w:tcPr>
            <w:tcW w:type="dxa" w:w="1700"/>
            <w:tcMar>
              <w:top w:w="80" w:type="dxa"/>
              <w:start w:w="120" w:type="dxa"/>
              <w:bottom w:w="80" w:type="dxa"/>
              <w:end w:w="120" w:type="dxa"/>
            </w:tcMar>
            <w:vAlign w:val="center"/>
          </w:tcPr>
          <w:p>
            <w:pPr>
              <w:spacing w:before="0" w:after="0" w:line="269" w:lineRule="auto"/>
              <w:jc w:val="left"/>
            </w:pPr>
            <w:r/>
            <w:r>
              <w:rPr>
                <w:rFonts w:ascii="Calibri" w:hAnsi="Calibri"/>
                <w:b/>
                <w:i w:val="0"/>
                <w:color w:val="6C7471"/>
                <w:sz w:val="16"/>
              </w:rPr>
              <w:t>ENVIRONMENT</w:t>
            </w:r>
          </w:p>
        </w:tc>
        <w:tc>
          <w:tcPr>
            <w:tcW w:type="dxa" w:w="7660"/>
            <w:tcMar>
              <w:top w:w="80" w:type="dxa"/>
              <w:start w:w="120" w:type="dxa"/>
              <w:bottom w:w="80" w:type="dxa"/>
              <w:end w:w="120" w:type="dxa"/>
            </w:tcMar>
            <w:vAlign w:val="center"/>
          </w:tcPr>
          <w:p>
            <w:pPr>
              <w:spacing w:before="0" w:after="0" w:line="269" w:lineRule="auto"/>
              <w:jc w:val="left"/>
            </w:pPr>
            <w:r/>
            <w:r>
              <w:rPr>
                <w:rFonts w:ascii="Calibri" w:hAnsi="Calibri"/>
                <w:b w:val="0"/>
                <w:i w:val="0"/>
                <w:color w:val="292929"/>
                <w:sz w:val="19"/>
              </w:rPr>
              <w:t>dev.multideck.app</w:t>
            </w:r>
          </w:p>
        </w:tc>
      </w:tr>
      <w:tr>
        <w:tc>
          <w:tcPr>
            <w:tcW w:type="dxa" w:w="1700"/>
            <w:tcMar>
              <w:top w:w="80" w:type="dxa"/>
              <w:start w:w="120" w:type="dxa"/>
              <w:bottom w:w="80" w:type="dxa"/>
              <w:end w:w="120" w:type="dxa"/>
            </w:tcMar>
            <w:vAlign w:val="center"/>
          </w:tcPr>
          <w:p>
            <w:pPr>
              <w:spacing w:before="0" w:after="0" w:line="269" w:lineRule="auto"/>
              <w:jc w:val="left"/>
            </w:pPr>
            <w:r/>
            <w:r>
              <w:rPr>
                <w:rFonts w:ascii="Calibri" w:hAnsi="Calibri"/>
                <w:b/>
                <w:i w:val="0"/>
                <w:color w:val="6C7471"/>
                <w:sz w:val="16"/>
              </w:rPr>
              <w:t>RELEASE BRANCH</w:t>
            </w:r>
          </w:p>
        </w:tc>
        <w:tc>
          <w:tcPr>
            <w:tcW w:type="dxa" w:w="7660"/>
            <w:tcMar>
              <w:top w:w="80" w:type="dxa"/>
              <w:start w:w="120" w:type="dxa"/>
              <w:bottom w:w="80" w:type="dxa"/>
              <w:end w:w="120" w:type="dxa"/>
            </w:tcMar>
            <w:vAlign w:val="center"/>
          </w:tcPr>
          <w:p>
            <w:pPr>
              <w:spacing w:before="0" w:after="0" w:line="269" w:lineRule="auto"/>
              <w:jc w:val="left"/>
            </w:pPr>
            <w:r/>
            <w:r>
              <w:rPr>
                <w:rFonts w:ascii="Calibri" w:hAnsi="Calibri"/>
                <w:b w:val="0"/>
                <w:i w:val="0"/>
                <w:color w:val="292929"/>
                <w:sz w:val="19"/>
              </w:rPr>
              <w:t>dev</w:t>
            </w:r>
          </w:p>
        </w:tc>
      </w:tr>
      <w:tr>
        <w:tc>
          <w:tcPr>
            <w:tcW w:type="dxa" w:w="1700"/>
            <w:tcMar>
              <w:top w:w="80" w:type="dxa"/>
              <w:start w:w="120" w:type="dxa"/>
              <w:bottom w:w="80" w:type="dxa"/>
              <w:end w:w="120" w:type="dxa"/>
            </w:tcMar>
            <w:vAlign w:val="center"/>
          </w:tcPr>
          <w:p>
            <w:pPr>
              <w:spacing w:before="0" w:after="0" w:line="269" w:lineRule="auto"/>
              <w:jc w:val="left"/>
            </w:pPr>
            <w:r/>
            <w:r>
              <w:rPr>
                <w:rFonts w:ascii="Calibri" w:hAnsi="Calibri"/>
                <w:b/>
                <w:i w:val="0"/>
                <w:color w:val="6C7471"/>
                <w:sz w:val="16"/>
              </w:rPr>
              <w:t>MERGE COMMIT</w:t>
            </w:r>
          </w:p>
        </w:tc>
        <w:tc>
          <w:tcPr>
            <w:tcW w:type="dxa" w:w="7660"/>
            <w:tcMar>
              <w:top w:w="80" w:type="dxa"/>
              <w:start w:w="120" w:type="dxa"/>
              <w:bottom w:w="80" w:type="dxa"/>
              <w:end w:w="120" w:type="dxa"/>
            </w:tcMar>
            <w:vAlign w:val="center"/>
          </w:tcPr>
          <w:p>
            <w:pPr>
              <w:spacing w:before="0" w:after="0" w:line="269" w:lineRule="auto"/>
              <w:jc w:val="left"/>
            </w:pPr>
            <w:r/>
            <w:r>
              <w:rPr>
                <w:rFonts w:ascii="Calibri" w:hAnsi="Calibri"/>
                <w:b w:val="0"/>
                <w:i w:val="0"/>
                <w:color w:val="292929"/>
                <w:sz w:val="19"/>
              </w:rPr>
              <w:t>77dbb0c</w:t>
            </w:r>
          </w:p>
        </w:tc>
      </w:tr>
      <w:tr>
        <w:tc>
          <w:tcPr>
            <w:tcW w:type="dxa" w:w="1700"/>
            <w:tcMar>
              <w:top w:w="80" w:type="dxa"/>
              <w:start w:w="120" w:type="dxa"/>
              <w:bottom w:w="80" w:type="dxa"/>
              <w:end w:w="120" w:type="dxa"/>
            </w:tcMar>
            <w:vAlign w:val="center"/>
          </w:tcPr>
          <w:p>
            <w:pPr>
              <w:spacing w:before="0" w:after="0" w:line="269" w:lineRule="auto"/>
              <w:jc w:val="left"/>
            </w:pPr>
            <w:r/>
            <w:r>
              <w:rPr>
                <w:rFonts w:ascii="Calibri" w:hAnsi="Calibri"/>
                <w:b/>
                <w:i w:val="0"/>
                <w:color w:val="6C7471"/>
                <w:sz w:val="16"/>
              </w:rPr>
              <w:t>SOURCE</w:t>
            </w:r>
          </w:p>
        </w:tc>
        <w:tc>
          <w:tcPr>
            <w:tcW w:type="dxa" w:w="7660"/>
            <w:tcMar>
              <w:top w:w="80" w:type="dxa"/>
              <w:start w:w="120" w:type="dxa"/>
              <w:bottom w:w="80" w:type="dxa"/>
              <w:end w:w="120" w:type="dxa"/>
            </w:tcMar>
            <w:vAlign w:val="center"/>
          </w:tcPr>
          <w:p>
            <w:pPr>
              <w:spacing w:before="0" w:after="0" w:line="269" w:lineRule="auto"/>
              <w:jc w:val="left"/>
            </w:pPr>
            <w:r/>
            <w:r>
              <w:rPr>
                <w:rFonts w:ascii="Calibri" w:hAnsi="Calibri"/>
                <w:b w:val="0"/>
                <w:i w:val="0"/>
                <w:color w:val="292929"/>
                <w:sz w:val="19"/>
              </w:rPr>
              <w:t>codex/CRM</w:t>
            </w:r>
          </w:p>
        </w:tc>
      </w:tr>
      <w:tr>
        <w:tc>
          <w:tcPr>
            <w:tcW w:type="dxa" w:w="1700"/>
            <w:tcMar>
              <w:top w:w="80" w:type="dxa"/>
              <w:start w:w="120" w:type="dxa"/>
              <w:bottom w:w="80" w:type="dxa"/>
              <w:end w:w="120" w:type="dxa"/>
            </w:tcMar>
            <w:vAlign w:val="center"/>
          </w:tcPr>
          <w:p>
            <w:pPr>
              <w:spacing w:before="0" w:after="0" w:line="269" w:lineRule="auto"/>
              <w:jc w:val="left"/>
            </w:pPr>
            <w:r/>
            <w:r>
              <w:rPr>
                <w:rFonts w:ascii="Calibri" w:hAnsi="Calibri"/>
                <w:b/>
                <w:i w:val="0"/>
                <w:color w:val="6C7471"/>
                <w:sz w:val="16"/>
              </w:rPr>
              <w:t>RELEASE STATE</w:t>
            </w:r>
          </w:p>
        </w:tc>
        <w:tc>
          <w:tcPr>
            <w:tcW w:type="dxa" w:w="7660"/>
            <w:tcMar>
              <w:top w:w="80" w:type="dxa"/>
              <w:start w:w="120" w:type="dxa"/>
              <w:bottom w:w="80" w:type="dxa"/>
              <w:end w:w="120" w:type="dxa"/>
            </w:tcMar>
            <w:vAlign w:val="center"/>
          </w:tcPr>
          <w:p>
            <w:pPr>
              <w:spacing w:before="0" w:after="0" w:line="269" w:lineRule="auto"/>
              <w:jc w:val="left"/>
            </w:pPr>
            <w:r/>
            <w:r>
              <w:rPr>
                <w:rFonts w:ascii="Calibri" w:hAnsi="Calibri"/>
                <w:b/>
                <w:i w:val="0"/>
                <w:color w:val="292929"/>
                <w:sz w:val="19"/>
              </w:rPr>
              <w:t>Frontend live; API deployment blocked</w:t>
            </w:r>
          </w:p>
        </w:tc>
      </w:tr>
    </w:tbl>
    <w:p>
      <w:pPr>
        <w:spacing w:before="80" w:after="160"/>
        <w:pBdr>
          <w:bottom w:val="single" w:sz="18" w:space="6" w:color="2E766D"/>
        </w:pBdr>
      </w:pPr>
    </w:p>
    <w:p>
      <w:pPr>
        <w:spacing w:after="160"/>
      </w:pPr>
      <w:r>
        <w:rPr>
          <w:rFonts w:ascii="Calibri" w:hAnsi="Calibri"/>
          <w:b w:val="0"/>
          <w:i w:val="0"/>
          <w:color w:val="292929"/>
          <w:sz w:val="19"/>
        </w:rPr>
        <w:t>The CRM branch has been merged into dev and the frontend is live in the dev workspace. This report separates shipped capability from replaced legacy behaviour and the remaining API deployment work.</w:t>
      </w:r>
    </w:p>
    <w:tbl>
      <w:tblPr>
        <w:tblW w:type="dxa" w:w="9360"/>
        <w:jc w:val="center"/>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3120"/>
        <w:gridCol w:w="3120"/>
        <w:gridCol w:w="3120"/>
      </w:tblGrid>
      <w:tr>
        <w:tc>
          <w:tcPr>
            <w:tcW w:type="dxa" w:w="3120"/>
            <w:tcMar>
              <w:top w:w="80" w:type="dxa"/>
              <w:start w:w="120" w:type="dxa"/>
              <w:bottom w:w="80" w:type="dxa"/>
              <w:end w:w="120" w:type="dxa"/>
            </w:tcMar>
            <w:vAlign w:val="center"/>
            <w:shd w:fill="E7F1EF"/>
          </w:tcPr>
          <w:p>
            <w:pPr>
              <w:spacing w:after="0"/>
              <w:jc w:val="center"/>
            </w:pPr>
            <w:r/>
            <w:r>
              <w:rPr>
                <w:rFonts w:ascii="Calibri" w:hAnsi="Calibri"/>
                <w:b/>
                <w:i w:val="0"/>
                <w:color w:val="214F49"/>
                <w:sz w:val="34"/>
              </w:rPr>
              <w:t>7</w:t>
            </w:r>
          </w:p>
          <w:p>
            <w:pPr>
              <w:spacing w:before="0" w:after="0"/>
              <w:jc w:val="center"/>
            </w:pPr>
            <w:r>
              <w:rPr>
                <w:rFonts w:ascii="Calibri" w:hAnsi="Calibri"/>
                <w:b/>
                <w:i w:val="0"/>
                <w:color w:val="6C7471"/>
                <w:sz w:val="15"/>
              </w:rPr>
              <w:t>ADDED</w:t>
            </w:r>
          </w:p>
        </w:tc>
        <w:tc>
          <w:tcPr>
            <w:tcW w:type="dxa" w:w="3120"/>
            <w:tcMar>
              <w:top w:w="80" w:type="dxa"/>
              <w:start w:w="120" w:type="dxa"/>
              <w:bottom w:w="80" w:type="dxa"/>
              <w:end w:w="120" w:type="dxa"/>
            </w:tcMar>
            <w:vAlign w:val="center"/>
            <w:shd w:fill="E7F1EF"/>
          </w:tcPr>
          <w:p>
            <w:pPr>
              <w:spacing w:after="0"/>
              <w:jc w:val="center"/>
            </w:pPr>
            <w:r/>
            <w:r>
              <w:rPr>
                <w:rFonts w:ascii="Calibri" w:hAnsi="Calibri"/>
                <w:b/>
                <w:i w:val="0"/>
                <w:color w:val="214F49"/>
                <w:sz w:val="34"/>
              </w:rPr>
              <w:t>4</w:t>
            </w:r>
          </w:p>
          <w:p>
            <w:pPr>
              <w:spacing w:before="0" w:after="0"/>
              <w:jc w:val="center"/>
            </w:pPr>
            <w:r>
              <w:rPr>
                <w:rFonts w:ascii="Calibri" w:hAnsi="Calibri"/>
                <w:b/>
                <w:i w:val="0"/>
                <w:color w:val="6C7471"/>
                <w:sz w:val="15"/>
              </w:rPr>
              <w:t>REPLACED</w:t>
            </w:r>
          </w:p>
        </w:tc>
        <w:tc>
          <w:tcPr>
            <w:tcW w:type="dxa" w:w="3120"/>
            <w:tcMar>
              <w:top w:w="80" w:type="dxa"/>
              <w:start w:w="120" w:type="dxa"/>
              <w:bottom w:w="80" w:type="dxa"/>
              <w:end w:w="120" w:type="dxa"/>
            </w:tcMar>
            <w:vAlign w:val="center"/>
            <w:shd w:fill="FFF3D8"/>
          </w:tcPr>
          <w:p>
            <w:pPr>
              <w:spacing w:after="0"/>
              <w:jc w:val="center"/>
            </w:pPr>
            <w:r/>
            <w:r>
              <w:rPr>
                <w:rFonts w:ascii="Calibri" w:hAnsi="Calibri"/>
                <w:b/>
                <w:i w:val="0"/>
                <w:color w:val="214F49"/>
                <w:sz w:val="34"/>
              </w:rPr>
              <w:t>3</w:t>
            </w:r>
          </w:p>
          <w:p>
            <w:pPr>
              <w:spacing w:before="0" w:after="0"/>
              <w:jc w:val="center"/>
            </w:pPr>
            <w:r>
              <w:rPr>
                <w:rFonts w:ascii="Calibri" w:hAnsi="Calibri"/>
                <w:b/>
                <w:i w:val="0"/>
                <w:color w:val="6C7471"/>
                <w:sz w:val="15"/>
              </w:rPr>
              <w:t>IN PROGRESS</w:t>
            </w:r>
          </w:p>
        </w:tc>
      </w:tr>
    </w:tbl>
    <w:p>
      <w:pPr>
        <w:spacing w:before="240" w:after="140"/>
      </w:pPr>
      <w:r>
        <w:rPr>
          <w:rFonts w:ascii="Calibri" w:hAnsi="Calibri"/>
          <w:b/>
          <w:i w:val="0"/>
          <w:color w:val="2E766D"/>
          <w:sz w:val="32"/>
        </w:rPr>
        <w:t>Feature movement</w:t>
      </w:r>
    </w:p>
    <w:tbl>
      <w:tblPr>
        <w:tblW w:type="dxa" w:w="9360"/>
        <w:jc w:val="center"/>
        <w:tblLayout w:type="fixed"/>
        <w:tblLook w:firstColumn="1" w:firstRow="1" w:lastColumn="0" w:lastRow="0" w:noHBand="0" w:noVBand="1" w:val="04A0"/>
        <w:tblInd w:w="120" w:type="dxa"/>
        <w:tblBorders>
          <w:top w:val="single" w:sz="6" w:color="D9E1DF"/>
          <w:left w:val="single" w:sz="6" w:color="D9E1DF"/>
          <w:bottom w:val="single" w:sz="6" w:color="D9E1DF"/>
          <w:right w:val="single" w:sz="6" w:color="D9E1DF"/>
          <w:insideH w:val="single" w:sz="6" w:color="D9E1DF"/>
          <w:insideV w:val="single" w:sz="6" w:color="D9E1DF"/>
        </w:tblBorders>
      </w:tblPr>
      <w:tblGrid>
        <w:gridCol w:w="1100"/>
        <w:gridCol w:w="2100"/>
        <w:gridCol w:w="4700"/>
        <w:gridCol w:w="1460"/>
      </w:tblGrid>
      <w:tr>
        <w:tc>
          <w:tcPr>
            <w:tcW w:type="dxa" w:w="1100"/>
            <w:tcMar>
              <w:top w:w="80" w:type="dxa"/>
              <w:start w:w="120" w:type="dxa"/>
              <w:bottom w:w="80" w:type="dxa"/>
              <w:end w:w="120" w:type="dxa"/>
            </w:tcMar>
            <w:vAlign w:val="center"/>
            <w:shd w:fill="214F49"/>
          </w:tcPr>
          <w:p>
            <w:pPr>
              <w:spacing w:before="0" w:after="0" w:line="269" w:lineRule="auto"/>
              <w:jc w:val="left"/>
            </w:pPr>
            <w:r/>
            <w:r>
              <w:rPr>
                <w:rFonts w:ascii="Calibri" w:hAnsi="Calibri"/>
                <w:b/>
                <w:i w:val="0"/>
                <w:color w:val="FFFFFF"/>
                <w:sz w:val="16"/>
              </w:rPr>
              <w:t>CHANGE</w:t>
            </w:r>
          </w:p>
        </w:tc>
        <w:tc>
          <w:tcPr>
            <w:tcW w:type="dxa" w:w="2100"/>
            <w:tcMar>
              <w:top w:w="80" w:type="dxa"/>
              <w:start w:w="120" w:type="dxa"/>
              <w:bottom w:w="80" w:type="dxa"/>
              <w:end w:w="120" w:type="dxa"/>
            </w:tcMar>
            <w:vAlign w:val="center"/>
            <w:shd w:fill="214F49"/>
          </w:tcPr>
          <w:p>
            <w:pPr>
              <w:spacing w:before="0" w:after="0" w:line="269" w:lineRule="auto"/>
              <w:jc w:val="left"/>
            </w:pPr>
            <w:r/>
            <w:r>
              <w:rPr>
                <w:rFonts w:ascii="Calibri" w:hAnsi="Calibri"/>
                <w:b/>
                <w:i w:val="0"/>
                <w:color w:val="FFFFFF"/>
                <w:sz w:val="16"/>
              </w:rPr>
              <w:t>FEATURE</w:t>
            </w:r>
          </w:p>
        </w:tc>
        <w:tc>
          <w:tcPr>
            <w:tcW w:type="dxa" w:w="4700"/>
            <w:tcMar>
              <w:top w:w="80" w:type="dxa"/>
              <w:start w:w="120" w:type="dxa"/>
              <w:bottom w:w="80" w:type="dxa"/>
              <w:end w:w="120" w:type="dxa"/>
            </w:tcMar>
            <w:vAlign w:val="center"/>
            <w:shd w:fill="214F49"/>
          </w:tcPr>
          <w:p>
            <w:pPr>
              <w:spacing w:before="0" w:after="0" w:line="269" w:lineRule="auto"/>
              <w:jc w:val="left"/>
            </w:pPr>
            <w:r/>
            <w:r>
              <w:rPr>
                <w:rFonts w:ascii="Calibri" w:hAnsi="Calibri"/>
                <w:b/>
                <w:i w:val="0"/>
                <w:color w:val="FFFFFF"/>
                <w:sz w:val="16"/>
              </w:rPr>
              <w:t>WHAT CHANGED</w:t>
            </w:r>
          </w:p>
        </w:tc>
        <w:tc>
          <w:tcPr>
            <w:tcW w:type="dxa" w:w="1460"/>
            <w:tcMar>
              <w:top w:w="80" w:type="dxa"/>
              <w:start w:w="120" w:type="dxa"/>
              <w:bottom w:w="80" w:type="dxa"/>
              <w:end w:w="120" w:type="dxa"/>
            </w:tcMar>
            <w:vAlign w:val="center"/>
            <w:shd w:fill="214F49"/>
          </w:tcPr>
          <w:p>
            <w:pPr>
              <w:spacing w:before="0" w:after="0" w:line="269" w:lineRule="auto"/>
              <w:jc w:val="left"/>
            </w:pPr>
            <w:r/>
            <w:r>
              <w:rPr>
                <w:rFonts w:ascii="Calibri" w:hAnsi="Calibri"/>
                <w:b/>
                <w:i w:val="0"/>
                <w:color w:val="FFFFFF"/>
                <w:sz w:val="16"/>
              </w:rPr>
              <w:t>STATE</w:t>
            </w:r>
          </w:p>
        </w:tc>
      </w:tr>
      <w:tr>
        <w:tc>
          <w:tcPr>
            <w:tcW w:type="dxa" w:w="1100"/>
            <w:shd w:fill="E7F1EF"/>
          </w:tcPr>
          <w:p>
            <w:pPr>
              <w:spacing w:before="0" w:after="0" w:line="269" w:lineRule="auto"/>
              <w:jc w:val="left"/>
            </w:pPr>
            <w:r/>
            <w:r>
              <w:rPr>
                <w:rFonts w:ascii="Calibri" w:hAnsi="Calibri"/>
                <w:b/>
                <w:i w:val="0"/>
                <w:color w:val="214F49"/>
                <w:sz w:val="15"/>
              </w:rPr>
              <w:t>ADDED</w:t>
            </w:r>
          </w:p>
        </w:tc>
        <w:tc>
          <w:tcPr>
            <w:tcW w:type="dxa" w:w="2100"/>
          </w:tcPr>
          <w:p>
            <w:pPr>
              <w:spacing w:before="0" w:after="0" w:line="269" w:lineRule="auto"/>
              <w:jc w:val="left"/>
            </w:pPr>
            <w:r/>
            <w:r>
              <w:rPr>
                <w:rFonts w:ascii="Calibri" w:hAnsi="Calibri"/>
                <w:b/>
                <w:i w:val="0"/>
                <w:color w:val="292929"/>
                <w:sz w:val="16"/>
              </w:rPr>
              <w:t>Live CRM records</w:t>
            </w:r>
          </w:p>
        </w:tc>
        <w:tc>
          <w:tcPr>
            <w:tcW w:type="dxa" w:w="4700"/>
          </w:tcPr>
          <w:p>
            <w:pPr>
              <w:spacing w:before="0" w:after="0" w:line="269" w:lineRule="auto"/>
              <w:jc w:val="left"/>
            </w:pPr>
            <w:r/>
            <w:r>
              <w:rPr>
                <w:rFonts w:ascii="Calibri" w:hAnsi="Calibri"/>
                <w:b w:val="0"/>
                <w:i w:val="0"/>
                <w:color w:val="292929"/>
                <w:sz w:val="16"/>
              </w:rPr>
              <w:t>Authenticated lead list, detail, owner, activity and company context now load from the tenant API.</w:t>
            </w:r>
          </w:p>
        </w:tc>
        <w:tc>
          <w:tcPr>
            <w:tcW w:type="dxa" w:w="1460"/>
          </w:tcPr>
          <w:p>
            <w:pPr>
              <w:spacing w:before="0" w:after="0" w:line="269" w:lineRule="auto"/>
              <w:jc w:val="left"/>
            </w:pPr>
            <w:r/>
            <w:r>
              <w:rPr>
                <w:rFonts w:ascii="Calibri" w:hAnsi="Calibri"/>
                <w:b/>
                <w:i w:val="0"/>
                <w:color w:val="6C7471"/>
                <w:sz w:val="16"/>
              </w:rPr>
              <w:t>API blocked</w:t>
            </w:r>
          </w:p>
        </w:tc>
      </w:tr>
      <w:tr>
        <w:tc>
          <w:tcPr>
            <w:tcW w:type="dxa" w:w="1100"/>
            <w:shd w:fill="E7F1EF"/>
          </w:tcPr>
          <w:p>
            <w:pPr>
              <w:spacing w:before="0" w:after="0" w:line="269" w:lineRule="auto"/>
              <w:jc w:val="left"/>
            </w:pPr>
            <w:r/>
            <w:r>
              <w:rPr>
                <w:rFonts w:ascii="Calibri" w:hAnsi="Calibri"/>
                <w:b/>
                <w:i w:val="0"/>
                <w:color w:val="214F49"/>
                <w:sz w:val="15"/>
              </w:rPr>
              <w:t>ADDED</w:t>
            </w:r>
          </w:p>
        </w:tc>
        <w:tc>
          <w:tcPr>
            <w:tcW w:type="dxa" w:w="2100"/>
            <w:shd w:fill="F4F6F5"/>
          </w:tcPr>
          <w:p>
            <w:pPr>
              <w:spacing w:before="0" w:after="0" w:line="269" w:lineRule="auto"/>
              <w:jc w:val="left"/>
            </w:pPr>
            <w:r/>
            <w:r>
              <w:rPr>
                <w:rFonts w:ascii="Calibri" w:hAnsi="Calibri"/>
                <w:b/>
                <w:i w:val="0"/>
                <w:color w:val="292929"/>
                <w:sz w:val="16"/>
              </w:rPr>
              <w:t>Deals and lead conversion</w:t>
            </w:r>
          </w:p>
        </w:tc>
        <w:tc>
          <w:tcPr>
            <w:tcW w:type="dxa" w:w="4700"/>
            <w:shd w:fill="F4F6F5"/>
          </w:tcPr>
          <w:p>
            <w:pPr>
              <w:spacing w:before="0" w:after="0" w:line="269" w:lineRule="auto"/>
              <w:jc w:val="left"/>
            </w:pPr>
            <w:r/>
            <w:r>
              <w:rPr>
                <w:rFonts w:ascii="Calibri" w:hAnsi="Calibri"/>
                <w:b w:val="0"/>
                <w:i w:val="0"/>
                <w:color w:val="292929"/>
                <w:sz w:val="16"/>
              </w:rPr>
              <w:t>Leads can be converted with pipeline and stage selection; deals can move between tenant stages.</w:t>
            </w:r>
          </w:p>
        </w:tc>
        <w:tc>
          <w:tcPr>
            <w:tcW w:type="dxa" w:w="1460"/>
            <w:shd w:fill="F4F6F5"/>
          </w:tcPr>
          <w:p>
            <w:pPr>
              <w:spacing w:before="0" w:after="0" w:line="269" w:lineRule="auto"/>
              <w:jc w:val="left"/>
            </w:pPr>
            <w:r/>
            <w:r>
              <w:rPr>
                <w:rFonts w:ascii="Calibri" w:hAnsi="Calibri"/>
                <w:b/>
                <w:i w:val="0"/>
                <w:color w:val="6C7471"/>
                <w:sz w:val="16"/>
              </w:rPr>
              <w:t>API blocked</w:t>
            </w:r>
          </w:p>
        </w:tc>
      </w:tr>
      <w:tr>
        <w:tc>
          <w:tcPr>
            <w:tcW w:type="dxa" w:w="1100"/>
            <w:shd w:fill="E7F1EF"/>
          </w:tcPr>
          <w:p>
            <w:pPr>
              <w:spacing w:before="0" w:after="0" w:line="269" w:lineRule="auto"/>
              <w:jc w:val="left"/>
            </w:pPr>
            <w:r/>
            <w:r>
              <w:rPr>
                <w:rFonts w:ascii="Calibri" w:hAnsi="Calibri"/>
                <w:b/>
                <w:i w:val="0"/>
                <w:color w:val="214F49"/>
                <w:sz w:val="15"/>
              </w:rPr>
              <w:t>ADDED</w:t>
            </w:r>
          </w:p>
        </w:tc>
        <w:tc>
          <w:tcPr>
            <w:tcW w:type="dxa" w:w="2100"/>
          </w:tcPr>
          <w:p>
            <w:pPr>
              <w:spacing w:before="0" w:after="0" w:line="269" w:lineRule="auto"/>
              <w:jc w:val="left"/>
            </w:pPr>
            <w:r/>
            <w:r>
              <w:rPr>
                <w:rFonts w:ascii="Calibri" w:hAnsi="Calibri"/>
                <w:b/>
                <w:i w:val="0"/>
                <w:color w:val="292929"/>
                <w:sz w:val="16"/>
              </w:rPr>
              <w:t>Pipeline editor</w:t>
            </w:r>
          </w:p>
        </w:tc>
        <w:tc>
          <w:tcPr>
            <w:tcW w:type="dxa" w:w="4700"/>
          </w:tcPr>
          <w:p>
            <w:pPr>
              <w:spacing w:before="0" w:after="0" w:line="269" w:lineRule="auto"/>
              <w:jc w:val="left"/>
            </w:pPr>
            <w:r/>
            <w:r>
              <w:rPr>
                <w:rFonts w:ascii="Calibri" w:hAnsi="Calibri"/>
                <w:b w:val="0"/>
                <w:i w:val="0"/>
                <w:color w:val="292929"/>
                <w:sz w:val="16"/>
              </w:rPr>
              <w:t>Teams can create, reorder and remove pipelines, stages and custom lead fields.</w:t>
            </w:r>
          </w:p>
        </w:tc>
        <w:tc>
          <w:tcPr>
            <w:tcW w:type="dxa" w:w="1460"/>
          </w:tcPr>
          <w:p>
            <w:pPr>
              <w:spacing w:before="0" w:after="0" w:line="269" w:lineRule="auto"/>
              <w:jc w:val="left"/>
            </w:pPr>
            <w:r/>
            <w:r>
              <w:rPr>
                <w:rFonts w:ascii="Calibri" w:hAnsi="Calibri"/>
                <w:b/>
                <w:i w:val="0"/>
                <w:color w:val="6C7471"/>
                <w:sz w:val="16"/>
              </w:rPr>
              <w:t>API blocked</w:t>
            </w:r>
          </w:p>
        </w:tc>
      </w:tr>
      <w:tr>
        <w:tc>
          <w:tcPr>
            <w:tcW w:type="dxa" w:w="1100"/>
            <w:shd w:fill="E7F1EF"/>
          </w:tcPr>
          <w:p>
            <w:pPr>
              <w:spacing w:before="0" w:after="0" w:line="269" w:lineRule="auto"/>
              <w:jc w:val="left"/>
            </w:pPr>
            <w:r/>
            <w:r>
              <w:rPr>
                <w:rFonts w:ascii="Calibri" w:hAnsi="Calibri"/>
                <w:b/>
                <w:i w:val="0"/>
                <w:color w:val="214F49"/>
                <w:sz w:val="15"/>
              </w:rPr>
              <w:t>ADDED</w:t>
            </w:r>
          </w:p>
        </w:tc>
        <w:tc>
          <w:tcPr>
            <w:tcW w:type="dxa" w:w="2100"/>
            <w:shd w:fill="F4F6F5"/>
          </w:tcPr>
          <w:p>
            <w:pPr>
              <w:spacing w:before="0" w:after="0" w:line="269" w:lineRule="auto"/>
              <w:jc w:val="left"/>
            </w:pPr>
            <w:r/>
            <w:r>
              <w:rPr>
                <w:rFonts w:ascii="Calibri" w:hAnsi="Calibri"/>
                <w:b/>
                <w:i w:val="0"/>
                <w:color w:val="292929"/>
                <w:sz w:val="16"/>
              </w:rPr>
              <w:t>Operator dashboard</w:t>
            </w:r>
          </w:p>
        </w:tc>
        <w:tc>
          <w:tcPr>
            <w:tcW w:type="dxa" w:w="4700"/>
            <w:shd w:fill="F4F6F5"/>
          </w:tcPr>
          <w:p>
            <w:pPr>
              <w:spacing w:before="0" w:after="0" w:line="269" w:lineRule="auto"/>
              <w:jc w:val="left"/>
            </w:pPr>
            <w:r/>
            <w:r>
              <w:rPr>
                <w:rFonts w:ascii="Calibri" w:hAnsi="Calibri"/>
                <w:b w:val="0"/>
                <w:i w:val="0"/>
                <w:color w:val="292929"/>
                <w:sz w:val="16"/>
              </w:rPr>
              <w:t>KPI strip, trends, actions, clocks, live bookings, jobs and progress views form a new operations overview.</w:t>
            </w:r>
          </w:p>
        </w:tc>
        <w:tc>
          <w:tcPr>
            <w:tcW w:type="dxa" w:w="1460"/>
            <w:shd w:fill="F4F6F5"/>
          </w:tcPr>
          <w:p>
            <w:pPr>
              <w:spacing w:before="0" w:after="0" w:line="269" w:lineRule="auto"/>
              <w:jc w:val="left"/>
            </w:pPr>
            <w:r/>
            <w:r>
              <w:rPr>
                <w:rFonts w:ascii="Calibri" w:hAnsi="Calibri"/>
                <w:b/>
                <w:i w:val="0"/>
                <w:color w:val="6C7471"/>
                <w:sz w:val="16"/>
              </w:rPr>
              <w:t>Live</w:t>
            </w:r>
          </w:p>
        </w:tc>
      </w:tr>
      <w:tr>
        <w:tc>
          <w:tcPr>
            <w:tcW w:type="dxa" w:w="1100"/>
            <w:shd w:fill="E7F1EF"/>
          </w:tcPr>
          <w:p>
            <w:pPr>
              <w:spacing w:before="0" w:after="0" w:line="269" w:lineRule="auto"/>
              <w:jc w:val="left"/>
            </w:pPr>
            <w:r/>
            <w:r>
              <w:rPr>
                <w:rFonts w:ascii="Calibri" w:hAnsi="Calibri"/>
                <w:b/>
                <w:i w:val="0"/>
                <w:color w:val="214F49"/>
                <w:sz w:val="15"/>
              </w:rPr>
              <w:t>ADDED</w:t>
            </w:r>
          </w:p>
        </w:tc>
        <w:tc>
          <w:tcPr>
            <w:tcW w:type="dxa" w:w="2100"/>
          </w:tcPr>
          <w:p>
            <w:pPr>
              <w:spacing w:before="0" w:after="0" w:line="269" w:lineRule="auto"/>
              <w:jc w:val="left"/>
            </w:pPr>
            <w:r/>
            <w:r>
              <w:rPr>
                <w:rFonts w:ascii="Calibri" w:hAnsi="Calibri"/>
                <w:b/>
                <w:i w:val="0"/>
                <w:color w:val="292929"/>
                <w:sz w:val="16"/>
              </w:rPr>
              <w:t>Databrain support tickets</w:t>
            </w:r>
          </w:p>
        </w:tc>
        <w:tc>
          <w:tcPr>
            <w:tcW w:type="dxa" w:w="4700"/>
          </w:tcPr>
          <w:p>
            <w:pPr>
              <w:spacing w:before="0" w:after="0" w:line="269" w:lineRule="auto"/>
              <w:jc w:val="left"/>
            </w:pPr>
            <w:r/>
            <w:r>
              <w:rPr>
                <w:rFonts w:ascii="Calibri" w:hAnsi="Calibri"/>
                <w:b w:val="0"/>
                <w:i w:val="0"/>
                <w:color w:val="292929"/>
                <w:sz w:val="16"/>
              </w:rPr>
              <w:t>Settings support requests create internal Databrain tickets with duplicate protection and notifications.</w:t>
            </w:r>
          </w:p>
        </w:tc>
        <w:tc>
          <w:tcPr>
            <w:tcW w:type="dxa" w:w="1460"/>
          </w:tcPr>
          <w:p>
            <w:pPr>
              <w:spacing w:before="0" w:after="0" w:line="269" w:lineRule="auto"/>
              <w:jc w:val="left"/>
            </w:pPr>
            <w:r/>
            <w:r>
              <w:rPr>
                <w:rFonts w:ascii="Calibri" w:hAnsi="Calibri"/>
                <w:b/>
                <w:i w:val="0"/>
                <w:color w:val="6C7471"/>
                <w:sz w:val="16"/>
              </w:rPr>
              <w:t>API blocked</w:t>
            </w:r>
          </w:p>
        </w:tc>
      </w:tr>
      <w:tr>
        <w:tc>
          <w:tcPr>
            <w:tcW w:type="dxa" w:w="1100"/>
            <w:shd w:fill="E7F1EF"/>
          </w:tcPr>
          <w:p>
            <w:pPr>
              <w:spacing w:before="0" w:after="0" w:line="269" w:lineRule="auto"/>
              <w:jc w:val="left"/>
            </w:pPr>
            <w:r/>
            <w:r>
              <w:rPr>
                <w:rFonts w:ascii="Calibri" w:hAnsi="Calibri"/>
                <w:b/>
                <w:i w:val="0"/>
                <w:color w:val="214F49"/>
                <w:sz w:val="15"/>
              </w:rPr>
              <w:t>ADDED</w:t>
            </w:r>
          </w:p>
        </w:tc>
        <w:tc>
          <w:tcPr>
            <w:tcW w:type="dxa" w:w="2100"/>
            <w:shd w:fill="F4F6F5"/>
          </w:tcPr>
          <w:p>
            <w:pPr>
              <w:spacing w:before="0" w:after="0" w:line="269" w:lineRule="auto"/>
              <w:jc w:val="left"/>
            </w:pPr>
            <w:r/>
            <w:r>
              <w:rPr>
                <w:rFonts w:ascii="Calibri" w:hAnsi="Calibri"/>
                <w:b/>
                <w:i w:val="0"/>
                <w:color w:val="292929"/>
                <w:sz w:val="16"/>
              </w:rPr>
              <w:t>Profile identity controls</w:t>
            </w:r>
          </w:p>
        </w:tc>
        <w:tc>
          <w:tcPr>
            <w:tcW w:type="dxa" w:w="4700"/>
            <w:shd w:fill="F4F6F5"/>
          </w:tcPr>
          <w:p>
            <w:pPr>
              <w:spacing w:before="0" w:after="0" w:line="269" w:lineRule="auto"/>
              <w:jc w:val="left"/>
            </w:pPr>
            <w:r/>
            <w:r>
              <w:rPr>
                <w:rFonts w:ascii="Calibri" w:hAnsi="Calibri"/>
                <w:b w:val="0"/>
                <w:i w:val="0"/>
                <w:color w:val="292929"/>
                <w:sz w:val="16"/>
              </w:rPr>
              <w:t>Profile photo, cover image and job title support now update the signed-in user experience.</w:t>
            </w:r>
          </w:p>
        </w:tc>
        <w:tc>
          <w:tcPr>
            <w:tcW w:type="dxa" w:w="1460"/>
            <w:shd w:fill="F4F6F5"/>
          </w:tcPr>
          <w:p>
            <w:pPr>
              <w:spacing w:before="0" w:after="0" w:line="269" w:lineRule="auto"/>
              <w:jc w:val="left"/>
            </w:pPr>
            <w:r/>
            <w:r>
              <w:rPr>
                <w:rFonts w:ascii="Calibri" w:hAnsi="Calibri"/>
                <w:b/>
                <w:i w:val="0"/>
                <w:color w:val="6C7471"/>
                <w:sz w:val="16"/>
              </w:rPr>
              <w:t>API blocked</w:t>
            </w:r>
          </w:p>
        </w:tc>
      </w:tr>
      <w:tr>
        <w:tc>
          <w:tcPr>
            <w:tcW w:type="dxa" w:w="1100"/>
            <w:shd w:fill="E7F1EF"/>
          </w:tcPr>
          <w:p>
            <w:pPr>
              <w:spacing w:before="0" w:after="0" w:line="269" w:lineRule="auto"/>
              <w:jc w:val="left"/>
            </w:pPr>
            <w:r/>
            <w:r>
              <w:rPr>
                <w:rFonts w:ascii="Calibri" w:hAnsi="Calibri"/>
                <w:b/>
                <w:i w:val="0"/>
                <w:color w:val="214F49"/>
                <w:sz w:val="15"/>
              </w:rPr>
              <w:t>ADDED</w:t>
            </w:r>
          </w:p>
        </w:tc>
        <w:tc>
          <w:tcPr>
            <w:tcW w:type="dxa" w:w="2100"/>
          </w:tcPr>
          <w:p>
            <w:pPr>
              <w:spacing w:before="0" w:after="0" w:line="269" w:lineRule="auto"/>
              <w:jc w:val="left"/>
            </w:pPr>
            <w:r/>
            <w:r>
              <w:rPr>
                <w:rFonts w:ascii="Calibri" w:hAnsi="Calibri"/>
                <w:b/>
                <w:i w:val="0"/>
                <w:color w:val="292929"/>
                <w:sz w:val="16"/>
              </w:rPr>
              <w:t>Workspace personalisation</w:t>
            </w:r>
          </w:p>
        </w:tc>
        <w:tc>
          <w:tcPr>
            <w:tcW w:type="dxa" w:w="4700"/>
          </w:tcPr>
          <w:p>
            <w:pPr>
              <w:spacing w:before="0" w:after="0" w:line="269" w:lineRule="auto"/>
              <w:jc w:val="left"/>
            </w:pPr>
            <w:r/>
            <w:r>
              <w:rPr>
                <w:rFonts w:ascii="Calibri" w:hAnsi="Calibri"/>
                <w:b w:val="0"/>
                <w:i w:val="0"/>
                <w:color w:val="292929"/>
                <w:sz w:val="16"/>
              </w:rPr>
              <w:t>Accent themes, configurable sidebar order, data-driven settings navigation and new RTL/localisation coverage.</w:t>
            </w:r>
          </w:p>
        </w:tc>
        <w:tc>
          <w:tcPr>
            <w:tcW w:type="dxa" w:w="1460"/>
          </w:tcPr>
          <w:p>
            <w:pPr>
              <w:spacing w:before="0" w:after="0" w:line="269" w:lineRule="auto"/>
              <w:jc w:val="left"/>
            </w:pPr>
            <w:r/>
            <w:r>
              <w:rPr>
                <w:rFonts w:ascii="Calibri" w:hAnsi="Calibri"/>
                <w:b/>
                <w:i w:val="0"/>
                <w:color w:val="6C7471"/>
                <w:sz w:val="16"/>
              </w:rPr>
              <w:t>Live</w:t>
            </w:r>
          </w:p>
        </w:tc>
      </w:tr>
      <w:tr>
        <w:tc>
          <w:tcPr>
            <w:tcW w:type="dxa" w:w="1100"/>
            <w:shd w:fill="E8EEF5"/>
          </w:tcPr>
          <w:p>
            <w:pPr>
              <w:spacing w:before="0" w:after="0" w:line="269" w:lineRule="auto"/>
              <w:jc w:val="left"/>
            </w:pPr>
            <w:r/>
            <w:r>
              <w:rPr>
                <w:rFonts w:ascii="Calibri" w:hAnsi="Calibri"/>
                <w:b/>
                <w:i w:val="0"/>
                <w:color w:val="214F49"/>
                <w:sz w:val="15"/>
              </w:rPr>
              <w:t>REPLACED</w:t>
            </w:r>
          </w:p>
        </w:tc>
        <w:tc>
          <w:tcPr>
            <w:tcW w:type="dxa" w:w="2100"/>
            <w:shd w:fill="F4F6F5"/>
          </w:tcPr>
          <w:p>
            <w:pPr>
              <w:spacing w:before="0" w:after="0" w:line="269" w:lineRule="auto"/>
              <w:jc w:val="left"/>
            </w:pPr>
            <w:r/>
            <w:r>
              <w:rPr>
                <w:rFonts w:ascii="Calibri" w:hAnsi="Calibri"/>
                <w:b/>
                <w:i w:val="0"/>
                <w:color w:val="292929"/>
                <w:sz w:val="16"/>
              </w:rPr>
              <w:t>Static CRM demo data</w:t>
            </w:r>
          </w:p>
        </w:tc>
        <w:tc>
          <w:tcPr>
            <w:tcW w:type="dxa" w:w="4700"/>
            <w:shd w:fill="F4F6F5"/>
          </w:tcPr>
          <w:p>
            <w:pPr>
              <w:spacing w:before="0" w:after="0" w:line="269" w:lineRule="auto"/>
              <w:jc w:val="left"/>
            </w:pPr>
            <w:r/>
            <w:r>
              <w:rPr>
                <w:rFonts w:ascii="Calibri" w:hAnsi="Calibri"/>
                <w:b w:val="0"/>
                <w:i w:val="0"/>
                <w:color w:val="292929"/>
                <w:sz w:val="16"/>
              </w:rPr>
              <w:t>Lead and deal screens now use authenticated service calls and persisted tenant records.</w:t>
            </w:r>
          </w:p>
        </w:tc>
        <w:tc>
          <w:tcPr>
            <w:tcW w:type="dxa" w:w="1460"/>
            <w:shd w:fill="F4F6F5"/>
          </w:tcPr>
          <w:p>
            <w:pPr>
              <w:spacing w:before="0" w:after="0" w:line="269" w:lineRule="auto"/>
              <w:jc w:val="left"/>
            </w:pPr>
            <w:r/>
            <w:r>
              <w:rPr>
                <w:rFonts w:ascii="Calibri" w:hAnsi="Calibri"/>
                <w:b/>
                <w:i w:val="0"/>
                <w:color w:val="6C7471"/>
                <w:sz w:val="16"/>
              </w:rPr>
              <w:t>Complete</w:t>
            </w:r>
          </w:p>
        </w:tc>
      </w:tr>
      <w:tr>
        <w:tc>
          <w:tcPr>
            <w:tcW w:type="dxa" w:w="1100"/>
            <w:shd w:fill="E8EEF5"/>
          </w:tcPr>
          <w:p>
            <w:pPr>
              <w:spacing w:before="0" w:after="0" w:line="269" w:lineRule="auto"/>
              <w:jc w:val="left"/>
            </w:pPr>
            <w:r/>
            <w:r>
              <w:rPr>
                <w:rFonts w:ascii="Calibri" w:hAnsi="Calibri"/>
                <w:b/>
                <w:i w:val="0"/>
                <w:color w:val="214F49"/>
                <w:sz w:val="15"/>
              </w:rPr>
              <w:t>REPLACED</w:t>
            </w:r>
          </w:p>
        </w:tc>
        <w:tc>
          <w:tcPr>
            <w:tcW w:type="dxa" w:w="2100"/>
          </w:tcPr>
          <w:p>
            <w:pPr>
              <w:spacing w:before="0" w:after="0" w:line="269" w:lineRule="auto"/>
              <w:jc w:val="left"/>
            </w:pPr>
            <w:r/>
            <w:r>
              <w:rPr>
                <w:rFonts w:ascii="Calibri" w:hAnsi="Calibri"/>
                <w:b/>
                <w:i w:val="0"/>
                <w:color w:val="292929"/>
                <w:sz w:val="16"/>
              </w:rPr>
              <w:t>Legacy dashboard layout</w:t>
            </w:r>
          </w:p>
        </w:tc>
        <w:tc>
          <w:tcPr>
            <w:tcW w:type="dxa" w:w="4700"/>
          </w:tcPr>
          <w:p>
            <w:pPr>
              <w:spacing w:before="0" w:after="0" w:line="269" w:lineRule="auto"/>
              <w:jc w:val="left"/>
            </w:pPr>
            <w:r/>
            <w:r>
              <w:rPr>
                <w:rFonts w:ascii="Calibri" w:hAnsi="Calibri"/>
                <w:b w:val="0"/>
                <w:i w:val="0"/>
                <w:color w:val="292929"/>
                <w:sz w:val="16"/>
              </w:rPr>
              <w:t>A single fixed overview has been replaced by focused, composable operator widgets.</w:t>
            </w:r>
          </w:p>
        </w:tc>
        <w:tc>
          <w:tcPr>
            <w:tcW w:type="dxa" w:w="1460"/>
          </w:tcPr>
          <w:p>
            <w:pPr>
              <w:spacing w:before="0" w:after="0" w:line="269" w:lineRule="auto"/>
              <w:jc w:val="left"/>
            </w:pPr>
            <w:r/>
            <w:r>
              <w:rPr>
                <w:rFonts w:ascii="Calibri" w:hAnsi="Calibri"/>
                <w:b/>
                <w:i w:val="0"/>
                <w:color w:val="6C7471"/>
                <w:sz w:val="16"/>
              </w:rPr>
              <w:t>Complete</w:t>
            </w:r>
          </w:p>
        </w:tc>
      </w:tr>
      <w:tr>
        <w:tc>
          <w:tcPr>
            <w:tcW w:type="dxa" w:w="1100"/>
            <w:shd w:fill="E8EEF5"/>
          </w:tcPr>
          <w:p>
            <w:pPr>
              <w:spacing w:before="0" w:after="0" w:line="269" w:lineRule="auto"/>
              <w:jc w:val="left"/>
            </w:pPr>
            <w:r/>
            <w:r>
              <w:rPr>
                <w:rFonts w:ascii="Calibri" w:hAnsi="Calibri"/>
                <w:b/>
                <w:i w:val="0"/>
                <w:color w:val="214F49"/>
                <w:sz w:val="15"/>
              </w:rPr>
              <w:t>REPLACED</w:t>
            </w:r>
          </w:p>
        </w:tc>
        <w:tc>
          <w:tcPr>
            <w:tcW w:type="dxa" w:w="2100"/>
            <w:shd w:fill="F4F6F5"/>
          </w:tcPr>
          <w:p>
            <w:pPr>
              <w:spacing w:before="0" w:after="0" w:line="269" w:lineRule="auto"/>
              <w:jc w:val="left"/>
            </w:pPr>
            <w:r/>
            <w:r>
              <w:rPr>
                <w:rFonts w:ascii="Calibri" w:hAnsi="Calibri"/>
                <w:b/>
                <w:i w:val="0"/>
                <w:color w:val="292929"/>
                <w:sz w:val="16"/>
              </w:rPr>
              <w:t>Hard-coded navigation</w:t>
            </w:r>
          </w:p>
        </w:tc>
        <w:tc>
          <w:tcPr>
            <w:tcW w:type="dxa" w:w="4700"/>
            <w:shd w:fill="F4F6F5"/>
          </w:tcPr>
          <w:p>
            <w:pPr>
              <w:spacing w:before="0" w:after="0" w:line="269" w:lineRule="auto"/>
              <w:jc w:val="left"/>
            </w:pPr>
            <w:r/>
            <w:r>
              <w:rPr>
                <w:rFonts w:ascii="Calibri" w:hAnsi="Calibri"/>
                <w:b w:val="0"/>
                <w:i w:val="0"/>
                <w:color w:val="292929"/>
                <w:sz w:val="16"/>
              </w:rPr>
              <w:t>Sidebar and settings structure now come from shared navigation data with saved preferences.</w:t>
            </w:r>
          </w:p>
        </w:tc>
        <w:tc>
          <w:tcPr>
            <w:tcW w:type="dxa" w:w="1460"/>
            <w:shd w:fill="F4F6F5"/>
          </w:tcPr>
          <w:p>
            <w:pPr>
              <w:spacing w:before="0" w:after="0" w:line="269" w:lineRule="auto"/>
              <w:jc w:val="left"/>
            </w:pPr>
            <w:r/>
            <w:r>
              <w:rPr>
                <w:rFonts w:ascii="Calibri" w:hAnsi="Calibri"/>
                <w:b/>
                <w:i w:val="0"/>
                <w:color w:val="6C7471"/>
                <w:sz w:val="16"/>
              </w:rPr>
              <w:t>Complete</w:t>
            </w:r>
          </w:p>
        </w:tc>
      </w:tr>
      <w:tr>
        <w:tc>
          <w:tcPr>
            <w:tcW w:type="dxa" w:w="1100"/>
            <w:shd w:fill="E8EEF5"/>
          </w:tcPr>
          <w:p>
            <w:pPr>
              <w:spacing w:before="0" w:after="0" w:line="269" w:lineRule="auto"/>
              <w:jc w:val="left"/>
            </w:pPr>
            <w:r/>
            <w:r>
              <w:rPr>
                <w:rFonts w:ascii="Calibri" w:hAnsi="Calibri"/>
                <w:b/>
                <w:i w:val="0"/>
                <w:color w:val="214F49"/>
                <w:sz w:val="15"/>
              </w:rPr>
              <w:t>REPLACED</w:t>
            </w:r>
          </w:p>
        </w:tc>
        <w:tc>
          <w:tcPr>
            <w:tcW w:type="dxa" w:w="2100"/>
          </w:tcPr>
          <w:p>
            <w:pPr>
              <w:spacing w:before="0" w:after="0" w:line="269" w:lineRule="auto"/>
              <w:jc w:val="left"/>
            </w:pPr>
            <w:r/>
            <w:r>
              <w:rPr>
                <w:rFonts w:ascii="Calibri" w:hAnsi="Calibri"/>
                <w:b/>
                <w:i w:val="0"/>
                <w:color w:val="292929"/>
                <w:sz w:val="16"/>
              </w:rPr>
              <w:t>Support form dead end</w:t>
            </w:r>
          </w:p>
        </w:tc>
        <w:tc>
          <w:tcPr>
            <w:tcW w:type="dxa" w:w="4700"/>
          </w:tcPr>
          <w:p>
            <w:pPr>
              <w:spacing w:before="0" w:after="0" w:line="269" w:lineRule="auto"/>
              <w:jc w:val="left"/>
            </w:pPr>
            <w:r/>
            <w:r>
              <w:rPr>
                <w:rFonts w:ascii="Calibri" w:hAnsi="Calibri"/>
                <w:b w:val="0"/>
                <w:i w:val="0"/>
                <w:color w:val="292929"/>
                <w:sz w:val="16"/>
              </w:rPr>
              <w:t>Submission now waits for a confirmed server response and reports recoverable errors.</w:t>
            </w:r>
          </w:p>
        </w:tc>
        <w:tc>
          <w:tcPr>
            <w:tcW w:type="dxa" w:w="1460"/>
          </w:tcPr>
          <w:p>
            <w:pPr>
              <w:spacing w:before="0" w:after="0" w:line="269" w:lineRule="auto"/>
              <w:jc w:val="left"/>
            </w:pPr>
            <w:r/>
            <w:r>
              <w:rPr>
                <w:rFonts w:ascii="Calibri" w:hAnsi="Calibri"/>
                <w:b/>
                <w:i w:val="0"/>
                <w:color w:val="6C7471"/>
                <w:sz w:val="16"/>
              </w:rPr>
              <w:t>Complete</w:t>
            </w:r>
          </w:p>
        </w:tc>
      </w:tr>
      <w:tr>
        <w:tc>
          <w:tcPr>
            <w:tcW w:type="dxa" w:w="1100"/>
            <w:shd w:fill="FFF3D8"/>
          </w:tcPr>
          <w:p>
            <w:pPr>
              <w:spacing w:before="0" w:after="0" w:line="269" w:lineRule="auto"/>
              <w:jc w:val="left"/>
            </w:pPr>
            <w:r/>
            <w:r>
              <w:rPr>
                <w:rFonts w:ascii="Calibri" w:hAnsi="Calibri"/>
                <w:b/>
                <w:i w:val="0"/>
                <w:color w:val="214F49"/>
                <w:sz w:val="15"/>
              </w:rPr>
              <w:t>PROGRESS</w:t>
            </w:r>
          </w:p>
        </w:tc>
        <w:tc>
          <w:tcPr>
            <w:tcW w:type="dxa" w:w="2100"/>
            <w:shd w:fill="F4F6F5"/>
          </w:tcPr>
          <w:p>
            <w:pPr>
              <w:spacing w:before="0" w:after="0" w:line="269" w:lineRule="auto"/>
              <w:jc w:val="left"/>
            </w:pPr>
            <w:r/>
            <w:r>
              <w:rPr>
                <w:rFonts w:ascii="Calibri" w:hAnsi="Calibri"/>
                <w:b/>
                <w:i w:val="0"/>
                <w:color w:val="292929"/>
                <w:sz w:val="16"/>
              </w:rPr>
              <w:t>Azure API deployment</w:t>
            </w:r>
          </w:p>
        </w:tc>
        <w:tc>
          <w:tcPr>
            <w:tcW w:type="dxa" w:w="4700"/>
            <w:shd w:fill="F4F6F5"/>
          </w:tcPr>
          <w:p>
            <w:pPr>
              <w:spacing w:before="0" w:after="0" w:line="269" w:lineRule="auto"/>
              <w:jc w:val="left"/>
            </w:pPr>
            <w:r/>
            <w:r>
              <w:rPr>
                <w:rFonts w:ascii="Calibri" w:hAnsi="Calibri"/>
                <w:b w:val="0"/>
                <w:i w:val="0"/>
                <w:color w:val="292929"/>
                <w:sz w:val="16"/>
              </w:rPr>
              <w:t>The dev build and tests pass, but Azure OIDC currently trusts main only; api.multideck.app remains on startup error 500.30.</w:t>
            </w:r>
          </w:p>
        </w:tc>
        <w:tc>
          <w:tcPr>
            <w:tcW w:type="dxa" w:w="1460"/>
            <w:shd w:fill="F4F6F5"/>
          </w:tcPr>
          <w:p>
            <w:pPr>
              <w:spacing w:before="0" w:after="0" w:line="269" w:lineRule="auto"/>
              <w:jc w:val="left"/>
            </w:pPr>
            <w:r/>
            <w:r>
              <w:rPr>
                <w:rFonts w:ascii="Calibri" w:hAnsi="Calibri"/>
                <w:b/>
                <w:i w:val="0"/>
                <w:color w:val="6C7471"/>
                <w:sz w:val="16"/>
              </w:rPr>
              <w:t>Blocked</w:t>
            </w:r>
          </w:p>
        </w:tc>
      </w:tr>
      <w:tr>
        <w:tc>
          <w:tcPr>
            <w:tcW w:type="dxa" w:w="1100"/>
            <w:shd w:fill="FFF3D8"/>
          </w:tcPr>
          <w:p>
            <w:pPr>
              <w:spacing w:before="0" w:after="0" w:line="269" w:lineRule="auto"/>
              <w:jc w:val="left"/>
            </w:pPr>
            <w:r/>
            <w:r>
              <w:rPr>
                <w:rFonts w:ascii="Calibri" w:hAnsi="Calibri"/>
                <w:b/>
                <w:i w:val="0"/>
                <w:color w:val="214F49"/>
                <w:sz w:val="15"/>
              </w:rPr>
              <w:t>PROGRESS</w:t>
            </w:r>
          </w:p>
        </w:tc>
        <w:tc>
          <w:tcPr>
            <w:tcW w:type="dxa" w:w="2100"/>
          </w:tcPr>
          <w:p>
            <w:pPr>
              <w:spacing w:before="0" w:after="0" w:line="269" w:lineRule="auto"/>
              <w:jc w:val="left"/>
            </w:pPr>
            <w:r/>
            <w:r>
              <w:rPr>
                <w:rFonts w:ascii="Calibri" w:hAnsi="Calibri"/>
                <w:b/>
                <w:i w:val="0"/>
                <w:color w:val="292929"/>
                <w:sz w:val="16"/>
              </w:rPr>
              <w:t>Future workspace modules</w:t>
            </w:r>
          </w:p>
        </w:tc>
        <w:tc>
          <w:tcPr>
            <w:tcW w:type="dxa" w:w="4700"/>
          </w:tcPr>
          <w:p>
            <w:pPr>
              <w:spacing w:before="0" w:after="0" w:line="269" w:lineRule="auto"/>
              <w:jc w:val="left"/>
            </w:pPr>
            <w:r/>
            <w:r>
              <w:rPr>
                <w:rFonts w:ascii="Calibri" w:hAnsi="Calibri"/>
                <w:b w:val="0"/>
                <w:i w:val="0"/>
                <w:color w:val="292929"/>
                <w:sz w:val="16"/>
              </w:rPr>
              <w:t>Navigation foundations exist for rates, contracts and finance areas whose final product routes are not yet active.</w:t>
            </w:r>
          </w:p>
        </w:tc>
        <w:tc>
          <w:tcPr>
            <w:tcW w:type="dxa" w:w="1460"/>
          </w:tcPr>
          <w:p>
            <w:pPr>
              <w:spacing w:before="0" w:after="0" w:line="269" w:lineRule="auto"/>
              <w:jc w:val="left"/>
            </w:pPr>
            <w:r/>
            <w:r>
              <w:rPr>
                <w:rFonts w:ascii="Calibri" w:hAnsi="Calibri"/>
                <w:b/>
                <w:i w:val="0"/>
                <w:color w:val="6C7471"/>
                <w:sz w:val="16"/>
              </w:rPr>
              <w:t>Planned</w:t>
            </w:r>
          </w:p>
        </w:tc>
      </w:tr>
      <w:tr>
        <w:tc>
          <w:tcPr>
            <w:tcW w:type="dxa" w:w="1100"/>
            <w:shd w:fill="FFF3D8"/>
          </w:tcPr>
          <w:p>
            <w:pPr>
              <w:spacing w:before="0" w:after="0" w:line="269" w:lineRule="auto"/>
              <w:jc w:val="left"/>
            </w:pPr>
            <w:r/>
            <w:r>
              <w:rPr>
                <w:rFonts w:ascii="Calibri" w:hAnsi="Calibri"/>
                <w:b/>
                <w:i w:val="0"/>
                <w:color w:val="214F49"/>
                <w:sz w:val="15"/>
              </w:rPr>
              <w:t>PROGRESS</w:t>
            </w:r>
          </w:p>
        </w:tc>
        <w:tc>
          <w:tcPr>
            <w:tcW w:type="dxa" w:w="2100"/>
            <w:shd w:fill="F4F6F5"/>
          </w:tcPr>
          <w:p>
            <w:pPr>
              <w:spacing w:before="0" w:after="0" w:line="269" w:lineRule="auto"/>
              <w:jc w:val="left"/>
            </w:pPr>
            <w:r/>
            <w:r>
              <w:rPr>
                <w:rFonts w:ascii="Calibri" w:hAnsi="Calibri"/>
                <w:b/>
                <w:i w:val="0"/>
                <w:color w:val="292929"/>
                <w:sz w:val="16"/>
              </w:rPr>
              <w:t>Bundle optimisation</w:t>
            </w:r>
          </w:p>
        </w:tc>
        <w:tc>
          <w:tcPr>
            <w:tcW w:type="dxa" w:w="4700"/>
            <w:shd w:fill="F4F6F5"/>
          </w:tcPr>
          <w:p>
            <w:pPr>
              <w:spacing w:before="0" w:after="0" w:line="269" w:lineRule="auto"/>
              <w:jc w:val="left"/>
            </w:pPr>
            <w:r/>
            <w:r>
              <w:rPr>
                <w:rFonts w:ascii="Calibri" w:hAnsi="Calibri"/>
                <w:b w:val="0"/>
                <w:i w:val="0"/>
                <w:color w:val="292929"/>
                <w:sz w:val="16"/>
              </w:rPr>
              <w:t>Production build passes; larger dashboard and visual chunks remain candidates for further code splitting.</w:t>
            </w:r>
          </w:p>
        </w:tc>
        <w:tc>
          <w:tcPr>
            <w:tcW w:type="dxa" w:w="1460"/>
            <w:shd w:fill="F4F6F5"/>
          </w:tcPr>
          <w:p>
            <w:pPr>
              <w:spacing w:before="0" w:after="0" w:line="269" w:lineRule="auto"/>
              <w:jc w:val="left"/>
            </w:pPr>
            <w:r/>
            <w:r>
              <w:rPr>
                <w:rFonts w:ascii="Calibri" w:hAnsi="Calibri"/>
                <w:b/>
                <w:i w:val="0"/>
                <w:color w:val="6C7471"/>
                <w:sz w:val="16"/>
              </w:rPr>
              <w:t>Optimise</w:t>
            </w:r>
          </w:p>
        </w:tc>
      </w:tr>
    </w:tbl>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6C7471"/>
        <w:sz w:val="16"/>
      </w:rPr>
      <w:t>Multideck CRM release  •  30 July 2026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928" w:val="left"/>
      </w:tabs>
      <w:spacing w:after="0"/>
      <w:jc w:val="left"/>
    </w:pPr>
    <w:r>
      <w:rPr>
        <w:rFonts w:ascii="Calibri" w:hAnsi="Calibri"/>
        <w:b/>
        <w:i w:val="0"/>
        <w:color w:val="2E766D"/>
        <w:sz w:val="16"/>
      </w:rPr>
      <w:t>MULTIDECK  /  RELEASE NOTE</w:t>
    </w:r>
    <w:r>
      <w:rPr>
        <w:rFonts w:ascii="Calibri" w:hAnsi="Calibri"/>
        <w:b/>
        <w:i w:val="0"/>
        <w:color w:val="6C7471"/>
        <w:sz w:val="16"/>
      </w:rPr>
      <w:tab/>
      <w:t>DEV ENVIRONMENT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929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