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1907"/>
        <w:jc w:val="center"/>
        <w:tblLayout w:type="fixed"/>
        <w:tblLook w:firstColumn="1" w:firstRow="1" w:lastColumn="0" w:lastRow="0" w:noHBand="0" w:noVBand="1" w:val="04A0"/>
      </w:tblPr>
      <w:tblGrid>
        <w:gridCol w:w="11907"/>
      </w:tblGrid>
      <w:tr>
        <w:trPr>
          <w:trHeight w:val="15984" w:hRule="exact"/>
        </w:trPr>
        <w:tc>
          <w:tcPr>
            <w:tcW w:type="dxa" w:w="11906"/>
            <w:shd w:fill="E8F2F0" w:val="clear"/>
            <w:tcMar>
              <w:top w:w="0" w:type="dxa"/>
              <w:start w:w="0" w:type="dxa"/>
              <w:bottom w:w="0" w:type="dxa"/>
              <w:end w:w="0" w:type="dxa"/>
            </w:tcMar>
            <w:tcBorders>
              <w:top w:val="nil"/>
              <w:left w:val="nil"/>
              <w:bottom w:val="nil"/>
              <w:right w:val="nil"/>
            </w:tcBorders>
          </w:tcPr>
          <w:tbl>
            <w:tblPr>
              <w:tblW w:type="dxa" w:w="11907"/>
              <w:jc w:val="center"/>
              <w:tblLayout w:type="fixed"/>
              <w:tblLook w:firstColumn="1" w:firstRow="1" w:lastColumn="0" w:lastRow="0" w:noHBand="0" w:noVBand="1" w:val="04A0"/>
            </w:tblPr>
            <w:tblGrid>
              <w:gridCol w:w="11907"/>
            </w:tblGrid>
            <w:tr>
              <w:trPr>
                <w:trHeight w:val="2131" w:hRule="exact"/>
              </w:trPr>
              <w:tc>
                <w:tcPr>
                  <w:tcW w:type="dxa" w:w="11906"/>
                  <w:shd w:fill="14877D" w:val="clear"/>
                  <w:tcMar>
                    <w:top w:w="310" w:type="dxa"/>
                    <w:start w:w="1000" w:type="dxa"/>
                    <w:bottom w:w="260" w:type="dxa"/>
                    <w:end w:w="1000" w:type="dxa"/>
                  </w:tcMar>
                  <w:tcBorders>
                    <w:top w:val="nil"/>
                    <w:left w:val="nil"/>
                    <w:bottom w:val="nil"/>
                    <w:right w:val="nil"/>
                  </w:tcBorders>
                </w:tcPr>
                <w:p>
                  <w:r>
                    <w:drawing>
                      <wp:inline xmlns:a="http://schemas.openxmlformats.org/drawingml/2006/main" xmlns:pic="http://schemas.openxmlformats.org/drawingml/2006/picture">
                        <wp:extent cx="2514600" cy="816926"/>
                        <wp:docPr id="1" name="Picture 1" title="Multideck" descr="Multideck logo"/>
                        <wp:cNvGraphicFramePr>
                          <a:graphicFrameLocks noChangeAspect="1"/>
                        </wp:cNvGraphicFramePr>
                        <a:graphic>
                          <a:graphicData uri="http://schemas.openxmlformats.org/drawingml/2006/picture">
                            <pic:pic>
                              <pic:nvPicPr>
                                <pic:cNvPr id="0" name="cover-logo-panel.png"/>
                                <pic:cNvPicPr/>
                              </pic:nvPicPr>
                              <pic:blipFill>
                                <a:blip r:embed="rId11"/>
                                <a:stretch>
                                  <a:fillRect/>
                                </a:stretch>
                              </pic:blipFill>
                              <pic:spPr>
                                <a:xfrm>
                                  <a:off x="0" y="0"/>
                                  <a:ext cx="2514600" cy="816926"/>
                                </a:xfrm>
                                <a:prstGeom prst="rect"/>
                              </pic:spPr>
                            </pic:pic>
                          </a:graphicData>
                        </a:graphic>
                      </wp:inline>
                    </w:drawing>
                  </w:r>
                </w:p>
              </w:tc>
            </w:tr>
          </w:tbl>
          <w:p/>
          <w:p>
            <w:pPr>
              <w:keepNext w:val="0"/>
              <w:spacing w:before="1400" w:after="200" w:line="276" w:lineRule="auto"/>
              <w:ind w:left="1008" w:right="1008"/>
            </w:pPr>
            <w:r>
              <w:rPr>
                <w:rFonts w:ascii="Arial" w:hAnsi="Arial" w:eastAsia="Arial"/>
                <w:b w:val="0"/>
                <w:i w:val="0"/>
                <w:color w:val="111817"/>
                <w:sz w:val="62"/>
              </w:rPr>
              <w:t>Calculator Guide</w:t>
            </w:r>
          </w:p>
          <w:p>
            <w:pPr>
              <w:keepNext w:val="0"/>
              <w:spacing w:before="0" w:after="3000" w:line="276" w:lineRule="auto"/>
              <w:ind w:left="1008" w:right="1008"/>
            </w:pPr>
            <w:r>
              <w:rPr>
                <w:rFonts w:ascii="Arial" w:hAnsi="Arial" w:eastAsia="Arial"/>
                <w:b w:val="0"/>
                <w:i w:val="0"/>
                <w:color w:val="52615F"/>
                <w:sz w:val="26"/>
              </w:rPr>
              <w:t>Clear pricing logic for freight, customs, transport and warehouse operations.</w:t>
            </w:r>
          </w:p>
          <w:tbl>
            <w:tblPr>
              <w:tblW w:type="dxa" w:w="9525"/>
              <w:jc w:val="center"/>
              <w:tblLayout w:type="fixed"/>
              <w:tblLook w:firstColumn="1" w:firstRow="1" w:lastColumn="0" w:lastRow="0" w:noHBand="0" w:noVBand="1" w:val="04A0"/>
            </w:tblPr>
            <w:tblGrid>
              <w:gridCol w:w="9525"/>
            </w:tblGrid>
            <w:tr>
              <w:tc>
                <w:tcPr>
                  <w:tcW w:type="dxa" w:w="9524"/>
                  <w:shd w:fill="FFFFFF" w:val="clear"/>
                  <w:tcMar>
                    <w:top w:w="210" w:type="dxa"/>
                    <w:start w:w="520" w:type="dxa"/>
                    <w:bottom w:w="200" w:type="dxa"/>
                    <w:end w:w="520" w:type="dxa"/>
                  </w:tcMar>
                  <w:tcBorders>
                    <w:top w:val="nil"/>
                    <w:left w:val="nil"/>
                    <w:bottom w:val="nil"/>
                    <w:right w:val="nil"/>
                  </w:tcBorders>
                </w:tcPr>
                <w:p>
                  <w:pPr>
                    <w:keepNext w:val="0"/>
                    <w:spacing w:before="0" w:after="0" w:line="264" w:lineRule="auto"/>
                  </w:pPr>
                  <w:r>
                    <w:rPr>
                      <w:rFonts w:ascii="Arial" w:hAnsi="Arial" w:eastAsia="Arial"/>
                      <w:b w:val="0"/>
                      <w:i w:val="0"/>
                      <w:color w:val="14877D"/>
                      <w:sz w:val="18"/>
                    </w:rPr>
                    <w:t>WHAT THIS GUIDE DOES</w:t>
                  </w:r>
                </w:p>
                <w:p>
                  <w:pPr>
                    <w:pStyle w:val="ListBullet"/>
                    <w:keepNext w:val="0"/>
                    <w:spacing w:before="60" w:after="60" w:line="259" w:lineRule="auto"/>
                    <w:ind w:left="369" w:hanging="142"/>
                  </w:pPr>
                  <w:r>
                    <w:rPr>
                      <w:rFonts w:ascii="Arial" w:hAnsi="Arial" w:eastAsia="Arial"/>
                      <w:b w:val="0"/>
                      <w:i w:val="0"/>
                      <w:color w:val="52615F"/>
                      <w:sz w:val="20"/>
                    </w:rPr>
                    <w:t>Explains 25 pricing methods in operator language.</w:t>
                  </w:r>
                </w:p>
                <w:p>
                  <w:pPr>
                    <w:pStyle w:val="ListBullet"/>
                    <w:keepNext w:val="0"/>
                    <w:spacing w:before="60" w:after="60" w:line="259" w:lineRule="auto"/>
                    <w:ind w:left="369" w:hanging="142"/>
                  </w:pPr>
                  <w:r>
                    <w:rPr>
                      <w:rFonts w:ascii="Arial" w:hAnsi="Arial" w:eastAsia="Arial"/>
                      <w:b w:val="0"/>
                      <w:i w:val="0"/>
                      <w:color w:val="52615F"/>
                      <w:sz w:val="20"/>
                    </w:rPr>
                    <w:t>Shows required inputs, calculation behaviour and safeguards.</w:t>
                  </w:r>
                </w:p>
                <w:p>
                  <w:pPr>
                    <w:pStyle w:val="ListBullet"/>
                    <w:keepNext w:val="0"/>
                    <w:spacing w:before="60" w:after="60" w:line="259" w:lineRule="auto"/>
                    <w:ind w:left="369" w:hanging="142"/>
                  </w:pPr>
                  <w:r>
                    <w:rPr>
                      <w:rFonts w:ascii="Arial" w:hAnsi="Arial" w:eastAsia="Arial"/>
                      <w:b w:val="0"/>
                      <w:i w:val="0"/>
                      <w:color w:val="52615F"/>
                      <w:sz w:val="20"/>
                    </w:rPr>
                    <w:t>Keeps supplier cost and customer sell rules independent by design.</w:t>
                  </w:r>
                </w:p>
                <w:p>
                  <w:pPr>
                    <w:pStyle w:val="ListBullet"/>
                    <w:keepNext w:val="0"/>
                    <w:spacing w:before="60" w:after="60" w:line="259" w:lineRule="auto"/>
                    <w:ind w:left="369" w:hanging="142"/>
                  </w:pPr>
                  <w:r>
                    <w:rPr>
                      <w:rFonts w:ascii="Arial" w:hAnsi="Arial" w:eastAsia="Arial"/>
                      <w:b w:val="0"/>
                      <w:i w:val="0"/>
                      <w:color w:val="52615F"/>
                      <w:sz w:val="20"/>
                    </w:rPr>
                    <w:t>Provides a common vocabulary for future freight-calculator design.</w:t>
                  </w:r>
                </w:p>
              </w:tc>
            </w:tr>
          </w:tbl>
          <w:p/>
          <w:p>
            <w:pPr>
              <w:keepNext w:val="0"/>
              <w:spacing w:before="1240" w:after="0" w:line="276" w:lineRule="auto"/>
              <w:ind w:left="1008"/>
            </w:pPr>
            <w:r>
              <w:rPr>
                <w:rFonts w:ascii="Arial" w:hAnsi="Arial" w:eastAsia="Arial"/>
                <w:b w:val="0"/>
                <w:i w:val="0"/>
                <w:color w:val="71807E"/>
                <w:sz w:val="17"/>
              </w:rPr>
              <w:t>Multideck product reference  |  July 2026</w:t>
            </w:r>
          </w:p>
        </w:tc>
      </w:tr>
    </w:tbl>
    <w:p>
      <w:pPr>
        <w:sectPr>
          <w:headerReference w:type="default" r:id="rId9"/>
          <w:footerReference w:type="default" r:id="rId10"/>
          <w:pgSz w:w="11906" w:h="16838"/>
          <w:pgMar w:top="0" w:right="0" w:bottom="0" w:left="0" w:header="360" w:footer="403" w:gutter="0"/>
          <w:cols w:space="720"/>
          <w:docGrid w:linePitch="360"/>
        </w:sectPr>
      </w:pPr>
    </w:p>
    <w:p>
      <w:pPr>
        <w:pStyle w:val="GuideEyebrow"/>
      </w:pPr>
      <w:r>
        <w:t>HOW TO USE THIS GUIDE</w:t>
      </w:r>
    </w:p>
    <w:p>
      <w:pPr>
        <w:pStyle w:val="GuideHeading1"/>
      </w:pPr>
      <w:r>
        <w:t>Pricing methods should be understandable before</w:t>
        <w:br/>
        <w:t>they are configurable.</w:t>
      </w:r>
    </w:p>
    <w:p>
      <w:pPr>
        <w:pStyle w:val="GuideBody"/>
      </w:pPr>
      <w:r>
        <w:t>CargoWise-style calculator codes and dense forms are deliberately not reproduced here. Multideck uses a plain-language pricing method, context-aware inputs and a readable outcome explanation. The same underlying commercial capability remains available without requiring operators to memorise internal abbreviations.</w:t>
      </w:r>
    </w:p>
    <w:tbl>
      <w:tblPr>
        <w:tblW w:type="dxa" w:w="9695"/>
        <w:jc w:val="center"/>
        <w:tblLayout w:type="fixed"/>
        <w:tblLook w:firstColumn="1" w:firstRow="1" w:lastColumn="0" w:lastRow="0" w:noHBand="0" w:noVBand="1" w:val="04A0"/>
      </w:tblPr>
      <w:tblGrid>
        <w:gridCol w:w="2324"/>
        <w:gridCol w:w="7371"/>
      </w:tblGrid>
      <w:tr>
        <w:tc>
          <w:tcPr>
            <w:tcW w:type="dxa" w:w="2324"/>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3F7F6" w:val="clear"/>
          </w:tcPr>
          <w:p>
            <w:pPr>
              <w:keepNext w:val="0"/>
              <w:spacing w:before="0" w:after="0" w:line="264" w:lineRule="auto"/>
            </w:pPr>
            <w:r>
              <w:rPr>
                <w:rFonts w:ascii="Arial" w:hAnsi="Arial" w:eastAsia="Arial"/>
                <w:b w:val="0"/>
                <w:i w:val="0"/>
                <w:color w:val="00645E"/>
                <w:sz w:val="17"/>
              </w:rPr>
              <w:t>Independent sides</w:t>
            </w:r>
          </w:p>
        </w:tc>
        <w:tc>
          <w:tcPr>
            <w:tcW w:type="dxa" w:w="7370"/>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3F7F6" w:val="clear"/>
          </w:tcPr>
          <w:p>
            <w:pPr>
              <w:keepNext w:val="0"/>
              <w:spacing w:before="0" w:after="0" w:line="264" w:lineRule="auto"/>
            </w:pPr>
            <w:r>
              <w:rPr>
                <w:rFonts w:ascii="Arial" w:hAnsi="Arial" w:eastAsia="Arial"/>
                <w:b w:val="0"/>
                <w:i w:val="0"/>
                <w:color w:val="111817"/>
                <w:sz w:val="17"/>
              </w:rPr>
              <w:t>Supplier cost and customer sell are separate charge lists. Copying creates a new, unlinked charge and requires confirmation.</w:t>
            </w:r>
          </w:p>
        </w:tc>
      </w:tr>
      <w:tr>
        <w:tc>
          <w:tcPr>
            <w:tcW w:type="dxa" w:w="2324"/>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3F7F6" w:val="clear"/>
          </w:tcPr>
          <w:p>
            <w:pPr>
              <w:keepNext w:val="0"/>
              <w:spacing w:before="0" w:after="0" w:line="264" w:lineRule="auto"/>
            </w:pPr>
            <w:r>
              <w:rPr>
                <w:rFonts w:ascii="Arial" w:hAnsi="Arial" w:eastAsia="Arial"/>
                <w:b w:val="0"/>
                <w:i w:val="0"/>
                <w:color w:val="00645E"/>
                <w:sz w:val="17"/>
              </w:rPr>
              <w:t>One source of truth</w:t>
            </w:r>
          </w:p>
        </w:tc>
        <w:tc>
          <w:tcPr>
            <w:tcW w:type="dxa" w:w="7370"/>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3F7F6" w:val="clear"/>
          </w:tcPr>
          <w:p>
            <w:pPr>
              <w:keepNext w:val="0"/>
              <w:spacing w:before="0" w:after="0" w:line="264" w:lineRule="auto"/>
            </w:pPr>
            <w:r>
              <w:rPr>
                <w:rFonts w:ascii="Arial" w:hAnsi="Arial" w:eastAsia="Arial"/>
                <w:b w:val="0"/>
                <w:i w:val="0"/>
                <w:color w:val="111817"/>
                <w:sz w:val="17"/>
              </w:rPr>
              <w:t>Every calculation names its quantity, value, tariff, rate source and effective date so its result can be audited.</w:t>
            </w:r>
          </w:p>
        </w:tc>
      </w:tr>
      <w:tr>
        <w:tc>
          <w:tcPr>
            <w:tcW w:type="dxa" w:w="2324"/>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3F7F6" w:val="clear"/>
          </w:tcPr>
          <w:p>
            <w:pPr>
              <w:keepNext w:val="0"/>
              <w:spacing w:before="0" w:after="0" w:line="264" w:lineRule="auto"/>
            </w:pPr>
            <w:r>
              <w:rPr>
                <w:rFonts w:ascii="Arial" w:hAnsi="Arial" w:eastAsia="Arial"/>
                <w:b w:val="0"/>
                <w:i w:val="0"/>
                <w:color w:val="00645E"/>
                <w:sz w:val="17"/>
              </w:rPr>
              <w:t>Explain the outcome</w:t>
            </w:r>
          </w:p>
        </w:tc>
        <w:tc>
          <w:tcPr>
            <w:tcW w:type="dxa" w:w="7370"/>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3F7F6" w:val="clear"/>
          </w:tcPr>
          <w:p>
            <w:pPr>
              <w:keepNext w:val="0"/>
              <w:spacing w:before="0" w:after="0" w:line="264" w:lineRule="auto"/>
            </w:pPr>
            <w:r>
              <w:rPr>
                <w:rFonts w:ascii="Arial" w:hAnsi="Arial" w:eastAsia="Arial"/>
                <w:b w:val="0"/>
                <w:i w:val="0"/>
                <w:color w:val="111817"/>
                <w:sz w:val="17"/>
              </w:rPr>
              <w:t>The result panel shows the formula, selected band or rule, inputs used, rounding and any applied minimum or maximum.</w:t>
            </w:r>
          </w:p>
        </w:tc>
      </w:tr>
      <w:tr>
        <w:tc>
          <w:tcPr>
            <w:tcW w:type="dxa" w:w="2324"/>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3F7F6" w:val="clear"/>
          </w:tcPr>
          <w:p>
            <w:pPr>
              <w:keepNext w:val="0"/>
              <w:spacing w:before="0" w:after="0" w:line="264" w:lineRule="auto"/>
            </w:pPr>
            <w:r>
              <w:rPr>
                <w:rFonts w:ascii="Arial" w:hAnsi="Arial" w:eastAsia="Arial"/>
                <w:b w:val="0"/>
                <w:i w:val="0"/>
                <w:color w:val="00645E"/>
                <w:sz w:val="17"/>
              </w:rPr>
              <w:t>Prevent unsafe rating</w:t>
            </w:r>
          </w:p>
        </w:tc>
        <w:tc>
          <w:tcPr>
            <w:tcW w:type="dxa" w:w="7370"/>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3F7F6" w:val="clear"/>
          </w:tcPr>
          <w:p>
            <w:pPr>
              <w:keepNext w:val="0"/>
              <w:spacing w:before="0" w:after="0" w:line="264" w:lineRule="auto"/>
            </w:pPr>
            <w:r>
              <w:rPr>
                <w:rFonts w:ascii="Arial" w:hAnsi="Arial" w:eastAsia="Arial"/>
                <w:b w:val="0"/>
                <w:i w:val="0"/>
                <w:color w:val="111817"/>
                <w:sz w:val="17"/>
              </w:rPr>
              <w:t>Missing data, expired tariffs, restricted bands and incompatible units block or warn before a charge is used.</w:t>
            </w:r>
          </w:p>
        </w:tc>
      </w:tr>
    </w:tbl>
    <w:p>
      <w:pPr>
        <w:pStyle w:val="GuideHeading2"/>
      </w:pPr>
      <w:r>
        <w:t>Standard result panel</w:t>
      </w:r>
    </w:p>
    <w:p>
      <w:pPr>
        <w:pStyle w:val="GuideBody"/>
      </w:pPr>
      <w:r>
        <w:t>Every calculator should return the calculated amount in the selected currency, the local/base-currency equivalent, the applied exchange rate, a short calculation explanation and a compact audit trail. The product should show the relevant controls only; advanced constraints are disclosed when the selected method needs them.</w:t>
      </w:r>
    </w:p>
    <w:p>
      <w:r>
        <w:br w:type="page"/>
      </w:r>
    </w:p>
    <w:p>
      <w:pPr>
        <w:pStyle w:val="GuideEyebrow"/>
      </w:pPr>
      <w:r>
        <w:t>CALCULATOR CATALOGUE</w:t>
      </w:r>
    </w:p>
    <w:p>
      <w:pPr>
        <w:pStyle w:val="GuideHeading1"/>
      </w:pPr>
      <w:r>
        <w:t>25 plain-language pricing methods</w:t>
      </w:r>
    </w:p>
    <w:tbl>
      <w:tblPr>
        <w:tblW w:type="dxa" w:w="9695"/>
        <w:jc w:val="center"/>
        <w:tblLayout w:type="fixed"/>
        <w:tblLook w:firstColumn="1" w:firstRow="1" w:lastColumn="0" w:lastRow="0" w:noHBand="0" w:noVBand="1" w:val="04A0"/>
      </w:tblPr>
      <w:tblGrid>
        <w:gridCol w:w="793"/>
        <w:gridCol w:w="4592"/>
        <w:gridCol w:w="4309"/>
      </w:tblGrid>
      <w:tr>
        <w:trPr>
          <w:tblHeader w:val="true"/>
        </w:trPr>
        <w:tc>
          <w:tcPr>
            <w:tcW w:type="dxa" w:w="794"/>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E8F2F0" w:val="clear"/>
          </w:tcPr>
          <w:p>
            <w:pPr>
              <w:keepNext w:val="0"/>
              <w:spacing w:before="0" w:after="0" w:line="264" w:lineRule="auto"/>
            </w:pPr>
            <w:r>
              <w:rPr>
                <w:rFonts w:ascii="Arial" w:hAnsi="Arial" w:eastAsia="Arial"/>
                <w:b w:val="0"/>
                <w:i w:val="0"/>
                <w:color w:val="00645E"/>
                <w:sz w:val="16"/>
              </w:rPr>
              <w:t>#</w:t>
            </w:r>
          </w:p>
        </w:tc>
        <w:tc>
          <w:tcPr>
            <w:tcW w:type="dxa" w:w="4592"/>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E8F2F0" w:val="clear"/>
          </w:tcPr>
          <w:p>
            <w:pPr>
              <w:keepNext w:val="0"/>
              <w:spacing w:before="0" w:after="0" w:line="264" w:lineRule="auto"/>
            </w:pPr>
            <w:r>
              <w:rPr>
                <w:rFonts w:ascii="Arial" w:hAnsi="Arial" w:eastAsia="Arial"/>
                <w:b w:val="0"/>
                <w:i w:val="0"/>
                <w:color w:val="00645E"/>
                <w:sz w:val="16"/>
              </w:rPr>
              <w:t>Pricing method</w:t>
            </w:r>
          </w:p>
        </w:tc>
        <w:tc>
          <w:tcPr>
            <w:tcW w:type="dxa" w:w="4309"/>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E8F2F0" w:val="clear"/>
          </w:tcPr>
          <w:p>
            <w:pPr>
              <w:keepNext w:val="0"/>
              <w:spacing w:before="0" w:after="0" w:line="264" w:lineRule="auto"/>
            </w:pPr>
            <w:r>
              <w:rPr>
                <w:rFonts w:ascii="Arial" w:hAnsi="Arial" w:eastAsia="Arial"/>
                <w:b w:val="0"/>
                <w:i w:val="0"/>
                <w:color w:val="00645E"/>
                <w:sz w:val="16"/>
              </w:rPr>
              <w:t>Primary use</w:t>
            </w:r>
          </w:p>
        </w:tc>
      </w:tr>
      <w:tr>
        <w:tc>
          <w:tcPr>
            <w:tcW w:type="dxa" w:w="794"/>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52615F"/>
                <w:sz w:val="16"/>
              </w:rPr>
              <w:t>01</w:t>
            </w:r>
          </w:p>
        </w:tc>
        <w:tc>
          <w:tcPr>
            <w:tcW w:type="dxa" w:w="4592"/>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111817"/>
                <w:sz w:val="16"/>
              </w:rPr>
              <w:t>Fixed charge</w:t>
            </w:r>
          </w:p>
        </w:tc>
        <w:tc>
          <w:tcPr>
            <w:tcW w:type="dxa" w:w="4309"/>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111817"/>
                <w:sz w:val="16"/>
              </w:rPr>
              <w:t>Core pricing</w:t>
            </w:r>
          </w:p>
        </w:tc>
      </w:tr>
      <w:tr>
        <w:tc>
          <w:tcPr>
            <w:tcW w:type="dxa" w:w="794"/>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52615F"/>
                <w:sz w:val="16"/>
              </w:rPr>
              <w:t>02</w:t>
            </w:r>
          </w:p>
        </w:tc>
        <w:tc>
          <w:tcPr>
            <w:tcW w:type="dxa" w:w="4592"/>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111817"/>
                <w:sz w:val="16"/>
              </w:rPr>
              <w:t>Rate per unit</w:t>
            </w:r>
          </w:p>
        </w:tc>
        <w:tc>
          <w:tcPr>
            <w:tcW w:type="dxa" w:w="4309"/>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111817"/>
                <w:sz w:val="16"/>
              </w:rPr>
              <w:t>Core pricing</w:t>
            </w:r>
          </w:p>
        </w:tc>
      </w:tr>
      <w:tr>
        <w:tc>
          <w:tcPr>
            <w:tcW w:type="dxa" w:w="794"/>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52615F"/>
                <w:sz w:val="16"/>
              </w:rPr>
              <w:t>03</w:t>
            </w:r>
          </w:p>
        </w:tc>
        <w:tc>
          <w:tcPr>
            <w:tcW w:type="dxa" w:w="4592"/>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111817"/>
                <w:sz w:val="16"/>
              </w:rPr>
              <w:t>Minimum charge</w:t>
            </w:r>
          </w:p>
        </w:tc>
        <w:tc>
          <w:tcPr>
            <w:tcW w:type="dxa" w:w="4309"/>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111817"/>
                <w:sz w:val="16"/>
              </w:rPr>
              <w:t>Core pricing</w:t>
            </w:r>
          </w:p>
        </w:tc>
      </w:tr>
      <w:tr>
        <w:tc>
          <w:tcPr>
            <w:tcW w:type="dxa" w:w="794"/>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52615F"/>
                <w:sz w:val="16"/>
              </w:rPr>
              <w:t>04</w:t>
            </w:r>
          </w:p>
        </w:tc>
        <w:tc>
          <w:tcPr>
            <w:tcW w:type="dxa" w:w="4592"/>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111817"/>
                <w:sz w:val="16"/>
              </w:rPr>
              <w:t>Minimum with unit rate</w:t>
            </w:r>
          </w:p>
        </w:tc>
        <w:tc>
          <w:tcPr>
            <w:tcW w:type="dxa" w:w="4309"/>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111817"/>
                <w:sz w:val="16"/>
              </w:rPr>
              <w:t>Core pricing</w:t>
            </w:r>
          </w:p>
        </w:tc>
      </w:tr>
      <w:tr>
        <w:tc>
          <w:tcPr>
            <w:tcW w:type="dxa" w:w="794"/>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52615F"/>
                <w:sz w:val="16"/>
              </w:rPr>
              <w:t>05</w:t>
            </w:r>
          </w:p>
        </w:tc>
        <w:tc>
          <w:tcPr>
            <w:tcW w:type="dxa" w:w="4592"/>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111817"/>
                <w:sz w:val="16"/>
              </w:rPr>
              <w:t>Rate bands</w:t>
            </w:r>
          </w:p>
        </w:tc>
        <w:tc>
          <w:tcPr>
            <w:tcW w:type="dxa" w:w="4309"/>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111817"/>
                <w:sz w:val="16"/>
              </w:rPr>
              <w:t>Freight pricing</w:t>
            </w:r>
          </w:p>
        </w:tc>
      </w:tr>
      <w:tr>
        <w:tc>
          <w:tcPr>
            <w:tcW w:type="dxa" w:w="794"/>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52615F"/>
                <w:sz w:val="16"/>
              </w:rPr>
              <w:t>06</w:t>
            </w:r>
          </w:p>
        </w:tc>
        <w:tc>
          <w:tcPr>
            <w:tcW w:type="dxa" w:w="4592"/>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111817"/>
                <w:sz w:val="16"/>
              </w:rPr>
              <w:t>Base plus unit rate</w:t>
            </w:r>
          </w:p>
        </w:tc>
        <w:tc>
          <w:tcPr>
            <w:tcW w:type="dxa" w:w="4309"/>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111817"/>
                <w:sz w:val="16"/>
              </w:rPr>
              <w:t>Freight pricing</w:t>
            </w:r>
          </w:p>
        </w:tc>
      </w:tr>
      <w:tr>
        <w:tc>
          <w:tcPr>
            <w:tcW w:type="dxa" w:w="794"/>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52615F"/>
                <w:sz w:val="16"/>
              </w:rPr>
              <w:t>07</w:t>
            </w:r>
          </w:p>
        </w:tc>
        <w:tc>
          <w:tcPr>
            <w:tcW w:type="dxa" w:w="4592"/>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111817"/>
                <w:sz w:val="16"/>
              </w:rPr>
              <w:t>Cost-linked sell rule</w:t>
            </w:r>
          </w:p>
        </w:tc>
        <w:tc>
          <w:tcPr>
            <w:tcW w:type="dxa" w:w="4309"/>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111817"/>
                <w:sz w:val="16"/>
              </w:rPr>
              <w:t>Commercial controls</w:t>
            </w:r>
          </w:p>
        </w:tc>
      </w:tr>
      <w:tr>
        <w:tc>
          <w:tcPr>
            <w:tcW w:type="dxa" w:w="794"/>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52615F"/>
                <w:sz w:val="16"/>
              </w:rPr>
              <w:t>08</w:t>
            </w:r>
          </w:p>
        </w:tc>
        <w:tc>
          <w:tcPr>
            <w:tcW w:type="dxa" w:w="4592"/>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111817"/>
                <w:sz w:val="16"/>
              </w:rPr>
              <w:t>Tariff adjustment</w:t>
            </w:r>
          </w:p>
        </w:tc>
        <w:tc>
          <w:tcPr>
            <w:tcW w:type="dxa" w:w="4309"/>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111817"/>
                <w:sz w:val="16"/>
              </w:rPr>
              <w:t>Commercial controls</w:t>
            </w:r>
          </w:p>
        </w:tc>
      </w:tr>
      <w:tr>
        <w:tc>
          <w:tcPr>
            <w:tcW w:type="dxa" w:w="794"/>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52615F"/>
                <w:sz w:val="16"/>
              </w:rPr>
              <w:t>09</w:t>
            </w:r>
          </w:p>
        </w:tc>
        <w:tc>
          <w:tcPr>
            <w:tcW w:type="dxa" w:w="4592"/>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111817"/>
                <w:sz w:val="16"/>
              </w:rPr>
              <w:t>Customs clearance fee</w:t>
            </w:r>
          </w:p>
        </w:tc>
        <w:tc>
          <w:tcPr>
            <w:tcW w:type="dxa" w:w="4309"/>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111817"/>
                <w:sz w:val="16"/>
              </w:rPr>
              <w:t>Customs</w:t>
            </w:r>
          </w:p>
        </w:tc>
      </w:tr>
      <w:tr>
        <w:tc>
          <w:tcPr>
            <w:tcW w:type="dxa" w:w="794"/>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52615F"/>
                <w:sz w:val="16"/>
              </w:rPr>
              <w:t>10</w:t>
            </w:r>
          </w:p>
        </w:tc>
        <w:tc>
          <w:tcPr>
            <w:tcW w:type="dxa" w:w="4592"/>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111817"/>
                <w:sz w:val="16"/>
              </w:rPr>
              <w:t>Percentage uplift</w:t>
            </w:r>
          </w:p>
        </w:tc>
        <w:tc>
          <w:tcPr>
            <w:tcW w:type="dxa" w:w="4309"/>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111817"/>
                <w:sz w:val="16"/>
              </w:rPr>
              <w:t>Commercial controls</w:t>
            </w:r>
          </w:p>
        </w:tc>
      </w:tr>
      <w:tr>
        <w:tc>
          <w:tcPr>
            <w:tcW w:type="dxa" w:w="794"/>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52615F"/>
                <w:sz w:val="16"/>
              </w:rPr>
              <w:t>11</w:t>
            </w:r>
          </w:p>
        </w:tc>
        <w:tc>
          <w:tcPr>
            <w:tcW w:type="dxa" w:w="4592"/>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111817"/>
                <w:sz w:val="16"/>
              </w:rPr>
              <w:t>Distance zone pricing</w:t>
            </w:r>
          </w:p>
        </w:tc>
        <w:tc>
          <w:tcPr>
            <w:tcW w:type="dxa" w:w="4309"/>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111817"/>
                <w:sz w:val="16"/>
              </w:rPr>
              <w:t>Transport</w:t>
            </w:r>
          </w:p>
        </w:tc>
      </w:tr>
      <w:tr>
        <w:tc>
          <w:tcPr>
            <w:tcW w:type="dxa" w:w="794"/>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52615F"/>
                <w:sz w:val="16"/>
              </w:rPr>
              <w:t>12</w:t>
            </w:r>
          </w:p>
        </w:tc>
        <w:tc>
          <w:tcPr>
            <w:tcW w:type="dxa" w:w="4592"/>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111817"/>
                <w:sz w:val="16"/>
              </w:rPr>
              <w:t>Transport band pricing</w:t>
            </w:r>
          </w:p>
        </w:tc>
        <w:tc>
          <w:tcPr>
            <w:tcW w:type="dxa" w:w="4309"/>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111817"/>
                <w:sz w:val="16"/>
              </w:rPr>
              <w:t>Transport</w:t>
            </w:r>
          </w:p>
        </w:tc>
      </w:tr>
      <w:tr>
        <w:tc>
          <w:tcPr>
            <w:tcW w:type="dxa" w:w="794"/>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52615F"/>
                <w:sz w:val="16"/>
              </w:rPr>
              <w:t>13</w:t>
            </w:r>
          </w:p>
        </w:tc>
        <w:tc>
          <w:tcPr>
            <w:tcW w:type="dxa" w:w="4592"/>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111817"/>
                <w:sz w:val="16"/>
              </w:rPr>
              <w:t>First plus additional</w:t>
            </w:r>
          </w:p>
        </w:tc>
        <w:tc>
          <w:tcPr>
            <w:tcW w:type="dxa" w:w="4309"/>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111817"/>
                <w:sz w:val="16"/>
              </w:rPr>
              <w:t>Operations</w:t>
            </w:r>
          </w:p>
        </w:tc>
      </w:tr>
      <w:tr>
        <w:tc>
          <w:tcPr>
            <w:tcW w:type="dxa" w:w="794"/>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52615F"/>
                <w:sz w:val="16"/>
              </w:rPr>
              <w:t>14</w:t>
            </w:r>
          </w:p>
        </w:tc>
        <w:tc>
          <w:tcPr>
            <w:tcW w:type="dxa" w:w="4592"/>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111817"/>
                <w:sz w:val="16"/>
              </w:rPr>
              <w:t>Quote note</w:t>
            </w:r>
          </w:p>
        </w:tc>
        <w:tc>
          <w:tcPr>
            <w:tcW w:type="dxa" w:w="4309"/>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111817"/>
                <w:sz w:val="16"/>
              </w:rPr>
              <w:t>Presentation</w:t>
            </w:r>
          </w:p>
        </w:tc>
      </w:tr>
      <w:tr>
        <w:tc>
          <w:tcPr>
            <w:tcW w:type="dxa" w:w="794"/>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52615F"/>
                <w:sz w:val="16"/>
              </w:rPr>
              <w:t>15</w:t>
            </w:r>
          </w:p>
        </w:tc>
        <w:tc>
          <w:tcPr>
            <w:tcW w:type="dxa" w:w="4592"/>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111817"/>
                <w:sz w:val="16"/>
              </w:rPr>
              <w:t>Package profile pricing</w:t>
            </w:r>
          </w:p>
        </w:tc>
        <w:tc>
          <w:tcPr>
            <w:tcW w:type="dxa" w:w="4309"/>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111817"/>
                <w:sz w:val="16"/>
              </w:rPr>
              <w:t>Warehouse</w:t>
            </w:r>
          </w:p>
        </w:tc>
      </w:tr>
      <w:tr>
        <w:tc>
          <w:tcPr>
            <w:tcW w:type="dxa" w:w="794"/>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52615F"/>
                <w:sz w:val="16"/>
              </w:rPr>
              <w:t>16</w:t>
            </w:r>
          </w:p>
        </w:tc>
        <w:tc>
          <w:tcPr>
            <w:tcW w:type="dxa" w:w="4592"/>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111817"/>
                <w:sz w:val="16"/>
              </w:rPr>
              <w:t>Location profile pricing</w:t>
            </w:r>
          </w:p>
        </w:tc>
        <w:tc>
          <w:tcPr>
            <w:tcW w:type="dxa" w:w="4309"/>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111817"/>
                <w:sz w:val="16"/>
              </w:rPr>
              <w:t>Warehouse</w:t>
            </w:r>
          </w:p>
        </w:tc>
      </w:tr>
      <w:tr>
        <w:tc>
          <w:tcPr>
            <w:tcW w:type="dxa" w:w="794"/>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52615F"/>
                <w:sz w:val="16"/>
              </w:rPr>
              <w:t>17</w:t>
            </w:r>
          </w:p>
        </w:tc>
        <w:tc>
          <w:tcPr>
            <w:tcW w:type="dxa" w:w="4592"/>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111817"/>
                <w:sz w:val="16"/>
              </w:rPr>
              <w:t>Time period pricing</w:t>
            </w:r>
          </w:p>
        </w:tc>
        <w:tc>
          <w:tcPr>
            <w:tcW w:type="dxa" w:w="4309"/>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111817"/>
                <w:sz w:val="16"/>
              </w:rPr>
              <w:t>Warehouse</w:t>
            </w:r>
          </w:p>
        </w:tc>
      </w:tr>
      <w:tr>
        <w:tc>
          <w:tcPr>
            <w:tcW w:type="dxa" w:w="794"/>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52615F"/>
                <w:sz w:val="16"/>
              </w:rPr>
              <w:t>18</w:t>
            </w:r>
          </w:p>
        </w:tc>
        <w:tc>
          <w:tcPr>
            <w:tcW w:type="dxa" w:w="4592"/>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111817"/>
                <w:sz w:val="16"/>
              </w:rPr>
              <w:t>Percentage bands</w:t>
            </w:r>
          </w:p>
        </w:tc>
        <w:tc>
          <w:tcPr>
            <w:tcW w:type="dxa" w:w="4309"/>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111817"/>
                <w:sz w:val="16"/>
              </w:rPr>
              <w:t>Commercial controls</w:t>
            </w:r>
          </w:p>
        </w:tc>
      </w:tr>
      <w:tr>
        <w:tc>
          <w:tcPr>
            <w:tcW w:type="dxa" w:w="794"/>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52615F"/>
                <w:sz w:val="16"/>
              </w:rPr>
              <w:t>19</w:t>
            </w:r>
          </w:p>
        </w:tc>
        <w:tc>
          <w:tcPr>
            <w:tcW w:type="dxa" w:w="4592"/>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111817"/>
                <w:sz w:val="16"/>
              </w:rPr>
              <w:t>Best outcome rate</w:t>
            </w:r>
          </w:p>
        </w:tc>
        <w:tc>
          <w:tcPr>
            <w:tcW w:type="dxa" w:w="4309"/>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111817"/>
                <w:sz w:val="16"/>
              </w:rPr>
              <w:t>Freight pricing</w:t>
            </w:r>
          </w:p>
        </w:tc>
      </w:tr>
      <w:tr>
        <w:tc>
          <w:tcPr>
            <w:tcW w:type="dxa" w:w="794"/>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52615F"/>
                <w:sz w:val="16"/>
              </w:rPr>
              <w:t>20</w:t>
            </w:r>
          </w:p>
        </w:tc>
        <w:tc>
          <w:tcPr>
            <w:tcW w:type="dxa" w:w="4592"/>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111817"/>
                <w:sz w:val="16"/>
              </w:rPr>
              <w:t>Disbursement finance charge</w:t>
            </w:r>
          </w:p>
        </w:tc>
        <w:tc>
          <w:tcPr>
            <w:tcW w:type="dxa" w:w="4309"/>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111817"/>
                <w:sz w:val="16"/>
              </w:rPr>
              <w:t>Finance</w:t>
            </w:r>
          </w:p>
        </w:tc>
      </w:tr>
      <w:tr>
        <w:tc>
          <w:tcPr>
            <w:tcW w:type="dxa" w:w="794"/>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52615F"/>
                <w:sz w:val="16"/>
              </w:rPr>
              <w:t>21</w:t>
            </w:r>
          </w:p>
        </w:tc>
        <w:tc>
          <w:tcPr>
            <w:tcW w:type="dxa" w:w="4592"/>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111817"/>
                <w:sz w:val="16"/>
              </w:rPr>
              <w:t>Value bands</w:t>
            </w:r>
          </w:p>
        </w:tc>
        <w:tc>
          <w:tcPr>
            <w:tcW w:type="dxa" w:w="4309"/>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111817"/>
                <w:sz w:val="16"/>
              </w:rPr>
              <w:t>Commercial controls</w:t>
            </w:r>
          </w:p>
        </w:tc>
      </w:tr>
      <w:tr>
        <w:tc>
          <w:tcPr>
            <w:tcW w:type="dxa" w:w="794"/>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52615F"/>
                <w:sz w:val="16"/>
              </w:rPr>
              <w:t>22</w:t>
            </w:r>
          </w:p>
        </w:tc>
        <w:tc>
          <w:tcPr>
            <w:tcW w:type="dxa" w:w="4592"/>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111817"/>
                <w:sz w:val="16"/>
              </w:rPr>
              <w:t>Volume balance discount</w:t>
            </w:r>
          </w:p>
        </w:tc>
        <w:tc>
          <w:tcPr>
            <w:tcW w:type="dxa" w:w="4309"/>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111817"/>
                <w:sz w:val="16"/>
              </w:rPr>
              <w:t>Contract pricing</w:t>
            </w:r>
          </w:p>
        </w:tc>
      </w:tr>
      <w:tr>
        <w:tc>
          <w:tcPr>
            <w:tcW w:type="dxa" w:w="794"/>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52615F"/>
                <w:sz w:val="16"/>
              </w:rPr>
              <w:t>23</w:t>
            </w:r>
          </w:p>
        </w:tc>
        <w:tc>
          <w:tcPr>
            <w:tcW w:type="dxa" w:w="4592"/>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111817"/>
                <w:sz w:val="16"/>
              </w:rPr>
              <w:t>Package count pricing</w:t>
            </w:r>
          </w:p>
        </w:tc>
        <w:tc>
          <w:tcPr>
            <w:tcW w:type="dxa" w:w="4309"/>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111817"/>
                <w:sz w:val="16"/>
              </w:rPr>
              <w:t>Operations</w:t>
            </w:r>
          </w:p>
        </w:tc>
      </w:tr>
      <w:tr>
        <w:tc>
          <w:tcPr>
            <w:tcW w:type="dxa" w:w="794"/>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52615F"/>
                <w:sz w:val="16"/>
              </w:rPr>
              <w:t>24</w:t>
            </w:r>
          </w:p>
        </w:tc>
        <w:tc>
          <w:tcPr>
            <w:tcW w:type="dxa" w:w="4592"/>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111817"/>
                <w:sz w:val="16"/>
              </w:rPr>
              <w:t>Release service pricing</w:t>
            </w:r>
          </w:p>
        </w:tc>
        <w:tc>
          <w:tcPr>
            <w:tcW w:type="dxa" w:w="4309"/>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111817"/>
                <w:sz w:val="16"/>
              </w:rPr>
              <w:t>Operations</w:t>
            </w:r>
          </w:p>
        </w:tc>
      </w:tr>
      <w:tr>
        <w:tc>
          <w:tcPr>
            <w:tcW w:type="dxa" w:w="794"/>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52615F"/>
                <w:sz w:val="16"/>
              </w:rPr>
              <w:t>25</w:t>
            </w:r>
          </w:p>
        </w:tc>
        <w:tc>
          <w:tcPr>
            <w:tcW w:type="dxa" w:w="4592"/>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111817"/>
                <w:sz w:val="16"/>
              </w:rPr>
              <w:t>Month split storage</w:t>
            </w:r>
          </w:p>
        </w:tc>
        <w:tc>
          <w:tcPr>
            <w:tcW w:type="dxa" w:w="4309"/>
            <w:tcBorders>
              <w:top w:val="single" w:sz="5" w:space="0" w:color="CDDCD9"/>
              <w:left w:val="single" w:sz="5" w:space="0" w:color="CDDCD9"/>
              <w:bottom w:val="single" w:sz="5" w:space="0" w:color="CDDCD9"/>
              <w:right w:val="single" w:sz="5" w:space="0" w:color="CDDCD9"/>
            </w:tcBorders>
            <w:tcMar>
              <w:top w:w="60" w:type="dxa"/>
              <w:start w:w="110" w:type="dxa"/>
              <w:bottom w:w="60" w:type="dxa"/>
              <w:end w:w="110" w:type="dxa"/>
            </w:tcMar>
            <w:vAlign w:val="center"/>
            <w:shd w:fill="FFFFFF" w:val="clear"/>
          </w:tcPr>
          <w:p>
            <w:pPr>
              <w:keepNext w:val="0"/>
              <w:spacing w:before="0" w:after="0" w:line="264" w:lineRule="auto"/>
            </w:pPr>
            <w:r>
              <w:rPr>
                <w:rFonts w:ascii="Arial" w:hAnsi="Arial" w:eastAsia="Arial"/>
                <w:b w:val="0"/>
                <w:i w:val="0"/>
                <w:color w:val="111817"/>
                <w:sz w:val="16"/>
              </w:rPr>
              <w:t>Warehouse</w:t>
            </w:r>
          </w:p>
        </w:tc>
      </w:tr>
    </w:tbl>
    <w:p>
      <w:pPr>
        <w:sectPr>
          <w:headerReference w:type="default" r:id="rId12"/>
          <w:footerReference w:type="default" r:id="rId13"/>
          <w:pgSz w:w="11906" w:h="16838"/>
          <w:pgMar w:top="1872" w:right="1022" w:bottom="893" w:left="1022" w:header="360" w:footer="403" w:gutter="0"/>
          <w:cols w:space="720"/>
          <w:docGrid w:linePitch="360"/>
        </w:sectPr>
      </w:pPr>
    </w:p>
    <w:p>
      <w:pPr>
        <w:pStyle w:val="GuideEyebrow"/>
      </w:pPr>
      <w:r>
        <w:t>CALCULATOR 01 / CORE PRICING</w:t>
      </w:r>
    </w:p>
    <w:p>
      <w:pPr>
        <w:pStyle w:val="GuideHeading1"/>
      </w:pPr>
      <w:r>
        <w:t>Fixed charge</w:t>
      </w:r>
    </w:p>
    <w:p>
      <w:pPr>
        <w:pStyle w:val="GuideLead"/>
      </w:pPr>
      <w:r>
        <w:t>Apply one agreed amount regardless of shipment quantity, weight or volume.</w:t>
      </w:r>
    </w:p>
    <w:tbl>
      <w:tblPr>
        <w:tblW w:type="dxa" w:w="9695"/>
        <w:jc w:val="center"/>
        <w:tblLayout w:type="fixed"/>
        <w:tblLook w:firstColumn="1" w:firstRow="1" w:lastColumn="0" w:lastRow="0" w:noHBand="0" w:noVBand="1" w:val="04A0"/>
      </w:tblPr>
      <w:tblGrid>
        <w:gridCol w:w="3288"/>
        <w:gridCol w:w="6407"/>
      </w:tblGrid>
      <w:tr>
        <w:trPr>
          <w:tblHeader w:val="true"/>
        </w:trPr>
        <w:tc>
          <w:tcPr>
            <w:tcW w:type="dxa" w:w="328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E8F2F0" w:val="clear"/>
          </w:tcPr>
          <w:p>
            <w:pPr>
              <w:keepNext w:val="0"/>
              <w:spacing w:before="0" w:after="0" w:line="264" w:lineRule="auto"/>
            </w:pPr>
            <w:r>
              <w:rPr>
                <w:rFonts w:ascii="Arial" w:hAnsi="Arial" w:eastAsia="Arial"/>
                <w:b w:val="0"/>
                <w:i w:val="0"/>
                <w:color w:val="00645E"/>
                <w:sz w:val="17"/>
              </w:rPr>
              <w:t>Pricing method</w:t>
            </w:r>
          </w:p>
        </w:tc>
        <w:tc>
          <w:tcPr>
            <w:tcW w:type="dxa" w:w="6406"/>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E8F2F0" w:val="clear"/>
          </w:tcPr>
          <w:p>
            <w:pPr>
              <w:keepNext w:val="0"/>
              <w:spacing w:before="0" w:after="0" w:line="264" w:lineRule="auto"/>
            </w:pPr>
            <w:r>
              <w:rPr>
                <w:rFonts w:ascii="Arial" w:hAnsi="Arial" w:eastAsia="Arial"/>
                <w:b w:val="0"/>
                <w:i w:val="0"/>
                <w:color w:val="00645E"/>
                <w:sz w:val="17"/>
              </w:rPr>
              <w:t>How it behaves</w:t>
            </w:r>
          </w:p>
        </w:tc>
      </w:tr>
      <w:tr>
        <w:tc>
          <w:tcPr>
            <w:tcW w:type="dxa" w:w="328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FFFFF" w:val="clear"/>
          </w:tcPr>
          <w:p>
            <w:pPr>
              <w:keepNext w:val="0"/>
              <w:spacing w:before="0" w:after="0" w:line="264" w:lineRule="auto"/>
            </w:pPr>
            <w:r>
              <w:rPr>
                <w:rFonts w:ascii="Arial" w:hAnsi="Arial" w:eastAsia="Arial"/>
                <w:b w:val="0"/>
                <w:i w:val="0"/>
                <w:color w:val="00645E"/>
                <w:sz w:val="17"/>
              </w:rPr>
              <w:t>One amount</w:t>
            </w:r>
          </w:p>
        </w:tc>
        <w:tc>
          <w:tcPr>
            <w:tcW w:type="dxa" w:w="6406"/>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FFFFF" w:val="clear"/>
          </w:tcPr>
          <w:p>
            <w:pPr>
              <w:keepNext w:val="0"/>
              <w:spacing w:before="0" w:after="0" w:line="264" w:lineRule="auto"/>
            </w:pPr>
            <w:r>
              <w:rPr>
                <w:rFonts w:ascii="Arial" w:hAnsi="Arial" w:eastAsia="Arial"/>
                <w:b w:val="0"/>
                <w:i w:val="0"/>
                <w:color w:val="111817"/>
                <w:sz w:val="17"/>
              </w:rPr>
              <w:t>Result = fixed amount.</w:t>
            </w:r>
          </w:p>
        </w:tc>
      </w:tr>
    </w:tbl>
    <w:p>
      <w:pPr>
        <w:keepNext w:val="0"/>
        <w:spacing w:before="0" w:after="100" w:line="276" w:lineRule="auto"/>
      </w:pPr>
      <w:r>
        <w:rPr>
          <w:rFonts w:ascii="Arial" w:hAnsi="Arial" w:eastAsia="Arial"/>
          <w:b w:val="0"/>
          <w:i w:val="0"/>
          <w:color w:val="111817"/>
          <w:sz w:val="4"/>
        </w:rPr>
      </w:r>
    </w:p>
    <w:tbl>
      <w:tblPr>
        <w:tblW w:type="dxa" w:w="9695"/>
        <w:jc w:val="center"/>
        <w:tblLayout w:type="fixed"/>
        <w:tblLook w:firstColumn="1" w:firstRow="1" w:lastColumn="0" w:lastRow="0" w:noHBand="0" w:noVBand="1" w:val="04A0"/>
      </w:tblPr>
      <w:tblGrid>
        <w:gridCol w:w="4847"/>
        <w:gridCol w:w="4847"/>
      </w:tblGrid>
      <w:tr>
        <w:tc>
          <w:tcPr>
            <w:tcW w:type="dxa" w:w="4847"/>
            <w:tcBorders>
              <w:top w:val="single" w:sz="5" w:space="0" w:color="CDDCD9"/>
              <w:left w:val="single" w:sz="5" w:space="0" w:color="CDDCD9"/>
              <w:bottom w:val="single" w:sz="5" w:space="0" w:color="CDDCD9"/>
              <w:right w:val="single" w:sz="5" w:space="0" w:color="CDDCD9"/>
            </w:tcBorders>
            <w:shd w:fill="F3F7F6" w:val="clear"/>
            <w:tcMar>
              <w:top w:w="120" w:type="dxa"/>
              <w:start w:w="150" w:type="dxa"/>
              <w:bottom w:w="130" w:type="dxa"/>
              <w:end w:w="150" w:type="dxa"/>
            </w:tcMar>
            <w:vAlign w:val="top"/>
          </w:tcPr>
          <w:p>
            <w:pPr>
              <w:keepNext w:val="0"/>
              <w:spacing w:before="0" w:after="0" w:line="264" w:lineRule="auto"/>
            </w:pPr>
            <w:r>
              <w:rPr>
                <w:rFonts w:ascii="Arial" w:hAnsi="Arial" w:eastAsia="Arial"/>
                <w:b w:val="0"/>
                <w:i w:val="0"/>
                <w:color w:val="00645E"/>
                <w:sz w:val="18"/>
              </w:rPr>
              <w:t>Inputs</w:t>
            </w:r>
          </w:p>
          <w:p>
            <w:pPr>
              <w:pStyle w:val="ListBullet"/>
              <w:keepNext w:val="0"/>
              <w:spacing w:before="0" w:after="0" w:line="245" w:lineRule="auto"/>
              <w:ind w:left="198" w:hanging="102"/>
            </w:pPr>
            <w:r>
              <w:rPr>
                <w:rFonts w:ascii="Arial" w:hAnsi="Arial" w:eastAsia="Arial"/>
                <w:b w:val="0"/>
                <w:i w:val="0"/>
                <w:color w:val="111817"/>
                <w:sz w:val="17"/>
              </w:rPr>
              <w:t>Charge amount</w:t>
            </w:r>
          </w:p>
          <w:p>
            <w:pPr>
              <w:pStyle w:val="ListBullet"/>
              <w:keepNext w:val="0"/>
              <w:spacing w:before="0" w:after="0" w:line="245" w:lineRule="auto"/>
              <w:ind w:left="198" w:hanging="102"/>
            </w:pPr>
            <w:r>
              <w:rPr>
                <w:rFonts w:ascii="Arial" w:hAnsi="Arial" w:eastAsia="Arial"/>
                <w:b w:val="0"/>
                <w:i w:val="0"/>
                <w:color w:val="111817"/>
                <w:sz w:val="17"/>
              </w:rPr>
              <w:t>Charge currency</w:t>
            </w:r>
          </w:p>
          <w:p>
            <w:pPr>
              <w:pStyle w:val="ListBullet"/>
              <w:keepNext w:val="0"/>
              <w:spacing w:before="0" w:after="0" w:line="245" w:lineRule="auto"/>
              <w:ind w:left="198" w:hanging="102"/>
            </w:pPr>
            <w:r>
              <w:rPr>
                <w:rFonts w:ascii="Arial" w:hAnsi="Arial" w:eastAsia="Arial"/>
                <w:b w:val="0"/>
                <w:i w:val="0"/>
                <w:color w:val="111817"/>
                <w:sz w:val="17"/>
              </w:rPr>
              <w:t>Scope: shipment, file or service</w:t>
            </w:r>
          </w:p>
        </w:tc>
        <w:tc>
          <w:tcPr>
            <w:tcW w:type="dxa" w:w="4847"/>
            <w:tcBorders>
              <w:top w:val="single" w:sz="5" w:space="0" w:color="CDDCD9"/>
              <w:left w:val="single" w:sz="5" w:space="0" w:color="CDDCD9"/>
              <w:bottom w:val="single" w:sz="5" w:space="0" w:color="CDDCD9"/>
              <w:right w:val="single" w:sz="5" w:space="0" w:color="CDDCD9"/>
            </w:tcBorders>
            <w:shd w:fill="F8F4EA" w:val="clear"/>
            <w:tcMar>
              <w:top w:w="120" w:type="dxa"/>
              <w:start w:w="150" w:type="dxa"/>
              <w:bottom w:w="130" w:type="dxa"/>
              <w:end w:w="150" w:type="dxa"/>
            </w:tcMar>
            <w:vAlign w:val="top"/>
          </w:tcPr>
          <w:p>
            <w:pPr>
              <w:keepNext w:val="0"/>
              <w:spacing w:before="0" w:after="0" w:line="264" w:lineRule="auto"/>
            </w:pPr>
            <w:r>
              <w:rPr>
                <w:rFonts w:ascii="Arial" w:hAnsi="Arial" w:eastAsia="Arial"/>
                <w:b w:val="0"/>
                <w:i w:val="0"/>
                <w:color w:val="00645E"/>
                <w:sz w:val="18"/>
              </w:rPr>
              <w:t>Operator safeguard</w:t>
            </w:r>
          </w:p>
          <w:p>
            <w:pPr>
              <w:keepNext w:val="0"/>
              <w:spacing w:before="0" w:after="0" w:line="276" w:lineRule="auto"/>
            </w:pPr>
            <w:r>
              <w:rPr>
                <w:rFonts w:ascii="Arial" w:hAnsi="Arial" w:eastAsia="Arial"/>
                <w:b w:val="0"/>
                <w:i w:val="0"/>
                <w:color w:val="111817"/>
                <w:sz w:val="17"/>
              </w:rPr>
              <w:t>Use only where the charge genuinely does not vary with activity. Show the scope so operators know when it applies.</w:t>
            </w:r>
          </w:p>
        </w:tc>
      </w:tr>
    </w:tbl>
    <w:p>
      <w:pPr>
        <w:keepNext w:val="0"/>
        <w:spacing w:before="0" w:after="100" w:line="276" w:lineRule="auto"/>
      </w:pPr>
      <w:r>
        <w:rPr>
          <w:rFonts w:ascii="Arial" w:hAnsi="Arial" w:eastAsia="Arial"/>
          <w:b w:val="0"/>
          <w:i w:val="0"/>
          <w:color w:val="111817"/>
          <w:sz w:val="4"/>
        </w:rPr>
      </w:r>
    </w:p>
    <w:tbl>
      <w:tblPr>
        <w:tblW w:type="dxa" w:w="9695"/>
        <w:jc w:val="center"/>
        <w:tblLayout w:type="fixed"/>
        <w:tblLook w:firstColumn="1" w:firstRow="1" w:lastColumn="0" w:lastRow="0" w:noHBand="0" w:noVBand="1" w:val="04A0"/>
      </w:tblPr>
      <w:tblGrid>
        <w:gridCol w:w="9695"/>
      </w:tblGrid>
      <w:tr>
        <w:tc>
          <w:tcPr>
            <w:tcW w:type="dxa" w:w="9694"/>
            <w:tcBorders>
              <w:top w:val="single" w:sz="5" w:space="0" w:color="B9D6D0"/>
              <w:left w:val="single" w:sz="5" w:space="0" w:color="B9D6D0"/>
              <w:bottom w:val="single" w:sz="5" w:space="0" w:color="B9D6D0"/>
              <w:right w:val="single" w:sz="5" w:space="0" w:color="B9D6D0"/>
            </w:tcBorders>
            <w:shd w:fill="14877D" w:val="clear"/>
            <w:tcMar>
              <w:top w:w="75" w:type="dxa"/>
              <w:start w:w="150" w:type="dxa"/>
              <w:bottom w:w="75" w:type="dxa"/>
              <w:end w:w="150" w:type="dxa"/>
            </w:tcMar>
          </w:tcPr>
          <w:p>
            <w:pPr>
              <w:keepNext w:val="0"/>
              <w:spacing w:before="0" w:after="0" w:line="264" w:lineRule="auto"/>
            </w:pPr>
            <w:r>
              <w:rPr>
                <w:rFonts w:ascii="Arial" w:hAnsi="Arial" w:eastAsia="Arial"/>
                <w:b w:val="0"/>
                <w:i w:val="0"/>
                <w:color w:val="FFFFFF"/>
                <w:sz w:val="18"/>
              </w:rPr>
              <w:t>Example</w:t>
            </w:r>
          </w:p>
        </w:tc>
      </w:tr>
      <w:tr>
        <w:tc>
          <w:tcPr>
            <w:tcW w:type="dxa" w:w="9694"/>
            <w:tcBorders>
              <w:top w:val="single" w:sz="5" w:space="0" w:color="B9D6D0"/>
              <w:left w:val="single" w:sz="5" w:space="0" w:color="B9D6D0"/>
              <w:bottom w:val="single" w:sz="5" w:space="0" w:color="B9D6D0"/>
              <w:right w:val="single" w:sz="5" w:space="0" w:color="B9D6D0"/>
            </w:tcBorders>
            <w:shd w:fill="F3F7F6" w:val="clear"/>
            <w:tcMar>
              <w:top w:w="105" w:type="dxa"/>
              <w:start w:w="150" w:type="dxa"/>
              <w:bottom w:w="105" w:type="dxa"/>
              <w:end w:w="150" w:type="dxa"/>
            </w:tcMar>
          </w:tcPr>
          <w:p>
            <w:pPr>
              <w:keepNext w:val="0"/>
              <w:spacing w:before="0" w:after="0" w:line="264" w:lineRule="auto"/>
            </w:pPr>
            <w:r>
              <w:rPr>
                <w:rFonts w:ascii="Arial" w:hAnsi="Arial" w:eastAsia="Arial"/>
                <w:b w:val="0"/>
                <w:i w:val="0"/>
                <w:color w:val="111817"/>
                <w:sz w:val="17"/>
              </w:rPr>
              <w:t>Documentation fee: GBP 45.00 per shipment.</w:t>
            </w:r>
          </w:p>
        </w:tc>
      </w:tr>
    </w:tbl>
    <w:p>
      <w:pPr>
        <w:pStyle w:val="GuideHeading2"/>
      </w:pPr>
      <w:r>
        <w:t>Multideck interaction pattern</w:t>
      </w:r>
    </w:p>
    <w:p>
      <w:pPr>
        <w:pStyle w:val="GuideBody"/>
      </w:pPr>
      <w:r>
        <w:t>Choose this pricing method from a plain-language selector. Multideck then reveals only the relevant inputs, validates missing data before rating, and keeps a live explanation beside the result. The charge remains independent on the supplier and customer sides unless an operator explicitly copies it.</w:t>
      </w:r>
    </w:p>
    <w:p>
      <w:r>
        <w:br w:type="page"/>
      </w:r>
    </w:p>
    <w:p>
      <w:pPr>
        <w:pStyle w:val="GuideEyebrow"/>
      </w:pPr>
      <w:r>
        <w:t>CALCULATOR 02 / CORE PRICING</w:t>
      </w:r>
    </w:p>
    <w:p>
      <w:pPr>
        <w:pStyle w:val="GuideHeading1"/>
      </w:pPr>
      <w:r>
        <w:t>Rate per unit</w:t>
      </w:r>
    </w:p>
    <w:p>
      <w:pPr>
        <w:pStyle w:val="GuideLead"/>
      </w:pPr>
      <w:r>
        <w:t>Price a charge against a selected measurable unit such as kg, cbm, pallet, container or hour.</w:t>
      </w:r>
    </w:p>
    <w:tbl>
      <w:tblPr>
        <w:tblW w:type="dxa" w:w="9695"/>
        <w:jc w:val="center"/>
        <w:tblLayout w:type="fixed"/>
        <w:tblLook w:firstColumn="1" w:firstRow="1" w:lastColumn="0" w:lastRow="0" w:noHBand="0" w:noVBand="1" w:val="04A0"/>
      </w:tblPr>
      <w:tblGrid>
        <w:gridCol w:w="3288"/>
        <w:gridCol w:w="6407"/>
      </w:tblGrid>
      <w:tr>
        <w:trPr>
          <w:tblHeader w:val="true"/>
        </w:trPr>
        <w:tc>
          <w:tcPr>
            <w:tcW w:type="dxa" w:w="328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E8F2F0" w:val="clear"/>
          </w:tcPr>
          <w:p>
            <w:pPr>
              <w:keepNext w:val="0"/>
              <w:spacing w:before="0" w:after="0" w:line="264" w:lineRule="auto"/>
            </w:pPr>
            <w:r>
              <w:rPr>
                <w:rFonts w:ascii="Arial" w:hAnsi="Arial" w:eastAsia="Arial"/>
                <w:b w:val="0"/>
                <w:i w:val="0"/>
                <w:color w:val="00645E"/>
                <w:sz w:val="17"/>
              </w:rPr>
              <w:t>Pricing method</w:t>
            </w:r>
          </w:p>
        </w:tc>
        <w:tc>
          <w:tcPr>
            <w:tcW w:type="dxa" w:w="6406"/>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E8F2F0" w:val="clear"/>
          </w:tcPr>
          <w:p>
            <w:pPr>
              <w:keepNext w:val="0"/>
              <w:spacing w:before="0" w:after="0" w:line="264" w:lineRule="auto"/>
            </w:pPr>
            <w:r>
              <w:rPr>
                <w:rFonts w:ascii="Arial" w:hAnsi="Arial" w:eastAsia="Arial"/>
                <w:b w:val="0"/>
                <w:i w:val="0"/>
                <w:color w:val="00645E"/>
                <w:sz w:val="17"/>
              </w:rPr>
              <w:t>How it behaves</w:t>
            </w:r>
          </w:p>
        </w:tc>
      </w:tr>
      <w:tr>
        <w:tc>
          <w:tcPr>
            <w:tcW w:type="dxa" w:w="328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FFFFF" w:val="clear"/>
          </w:tcPr>
          <w:p>
            <w:pPr>
              <w:keepNext w:val="0"/>
              <w:spacing w:before="0" w:after="0" w:line="264" w:lineRule="auto"/>
            </w:pPr>
            <w:r>
              <w:rPr>
                <w:rFonts w:ascii="Arial" w:hAnsi="Arial" w:eastAsia="Arial"/>
                <w:b w:val="0"/>
                <w:i w:val="0"/>
                <w:color w:val="00645E"/>
                <w:sz w:val="17"/>
              </w:rPr>
              <w:t>Quantity x rate</w:t>
            </w:r>
          </w:p>
        </w:tc>
        <w:tc>
          <w:tcPr>
            <w:tcW w:type="dxa" w:w="6406"/>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FFFFF" w:val="clear"/>
          </w:tcPr>
          <w:p>
            <w:pPr>
              <w:keepNext w:val="0"/>
              <w:spacing w:before="0" w:after="0" w:line="264" w:lineRule="auto"/>
            </w:pPr>
            <w:r>
              <w:rPr>
                <w:rFonts w:ascii="Arial" w:hAnsi="Arial" w:eastAsia="Arial"/>
                <w:b w:val="0"/>
                <w:i w:val="0"/>
                <w:color w:val="111817"/>
                <w:sz w:val="17"/>
              </w:rPr>
              <w:t>Result = quantity x unit rate.</w:t>
            </w:r>
          </w:p>
        </w:tc>
      </w:tr>
    </w:tbl>
    <w:p>
      <w:pPr>
        <w:keepNext w:val="0"/>
        <w:spacing w:before="0" w:after="100" w:line="276" w:lineRule="auto"/>
      </w:pPr>
      <w:r>
        <w:rPr>
          <w:rFonts w:ascii="Arial" w:hAnsi="Arial" w:eastAsia="Arial"/>
          <w:b w:val="0"/>
          <w:i w:val="0"/>
          <w:color w:val="111817"/>
          <w:sz w:val="4"/>
        </w:rPr>
      </w:r>
    </w:p>
    <w:tbl>
      <w:tblPr>
        <w:tblW w:type="dxa" w:w="9695"/>
        <w:jc w:val="center"/>
        <w:tblLayout w:type="fixed"/>
        <w:tblLook w:firstColumn="1" w:firstRow="1" w:lastColumn="0" w:lastRow="0" w:noHBand="0" w:noVBand="1" w:val="04A0"/>
      </w:tblPr>
      <w:tblGrid>
        <w:gridCol w:w="4847"/>
        <w:gridCol w:w="4847"/>
      </w:tblGrid>
      <w:tr>
        <w:tc>
          <w:tcPr>
            <w:tcW w:type="dxa" w:w="4847"/>
            <w:tcBorders>
              <w:top w:val="single" w:sz="5" w:space="0" w:color="CDDCD9"/>
              <w:left w:val="single" w:sz="5" w:space="0" w:color="CDDCD9"/>
              <w:bottom w:val="single" w:sz="5" w:space="0" w:color="CDDCD9"/>
              <w:right w:val="single" w:sz="5" w:space="0" w:color="CDDCD9"/>
            </w:tcBorders>
            <w:shd w:fill="F3F7F6" w:val="clear"/>
            <w:tcMar>
              <w:top w:w="120" w:type="dxa"/>
              <w:start w:w="150" w:type="dxa"/>
              <w:bottom w:w="130" w:type="dxa"/>
              <w:end w:w="150" w:type="dxa"/>
            </w:tcMar>
            <w:vAlign w:val="top"/>
          </w:tcPr>
          <w:p>
            <w:pPr>
              <w:keepNext w:val="0"/>
              <w:spacing w:before="0" w:after="0" w:line="264" w:lineRule="auto"/>
            </w:pPr>
            <w:r>
              <w:rPr>
                <w:rFonts w:ascii="Arial" w:hAnsi="Arial" w:eastAsia="Arial"/>
                <w:b w:val="0"/>
                <w:i w:val="0"/>
                <w:color w:val="00645E"/>
                <w:sz w:val="18"/>
              </w:rPr>
              <w:t>Inputs</w:t>
            </w:r>
          </w:p>
          <w:p>
            <w:pPr>
              <w:pStyle w:val="ListBullet"/>
              <w:keepNext w:val="0"/>
              <w:spacing w:before="0" w:after="0" w:line="245" w:lineRule="auto"/>
              <w:ind w:left="198" w:hanging="102"/>
            </w:pPr>
            <w:r>
              <w:rPr>
                <w:rFonts w:ascii="Arial" w:hAnsi="Arial" w:eastAsia="Arial"/>
                <w:b w:val="0"/>
                <w:i w:val="0"/>
                <w:color w:val="111817"/>
                <w:sz w:val="17"/>
              </w:rPr>
              <w:t>Rate per unit</w:t>
            </w:r>
          </w:p>
          <w:p>
            <w:pPr>
              <w:pStyle w:val="ListBullet"/>
              <w:keepNext w:val="0"/>
              <w:spacing w:before="0" w:after="0" w:line="245" w:lineRule="auto"/>
              <w:ind w:left="198" w:hanging="102"/>
            </w:pPr>
            <w:r>
              <w:rPr>
                <w:rFonts w:ascii="Arial" w:hAnsi="Arial" w:eastAsia="Arial"/>
                <w:b w:val="0"/>
                <w:i w:val="0"/>
                <w:color w:val="111817"/>
                <w:sz w:val="17"/>
              </w:rPr>
              <w:t>Unit of measure</w:t>
            </w:r>
          </w:p>
          <w:p>
            <w:pPr>
              <w:pStyle w:val="ListBullet"/>
              <w:keepNext w:val="0"/>
              <w:spacing w:before="0" w:after="0" w:line="245" w:lineRule="auto"/>
              <w:ind w:left="198" w:hanging="102"/>
            </w:pPr>
            <w:r>
              <w:rPr>
                <w:rFonts w:ascii="Arial" w:hAnsi="Arial" w:eastAsia="Arial"/>
                <w:b w:val="0"/>
                <w:i w:val="0"/>
                <w:color w:val="111817"/>
                <w:sz w:val="17"/>
              </w:rPr>
              <w:t>Quantity source</w:t>
            </w:r>
          </w:p>
        </w:tc>
        <w:tc>
          <w:tcPr>
            <w:tcW w:type="dxa" w:w="4847"/>
            <w:tcBorders>
              <w:top w:val="single" w:sz="5" w:space="0" w:color="CDDCD9"/>
              <w:left w:val="single" w:sz="5" w:space="0" w:color="CDDCD9"/>
              <w:bottom w:val="single" w:sz="5" w:space="0" w:color="CDDCD9"/>
              <w:right w:val="single" w:sz="5" w:space="0" w:color="CDDCD9"/>
            </w:tcBorders>
            <w:shd w:fill="F8F4EA" w:val="clear"/>
            <w:tcMar>
              <w:top w:w="120" w:type="dxa"/>
              <w:start w:w="150" w:type="dxa"/>
              <w:bottom w:w="130" w:type="dxa"/>
              <w:end w:w="150" w:type="dxa"/>
            </w:tcMar>
            <w:vAlign w:val="top"/>
          </w:tcPr>
          <w:p>
            <w:pPr>
              <w:keepNext w:val="0"/>
              <w:spacing w:before="0" w:after="0" w:line="264" w:lineRule="auto"/>
            </w:pPr>
            <w:r>
              <w:rPr>
                <w:rFonts w:ascii="Arial" w:hAnsi="Arial" w:eastAsia="Arial"/>
                <w:b w:val="0"/>
                <w:i w:val="0"/>
                <w:color w:val="00645E"/>
                <w:sz w:val="18"/>
              </w:rPr>
              <w:t>Operator safeguard</w:t>
            </w:r>
          </w:p>
          <w:p>
            <w:pPr>
              <w:keepNext w:val="0"/>
              <w:spacing w:before="0" w:after="0" w:line="276" w:lineRule="auto"/>
            </w:pPr>
            <w:r>
              <w:rPr>
                <w:rFonts w:ascii="Arial" w:hAnsi="Arial" w:eastAsia="Arial"/>
                <w:b w:val="0"/>
                <w:i w:val="0"/>
                <w:color w:val="111817"/>
                <w:sz w:val="17"/>
              </w:rPr>
              <w:t>The quantity source must be explicit: actual weight, chargeable weight, volume, package count or a user-entered figure.</w:t>
            </w:r>
          </w:p>
        </w:tc>
      </w:tr>
    </w:tbl>
    <w:p>
      <w:pPr>
        <w:keepNext w:val="0"/>
        <w:spacing w:before="0" w:after="100" w:line="276" w:lineRule="auto"/>
      </w:pPr>
      <w:r>
        <w:rPr>
          <w:rFonts w:ascii="Arial" w:hAnsi="Arial" w:eastAsia="Arial"/>
          <w:b w:val="0"/>
          <w:i w:val="0"/>
          <w:color w:val="111817"/>
          <w:sz w:val="4"/>
        </w:rPr>
      </w:r>
    </w:p>
    <w:tbl>
      <w:tblPr>
        <w:tblW w:type="dxa" w:w="9695"/>
        <w:jc w:val="center"/>
        <w:tblLayout w:type="fixed"/>
        <w:tblLook w:firstColumn="1" w:firstRow="1" w:lastColumn="0" w:lastRow="0" w:noHBand="0" w:noVBand="1" w:val="04A0"/>
      </w:tblPr>
      <w:tblGrid>
        <w:gridCol w:w="9695"/>
      </w:tblGrid>
      <w:tr>
        <w:tc>
          <w:tcPr>
            <w:tcW w:type="dxa" w:w="9694"/>
            <w:tcBorders>
              <w:top w:val="single" w:sz="5" w:space="0" w:color="B9D6D0"/>
              <w:left w:val="single" w:sz="5" w:space="0" w:color="B9D6D0"/>
              <w:bottom w:val="single" w:sz="5" w:space="0" w:color="B9D6D0"/>
              <w:right w:val="single" w:sz="5" w:space="0" w:color="B9D6D0"/>
            </w:tcBorders>
            <w:shd w:fill="14877D" w:val="clear"/>
            <w:tcMar>
              <w:top w:w="75" w:type="dxa"/>
              <w:start w:w="150" w:type="dxa"/>
              <w:bottom w:w="75" w:type="dxa"/>
              <w:end w:w="150" w:type="dxa"/>
            </w:tcMar>
          </w:tcPr>
          <w:p>
            <w:pPr>
              <w:keepNext w:val="0"/>
              <w:spacing w:before="0" w:after="0" w:line="264" w:lineRule="auto"/>
            </w:pPr>
            <w:r>
              <w:rPr>
                <w:rFonts w:ascii="Arial" w:hAnsi="Arial" w:eastAsia="Arial"/>
                <w:b w:val="0"/>
                <w:i w:val="0"/>
                <w:color w:val="FFFFFF"/>
                <w:sz w:val="18"/>
              </w:rPr>
              <w:t>Example</w:t>
            </w:r>
          </w:p>
        </w:tc>
      </w:tr>
      <w:tr>
        <w:tc>
          <w:tcPr>
            <w:tcW w:type="dxa" w:w="9694"/>
            <w:tcBorders>
              <w:top w:val="single" w:sz="5" w:space="0" w:color="B9D6D0"/>
              <w:left w:val="single" w:sz="5" w:space="0" w:color="B9D6D0"/>
              <w:bottom w:val="single" w:sz="5" w:space="0" w:color="B9D6D0"/>
              <w:right w:val="single" w:sz="5" w:space="0" w:color="B9D6D0"/>
            </w:tcBorders>
            <w:shd w:fill="F3F7F6" w:val="clear"/>
            <w:tcMar>
              <w:top w:w="105" w:type="dxa"/>
              <w:start w:w="150" w:type="dxa"/>
              <w:bottom w:w="105" w:type="dxa"/>
              <w:end w:w="150" w:type="dxa"/>
            </w:tcMar>
          </w:tcPr>
          <w:p>
            <w:pPr>
              <w:keepNext w:val="0"/>
              <w:spacing w:before="0" w:after="0" w:line="264" w:lineRule="auto"/>
            </w:pPr>
            <w:r>
              <w:rPr>
                <w:rFonts w:ascii="Arial" w:hAnsi="Arial" w:eastAsia="Arial"/>
                <w:b w:val="0"/>
                <w:i w:val="0"/>
                <w:color w:val="111817"/>
                <w:sz w:val="17"/>
              </w:rPr>
              <w:t>Handling: USD 0.18 per chargeable kg.</w:t>
            </w:r>
          </w:p>
        </w:tc>
      </w:tr>
    </w:tbl>
    <w:p>
      <w:pPr>
        <w:pStyle w:val="GuideHeading2"/>
      </w:pPr>
      <w:r>
        <w:t>Multideck interaction pattern</w:t>
      </w:r>
    </w:p>
    <w:p>
      <w:pPr>
        <w:pStyle w:val="GuideBody"/>
      </w:pPr>
      <w:r>
        <w:t>Choose this pricing method from a plain-language selector. Multideck then reveals only the relevant inputs, validates missing data before rating, and keeps a live explanation beside the result. The charge remains independent on the supplier and customer sides unless an operator explicitly copies it.</w:t>
      </w:r>
    </w:p>
    <w:p>
      <w:r>
        <w:br w:type="page"/>
      </w:r>
    </w:p>
    <w:p>
      <w:pPr>
        <w:pStyle w:val="GuideEyebrow"/>
      </w:pPr>
      <w:r>
        <w:t>CALCULATOR 03 / CORE PRICING</w:t>
      </w:r>
    </w:p>
    <w:p>
      <w:pPr>
        <w:pStyle w:val="GuideHeading1"/>
      </w:pPr>
      <w:r>
        <w:t>Minimum charge</w:t>
      </w:r>
    </w:p>
    <w:p>
      <w:pPr>
        <w:pStyle w:val="GuideLead"/>
      </w:pPr>
      <w:r>
        <w:t>Protect a minimum return when a calculated rate would otherwise be too low.</w:t>
      </w:r>
    </w:p>
    <w:tbl>
      <w:tblPr>
        <w:tblW w:type="dxa" w:w="9695"/>
        <w:jc w:val="center"/>
        <w:tblLayout w:type="fixed"/>
        <w:tblLook w:firstColumn="1" w:firstRow="1" w:lastColumn="0" w:lastRow="0" w:noHBand="0" w:noVBand="1" w:val="04A0"/>
      </w:tblPr>
      <w:tblGrid>
        <w:gridCol w:w="3288"/>
        <w:gridCol w:w="6407"/>
      </w:tblGrid>
      <w:tr>
        <w:trPr>
          <w:tblHeader w:val="true"/>
        </w:trPr>
        <w:tc>
          <w:tcPr>
            <w:tcW w:type="dxa" w:w="328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E8F2F0" w:val="clear"/>
          </w:tcPr>
          <w:p>
            <w:pPr>
              <w:keepNext w:val="0"/>
              <w:spacing w:before="0" w:after="0" w:line="264" w:lineRule="auto"/>
            </w:pPr>
            <w:r>
              <w:rPr>
                <w:rFonts w:ascii="Arial" w:hAnsi="Arial" w:eastAsia="Arial"/>
                <w:b w:val="0"/>
                <w:i w:val="0"/>
                <w:color w:val="00645E"/>
                <w:sz w:val="17"/>
              </w:rPr>
              <w:t>Pricing method</w:t>
            </w:r>
          </w:p>
        </w:tc>
        <w:tc>
          <w:tcPr>
            <w:tcW w:type="dxa" w:w="6406"/>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E8F2F0" w:val="clear"/>
          </w:tcPr>
          <w:p>
            <w:pPr>
              <w:keepNext w:val="0"/>
              <w:spacing w:before="0" w:after="0" w:line="264" w:lineRule="auto"/>
            </w:pPr>
            <w:r>
              <w:rPr>
                <w:rFonts w:ascii="Arial" w:hAnsi="Arial" w:eastAsia="Arial"/>
                <w:b w:val="0"/>
                <w:i w:val="0"/>
                <w:color w:val="00645E"/>
                <w:sz w:val="17"/>
              </w:rPr>
              <w:t>How it behaves</w:t>
            </w:r>
          </w:p>
        </w:tc>
      </w:tr>
      <w:tr>
        <w:tc>
          <w:tcPr>
            <w:tcW w:type="dxa" w:w="328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FFFFF" w:val="clear"/>
          </w:tcPr>
          <w:p>
            <w:pPr>
              <w:keepNext w:val="0"/>
              <w:spacing w:before="0" w:after="0" w:line="264" w:lineRule="auto"/>
            </w:pPr>
            <w:r>
              <w:rPr>
                <w:rFonts w:ascii="Arial" w:hAnsi="Arial" w:eastAsia="Arial"/>
                <w:b w:val="0"/>
                <w:i w:val="0"/>
                <w:color w:val="00645E"/>
                <w:sz w:val="17"/>
              </w:rPr>
              <w:t>Floor</w:t>
            </w:r>
          </w:p>
        </w:tc>
        <w:tc>
          <w:tcPr>
            <w:tcW w:type="dxa" w:w="6406"/>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FFFFF" w:val="clear"/>
          </w:tcPr>
          <w:p>
            <w:pPr>
              <w:keepNext w:val="0"/>
              <w:spacing w:before="0" w:after="0" w:line="264" w:lineRule="auto"/>
            </w:pPr>
            <w:r>
              <w:rPr>
                <w:rFonts w:ascii="Arial" w:hAnsi="Arial" w:eastAsia="Arial"/>
                <w:b w:val="0"/>
                <w:i w:val="0"/>
                <w:color w:val="111817"/>
                <w:sz w:val="17"/>
              </w:rPr>
              <w:t>Result = greater of the calculated charge and the minimum.</w:t>
            </w:r>
          </w:p>
        </w:tc>
      </w:tr>
    </w:tbl>
    <w:p>
      <w:pPr>
        <w:keepNext w:val="0"/>
        <w:spacing w:before="0" w:after="100" w:line="276" w:lineRule="auto"/>
      </w:pPr>
      <w:r>
        <w:rPr>
          <w:rFonts w:ascii="Arial" w:hAnsi="Arial" w:eastAsia="Arial"/>
          <w:b w:val="0"/>
          <w:i w:val="0"/>
          <w:color w:val="111817"/>
          <w:sz w:val="4"/>
        </w:rPr>
      </w:r>
    </w:p>
    <w:tbl>
      <w:tblPr>
        <w:tblW w:type="dxa" w:w="9695"/>
        <w:jc w:val="center"/>
        <w:tblLayout w:type="fixed"/>
        <w:tblLook w:firstColumn="1" w:firstRow="1" w:lastColumn="0" w:lastRow="0" w:noHBand="0" w:noVBand="1" w:val="04A0"/>
      </w:tblPr>
      <w:tblGrid>
        <w:gridCol w:w="4847"/>
        <w:gridCol w:w="4847"/>
      </w:tblGrid>
      <w:tr>
        <w:tc>
          <w:tcPr>
            <w:tcW w:type="dxa" w:w="4847"/>
            <w:tcBorders>
              <w:top w:val="single" w:sz="5" w:space="0" w:color="CDDCD9"/>
              <w:left w:val="single" w:sz="5" w:space="0" w:color="CDDCD9"/>
              <w:bottom w:val="single" w:sz="5" w:space="0" w:color="CDDCD9"/>
              <w:right w:val="single" w:sz="5" w:space="0" w:color="CDDCD9"/>
            </w:tcBorders>
            <w:shd w:fill="F3F7F6" w:val="clear"/>
            <w:tcMar>
              <w:top w:w="120" w:type="dxa"/>
              <w:start w:w="150" w:type="dxa"/>
              <w:bottom w:w="130" w:type="dxa"/>
              <w:end w:w="150" w:type="dxa"/>
            </w:tcMar>
            <w:vAlign w:val="top"/>
          </w:tcPr>
          <w:p>
            <w:pPr>
              <w:keepNext w:val="0"/>
              <w:spacing w:before="0" w:after="0" w:line="264" w:lineRule="auto"/>
            </w:pPr>
            <w:r>
              <w:rPr>
                <w:rFonts w:ascii="Arial" w:hAnsi="Arial" w:eastAsia="Arial"/>
                <w:b w:val="0"/>
                <w:i w:val="0"/>
                <w:color w:val="00645E"/>
                <w:sz w:val="18"/>
              </w:rPr>
              <w:t>Inputs</w:t>
            </w:r>
          </w:p>
          <w:p>
            <w:pPr>
              <w:pStyle w:val="ListBullet"/>
              <w:keepNext w:val="0"/>
              <w:spacing w:before="0" w:after="0" w:line="245" w:lineRule="auto"/>
              <w:ind w:left="198" w:hanging="102"/>
            </w:pPr>
            <w:r>
              <w:rPr>
                <w:rFonts w:ascii="Arial" w:hAnsi="Arial" w:eastAsia="Arial"/>
                <w:b w:val="0"/>
                <w:i w:val="0"/>
                <w:color w:val="111817"/>
                <w:sz w:val="17"/>
              </w:rPr>
              <w:t>Minimum amount</w:t>
            </w:r>
          </w:p>
          <w:p>
            <w:pPr>
              <w:pStyle w:val="ListBullet"/>
              <w:keepNext w:val="0"/>
              <w:spacing w:before="0" w:after="0" w:line="245" w:lineRule="auto"/>
              <w:ind w:left="198" w:hanging="102"/>
            </w:pPr>
            <w:r>
              <w:rPr>
                <w:rFonts w:ascii="Arial" w:hAnsi="Arial" w:eastAsia="Arial"/>
                <w:b w:val="0"/>
                <w:i w:val="0"/>
                <w:color w:val="111817"/>
                <w:sz w:val="17"/>
              </w:rPr>
              <w:t>Applies to: line or shipment</w:t>
            </w:r>
          </w:p>
          <w:p>
            <w:pPr>
              <w:pStyle w:val="ListBullet"/>
              <w:keepNext w:val="0"/>
              <w:spacing w:before="0" w:after="0" w:line="245" w:lineRule="auto"/>
              <w:ind w:left="198" w:hanging="102"/>
            </w:pPr>
            <w:r>
              <w:rPr>
                <w:rFonts w:ascii="Arial" w:hAnsi="Arial" w:eastAsia="Arial"/>
                <w:b w:val="0"/>
                <w:i w:val="0"/>
                <w:color w:val="111817"/>
                <w:sz w:val="17"/>
              </w:rPr>
              <w:t>Currency</w:t>
            </w:r>
          </w:p>
        </w:tc>
        <w:tc>
          <w:tcPr>
            <w:tcW w:type="dxa" w:w="4847"/>
            <w:tcBorders>
              <w:top w:val="single" w:sz="5" w:space="0" w:color="CDDCD9"/>
              <w:left w:val="single" w:sz="5" w:space="0" w:color="CDDCD9"/>
              <w:bottom w:val="single" w:sz="5" w:space="0" w:color="CDDCD9"/>
              <w:right w:val="single" w:sz="5" w:space="0" w:color="CDDCD9"/>
            </w:tcBorders>
            <w:shd w:fill="F8F4EA" w:val="clear"/>
            <w:tcMar>
              <w:top w:w="120" w:type="dxa"/>
              <w:start w:w="150" w:type="dxa"/>
              <w:bottom w:w="130" w:type="dxa"/>
              <w:end w:w="150" w:type="dxa"/>
            </w:tcMar>
            <w:vAlign w:val="top"/>
          </w:tcPr>
          <w:p>
            <w:pPr>
              <w:keepNext w:val="0"/>
              <w:spacing w:before="0" w:after="0" w:line="264" w:lineRule="auto"/>
            </w:pPr>
            <w:r>
              <w:rPr>
                <w:rFonts w:ascii="Arial" w:hAnsi="Arial" w:eastAsia="Arial"/>
                <w:b w:val="0"/>
                <w:i w:val="0"/>
                <w:color w:val="00645E"/>
                <w:sz w:val="18"/>
              </w:rPr>
              <w:t>Operator safeguard</w:t>
            </w:r>
          </w:p>
          <w:p>
            <w:pPr>
              <w:keepNext w:val="0"/>
              <w:spacing w:before="0" w:after="0" w:line="276" w:lineRule="auto"/>
            </w:pPr>
            <w:r>
              <w:rPr>
                <w:rFonts w:ascii="Arial" w:hAnsi="Arial" w:eastAsia="Arial"/>
                <w:b w:val="0"/>
                <w:i w:val="0"/>
                <w:color w:val="111817"/>
                <w:sz w:val="17"/>
              </w:rPr>
              <w:t>Show whether the minimum is assessed per charge line or across a shipment. Do not silently combine unrelated charges.</w:t>
            </w:r>
          </w:p>
        </w:tc>
      </w:tr>
    </w:tbl>
    <w:p>
      <w:pPr>
        <w:keepNext w:val="0"/>
        <w:spacing w:before="0" w:after="100" w:line="276" w:lineRule="auto"/>
      </w:pPr>
      <w:r>
        <w:rPr>
          <w:rFonts w:ascii="Arial" w:hAnsi="Arial" w:eastAsia="Arial"/>
          <w:b w:val="0"/>
          <w:i w:val="0"/>
          <w:color w:val="111817"/>
          <w:sz w:val="4"/>
        </w:rPr>
      </w:r>
    </w:p>
    <w:tbl>
      <w:tblPr>
        <w:tblW w:type="dxa" w:w="9695"/>
        <w:jc w:val="center"/>
        <w:tblLayout w:type="fixed"/>
        <w:tblLook w:firstColumn="1" w:firstRow="1" w:lastColumn="0" w:lastRow="0" w:noHBand="0" w:noVBand="1" w:val="04A0"/>
      </w:tblPr>
      <w:tblGrid>
        <w:gridCol w:w="9695"/>
      </w:tblGrid>
      <w:tr>
        <w:tc>
          <w:tcPr>
            <w:tcW w:type="dxa" w:w="9694"/>
            <w:tcBorders>
              <w:top w:val="single" w:sz="5" w:space="0" w:color="B9D6D0"/>
              <w:left w:val="single" w:sz="5" w:space="0" w:color="B9D6D0"/>
              <w:bottom w:val="single" w:sz="5" w:space="0" w:color="B9D6D0"/>
              <w:right w:val="single" w:sz="5" w:space="0" w:color="B9D6D0"/>
            </w:tcBorders>
            <w:shd w:fill="14877D" w:val="clear"/>
            <w:tcMar>
              <w:top w:w="75" w:type="dxa"/>
              <w:start w:w="150" w:type="dxa"/>
              <w:bottom w:w="75" w:type="dxa"/>
              <w:end w:w="150" w:type="dxa"/>
            </w:tcMar>
          </w:tcPr>
          <w:p>
            <w:pPr>
              <w:keepNext w:val="0"/>
              <w:spacing w:before="0" w:after="0" w:line="264" w:lineRule="auto"/>
            </w:pPr>
            <w:r>
              <w:rPr>
                <w:rFonts w:ascii="Arial" w:hAnsi="Arial" w:eastAsia="Arial"/>
                <w:b w:val="0"/>
                <w:i w:val="0"/>
                <w:color w:val="FFFFFF"/>
                <w:sz w:val="18"/>
              </w:rPr>
              <w:t>Example</w:t>
            </w:r>
          </w:p>
        </w:tc>
      </w:tr>
      <w:tr>
        <w:tc>
          <w:tcPr>
            <w:tcW w:type="dxa" w:w="9694"/>
            <w:tcBorders>
              <w:top w:val="single" w:sz="5" w:space="0" w:color="B9D6D0"/>
              <w:left w:val="single" w:sz="5" w:space="0" w:color="B9D6D0"/>
              <w:bottom w:val="single" w:sz="5" w:space="0" w:color="B9D6D0"/>
              <w:right w:val="single" w:sz="5" w:space="0" w:color="B9D6D0"/>
            </w:tcBorders>
            <w:shd w:fill="F3F7F6" w:val="clear"/>
            <w:tcMar>
              <w:top w:w="105" w:type="dxa"/>
              <w:start w:w="150" w:type="dxa"/>
              <w:bottom w:w="105" w:type="dxa"/>
              <w:end w:w="150" w:type="dxa"/>
            </w:tcMar>
          </w:tcPr>
          <w:p>
            <w:pPr>
              <w:keepNext w:val="0"/>
              <w:spacing w:before="0" w:after="0" w:line="264" w:lineRule="auto"/>
            </w:pPr>
            <w:r>
              <w:rPr>
                <w:rFonts w:ascii="Arial" w:hAnsi="Arial" w:eastAsia="Arial"/>
                <w:b w:val="0"/>
                <w:i w:val="0"/>
                <w:color w:val="111817"/>
                <w:sz w:val="17"/>
              </w:rPr>
              <w:t>Origin handling: minimum GBP 85.00 per shipment.</w:t>
            </w:r>
          </w:p>
        </w:tc>
      </w:tr>
    </w:tbl>
    <w:p>
      <w:pPr>
        <w:pStyle w:val="GuideHeading2"/>
      </w:pPr>
      <w:r>
        <w:t>Multideck interaction pattern</w:t>
      </w:r>
    </w:p>
    <w:p>
      <w:pPr>
        <w:pStyle w:val="GuideBody"/>
      </w:pPr>
      <w:r>
        <w:t>Choose this pricing method from a plain-language selector. Multideck then reveals only the relevant inputs, validates missing data before rating, and keeps a live explanation beside the result. The charge remains independent on the supplier and customer sides unless an operator explicitly copies it.</w:t>
      </w:r>
    </w:p>
    <w:p>
      <w:r>
        <w:br w:type="page"/>
      </w:r>
    </w:p>
    <w:p>
      <w:pPr>
        <w:pStyle w:val="GuideEyebrow"/>
      </w:pPr>
      <w:r>
        <w:t>CALCULATOR 04 / CORE PRICING</w:t>
      </w:r>
    </w:p>
    <w:p>
      <w:pPr>
        <w:pStyle w:val="GuideHeading1"/>
      </w:pPr>
      <w:r>
        <w:t>Minimum with unit rate</w:t>
      </w:r>
    </w:p>
    <w:p>
      <w:pPr>
        <w:pStyle w:val="GuideLead"/>
      </w:pPr>
      <w:r>
        <w:t>Apply a rate per unit while retaining a commercial floor.</w:t>
      </w:r>
    </w:p>
    <w:tbl>
      <w:tblPr>
        <w:tblW w:type="dxa" w:w="9695"/>
        <w:jc w:val="center"/>
        <w:tblLayout w:type="fixed"/>
        <w:tblLook w:firstColumn="1" w:firstRow="1" w:lastColumn="0" w:lastRow="0" w:noHBand="0" w:noVBand="1" w:val="04A0"/>
      </w:tblPr>
      <w:tblGrid>
        <w:gridCol w:w="3288"/>
        <w:gridCol w:w="6407"/>
      </w:tblGrid>
      <w:tr>
        <w:trPr>
          <w:tblHeader w:val="true"/>
        </w:trPr>
        <w:tc>
          <w:tcPr>
            <w:tcW w:type="dxa" w:w="328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E8F2F0" w:val="clear"/>
          </w:tcPr>
          <w:p>
            <w:pPr>
              <w:keepNext w:val="0"/>
              <w:spacing w:before="0" w:after="0" w:line="264" w:lineRule="auto"/>
            </w:pPr>
            <w:r>
              <w:rPr>
                <w:rFonts w:ascii="Arial" w:hAnsi="Arial" w:eastAsia="Arial"/>
                <w:b w:val="0"/>
                <w:i w:val="0"/>
                <w:color w:val="00645E"/>
                <w:sz w:val="17"/>
              </w:rPr>
              <w:t>Pricing method</w:t>
            </w:r>
          </w:p>
        </w:tc>
        <w:tc>
          <w:tcPr>
            <w:tcW w:type="dxa" w:w="6406"/>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E8F2F0" w:val="clear"/>
          </w:tcPr>
          <w:p>
            <w:pPr>
              <w:keepNext w:val="0"/>
              <w:spacing w:before="0" w:after="0" w:line="264" w:lineRule="auto"/>
            </w:pPr>
            <w:r>
              <w:rPr>
                <w:rFonts w:ascii="Arial" w:hAnsi="Arial" w:eastAsia="Arial"/>
                <w:b w:val="0"/>
                <w:i w:val="0"/>
                <w:color w:val="00645E"/>
                <w:sz w:val="17"/>
              </w:rPr>
              <w:t>How it behaves</w:t>
            </w:r>
          </w:p>
        </w:tc>
      </w:tr>
      <w:tr>
        <w:tc>
          <w:tcPr>
            <w:tcW w:type="dxa" w:w="328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FFFFF" w:val="clear"/>
          </w:tcPr>
          <w:p>
            <w:pPr>
              <w:keepNext w:val="0"/>
              <w:spacing w:before="0" w:after="0" w:line="264" w:lineRule="auto"/>
            </w:pPr>
            <w:r>
              <w:rPr>
                <w:rFonts w:ascii="Arial" w:hAnsi="Arial" w:eastAsia="Arial"/>
                <w:b w:val="0"/>
                <w:i w:val="0"/>
                <w:color w:val="00645E"/>
                <w:sz w:val="17"/>
              </w:rPr>
              <w:t>Rate with floor</w:t>
            </w:r>
          </w:p>
        </w:tc>
        <w:tc>
          <w:tcPr>
            <w:tcW w:type="dxa" w:w="6406"/>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FFFFF" w:val="clear"/>
          </w:tcPr>
          <w:p>
            <w:pPr>
              <w:keepNext w:val="0"/>
              <w:spacing w:before="0" w:after="0" w:line="264" w:lineRule="auto"/>
            </w:pPr>
            <w:r>
              <w:rPr>
                <w:rFonts w:ascii="Arial" w:hAnsi="Arial" w:eastAsia="Arial"/>
                <w:b w:val="0"/>
                <w:i w:val="0"/>
                <w:color w:val="111817"/>
                <w:sz w:val="17"/>
              </w:rPr>
              <w:t>Result = greater of quantity x rate and minimum.</w:t>
            </w:r>
          </w:p>
        </w:tc>
      </w:tr>
    </w:tbl>
    <w:p>
      <w:pPr>
        <w:keepNext w:val="0"/>
        <w:spacing w:before="0" w:after="100" w:line="276" w:lineRule="auto"/>
      </w:pPr>
      <w:r>
        <w:rPr>
          <w:rFonts w:ascii="Arial" w:hAnsi="Arial" w:eastAsia="Arial"/>
          <w:b w:val="0"/>
          <w:i w:val="0"/>
          <w:color w:val="111817"/>
          <w:sz w:val="4"/>
        </w:rPr>
      </w:r>
    </w:p>
    <w:tbl>
      <w:tblPr>
        <w:tblW w:type="dxa" w:w="9695"/>
        <w:jc w:val="center"/>
        <w:tblLayout w:type="fixed"/>
        <w:tblLook w:firstColumn="1" w:firstRow="1" w:lastColumn="0" w:lastRow="0" w:noHBand="0" w:noVBand="1" w:val="04A0"/>
      </w:tblPr>
      <w:tblGrid>
        <w:gridCol w:w="4847"/>
        <w:gridCol w:w="4847"/>
      </w:tblGrid>
      <w:tr>
        <w:tc>
          <w:tcPr>
            <w:tcW w:type="dxa" w:w="4847"/>
            <w:tcBorders>
              <w:top w:val="single" w:sz="5" w:space="0" w:color="CDDCD9"/>
              <w:left w:val="single" w:sz="5" w:space="0" w:color="CDDCD9"/>
              <w:bottom w:val="single" w:sz="5" w:space="0" w:color="CDDCD9"/>
              <w:right w:val="single" w:sz="5" w:space="0" w:color="CDDCD9"/>
            </w:tcBorders>
            <w:shd w:fill="F3F7F6" w:val="clear"/>
            <w:tcMar>
              <w:top w:w="120" w:type="dxa"/>
              <w:start w:w="150" w:type="dxa"/>
              <w:bottom w:w="130" w:type="dxa"/>
              <w:end w:w="150" w:type="dxa"/>
            </w:tcMar>
            <w:vAlign w:val="top"/>
          </w:tcPr>
          <w:p>
            <w:pPr>
              <w:keepNext w:val="0"/>
              <w:spacing w:before="0" w:after="0" w:line="264" w:lineRule="auto"/>
            </w:pPr>
            <w:r>
              <w:rPr>
                <w:rFonts w:ascii="Arial" w:hAnsi="Arial" w:eastAsia="Arial"/>
                <w:b w:val="0"/>
                <w:i w:val="0"/>
                <w:color w:val="00645E"/>
                <w:sz w:val="18"/>
              </w:rPr>
              <w:t>Inputs</w:t>
            </w:r>
          </w:p>
          <w:p>
            <w:pPr>
              <w:pStyle w:val="ListBullet"/>
              <w:keepNext w:val="0"/>
              <w:spacing w:before="0" w:after="0" w:line="245" w:lineRule="auto"/>
              <w:ind w:left="198" w:hanging="102"/>
            </w:pPr>
            <w:r>
              <w:rPr>
                <w:rFonts w:ascii="Arial" w:hAnsi="Arial" w:eastAsia="Arial"/>
                <w:b w:val="0"/>
                <w:i w:val="0"/>
                <w:color w:val="111817"/>
                <w:sz w:val="17"/>
              </w:rPr>
              <w:t>Rate per unit</w:t>
            </w:r>
          </w:p>
          <w:p>
            <w:pPr>
              <w:pStyle w:val="ListBullet"/>
              <w:keepNext w:val="0"/>
              <w:spacing w:before="0" w:after="0" w:line="245" w:lineRule="auto"/>
              <w:ind w:left="198" w:hanging="102"/>
            </w:pPr>
            <w:r>
              <w:rPr>
                <w:rFonts w:ascii="Arial" w:hAnsi="Arial" w:eastAsia="Arial"/>
                <w:b w:val="0"/>
                <w:i w:val="0"/>
                <w:color w:val="111817"/>
                <w:sz w:val="17"/>
              </w:rPr>
              <w:t>Unit</w:t>
            </w:r>
          </w:p>
          <w:p>
            <w:pPr>
              <w:pStyle w:val="ListBullet"/>
              <w:keepNext w:val="0"/>
              <w:spacing w:before="0" w:after="0" w:line="245" w:lineRule="auto"/>
              <w:ind w:left="198" w:hanging="102"/>
            </w:pPr>
            <w:r>
              <w:rPr>
                <w:rFonts w:ascii="Arial" w:hAnsi="Arial" w:eastAsia="Arial"/>
                <w:b w:val="0"/>
                <w:i w:val="0"/>
                <w:color w:val="111817"/>
                <w:sz w:val="17"/>
              </w:rPr>
              <w:t>Minimum amount</w:t>
            </w:r>
          </w:p>
          <w:p>
            <w:pPr>
              <w:pStyle w:val="ListBullet"/>
              <w:keepNext w:val="0"/>
              <w:spacing w:before="0" w:after="0" w:line="245" w:lineRule="auto"/>
              <w:ind w:left="198" w:hanging="102"/>
            </w:pPr>
            <w:r>
              <w:rPr>
                <w:rFonts w:ascii="Arial" w:hAnsi="Arial" w:eastAsia="Arial"/>
                <w:b w:val="0"/>
                <w:i w:val="0"/>
                <w:color w:val="111817"/>
                <w:sz w:val="17"/>
              </w:rPr>
              <w:t>Quantity source</w:t>
            </w:r>
          </w:p>
        </w:tc>
        <w:tc>
          <w:tcPr>
            <w:tcW w:type="dxa" w:w="4847"/>
            <w:tcBorders>
              <w:top w:val="single" w:sz="5" w:space="0" w:color="CDDCD9"/>
              <w:left w:val="single" w:sz="5" w:space="0" w:color="CDDCD9"/>
              <w:bottom w:val="single" w:sz="5" w:space="0" w:color="CDDCD9"/>
              <w:right w:val="single" w:sz="5" w:space="0" w:color="CDDCD9"/>
            </w:tcBorders>
            <w:shd w:fill="F8F4EA" w:val="clear"/>
            <w:tcMar>
              <w:top w:w="120" w:type="dxa"/>
              <w:start w:w="150" w:type="dxa"/>
              <w:bottom w:w="130" w:type="dxa"/>
              <w:end w:w="150" w:type="dxa"/>
            </w:tcMar>
            <w:vAlign w:val="top"/>
          </w:tcPr>
          <w:p>
            <w:pPr>
              <w:keepNext w:val="0"/>
              <w:spacing w:before="0" w:after="0" w:line="264" w:lineRule="auto"/>
            </w:pPr>
            <w:r>
              <w:rPr>
                <w:rFonts w:ascii="Arial" w:hAnsi="Arial" w:eastAsia="Arial"/>
                <w:b w:val="0"/>
                <w:i w:val="0"/>
                <w:color w:val="00645E"/>
                <w:sz w:val="18"/>
              </w:rPr>
              <w:t>Operator safeguard</w:t>
            </w:r>
          </w:p>
          <w:p>
            <w:pPr>
              <w:keepNext w:val="0"/>
              <w:spacing w:before="0" w:after="0" w:line="276" w:lineRule="auto"/>
            </w:pPr>
            <w:r>
              <w:rPr>
                <w:rFonts w:ascii="Arial" w:hAnsi="Arial" w:eastAsia="Arial"/>
                <w:b w:val="0"/>
                <w:i w:val="0"/>
                <w:color w:val="111817"/>
                <w:sz w:val="17"/>
              </w:rPr>
              <w:t>The calculation preview should state which outcome won: the unit rate or the minimum.</w:t>
            </w:r>
          </w:p>
        </w:tc>
      </w:tr>
    </w:tbl>
    <w:p>
      <w:pPr>
        <w:keepNext w:val="0"/>
        <w:spacing w:before="0" w:after="100" w:line="276" w:lineRule="auto"/>
      </w:pPr>
      <w:r>
        <w:rPr>
          <w:rFonts w:ascii="Arial" w:hAnsi="Arial" w:eastAsia="Arial"/>
          <w:b w:val="0"/>
          <w:i w:val="0"/>
          <w:color w:val="111817"/>
          <w:sz w:val="4"/>
        </w:rPr>
      </w:r>
    </w:p>
    <w:tbl>
      <w:tblPr>
        <w:tblW w:type="dxa" w:w="9695"/>
        <w:jc w:val="center"/>
        <w:tblLayout w:type="fixed"/>
        <w:tblLook w:firstColumn="1" w:firstRow="1" w:lastColumn="0" w:lastRow="0" w:noHBand="0" w:noVBand="1" w:val="04A0"/>
      </w:tblPr>
      <w:tblGrid>
        <w:gridCol w:w="9695"/>
      </w:tblGrid>
      <w:tr>
        <w:tc>
          <w:tcPr>
            <w:tcW w:type="dxa" w:w="9694"/>
            <w:tcBorders>
              <w:top w:val="single" w:sz="5" w:space="0" w:color="B9D6D0"/>
              <w:left w:val="single" w:sz="5" w:space="0" w:color="B9D6D0"/>
              <w:bottom w:val="single" w:sz="5" w:space="0" w:color="B9D6D0"/>
              <w:right w:val="single" w:sz="5" w:space="0" w:color="B9D6D0"/>
            </w:tcBorders>
            <w:shd w:fill="14877D" w:val="clear"/>
            <w:tcMar>
              <w:top w:w="75" w:type="dxa"/>
              <w:start w:w="150" w:type="dxa"/>
              <w:bottom w:w="75" w:type="dxa"/>
              <w:end w:w="150" w:type="dxa"/>
            </w:tcMar>
          </w:tcPr>
          <w:p>
            <w:pPr>
              <w:keepNext w:val="0"/>
              <w:spacing w:before="0" w:after="0" w:line="264" w:lineRule="auto"/>
            </w:pPr>
            <w:r>
              <w:rPr>
                <w:rFonts w:ascii="Arial" w:hAnsi="Arial" w:eastAsia="Arial"/>
                <w:b w:val="0"/>
                <w:i w:val="0"/>
                <w:color w:val="FFFFFF"/>
                <w:sz w:val="18"/>
              </w:rPr>
              <w:t>Example</w:t>
            </w:r>
          </w:p>
        </w:tc>
      </w:tr>
      <w:tr>
        <w:tc>
          <w:tcPr>
            <w:tcW w:type="dxa" w:w="9694"/>
            <w:tcBorders>
              <w:top w:val="single" w:sz="5" w:space="0" w:color="B9D6D0"/>
              <w:left w:val="single" w:sz="5" w:space="0" w:color="B9D6D0"/>
              <w:bottom w:val="single" w:sz="5" w:space="0" w:color="B9D6D0"/>
              <w:right w:val="single" w:sz="5" w:space="0" w:color="B9D6D0"/>
            </w:tcBorders>
            <w:shd w:fill="F3F7F6" w:val="clear"/>
            <w:tcMar>
              <w:top w:w="105" w:type="dxa"/>
              <w:start w:w="150" w:type="dxa"/>
              <w:bottom w:w="105" w:type="dxa"/>
              <w:end w:w="150" w:type="dxa"/>
            </w:tcMar>
          </w:tcPr>
          <w:p>
            <w:pPr>
              <w:keepNext w:val="0"/>
              <w:spacing w:before="0" w:after="0" w:line="264" w:lineRule="auto"/>
            </w:pPr>
            <w:r>
              <w:rPr>
                <w:rFonts w:ascii="Arial" w:hAnsi="Arial" w:eastAsia="Arial"/>
                <w:b w:val="0"/>
                <w:i w:val="0"/>
                <w:color w:val="111817"/>
                <w:sz w:val="17"/>
              </w:rPr>
              <w:t>Terminal handling: USD 12.00 per cbm, minimum USD 95.00.</w:t>
            </w:r>
          </w:p>
        </w:tc>
      </w:tr>
    </w:tbl>
    <w:p>
      <w:pPr>
        <w:pStyle w:val="GuideHeading2"/>
      </w:pPr>
      <w:r>
        <w:t>Multideck interaction pattern</w:t>
      </w:r>
    </w:p>
    <w:p>
      <w:pPr>
        <w:pStyle w:val="GuideBody"/>
      </w:pPr>
      <w:r>
        <w:t>Choose this pricing method from a plain-language selector. Multideck then reveals only the relevant inputs, validates missing data before rating, and keeps a live explanation beside the result. The charge remains independent on the supplier and customer sides unless an operator explicitly copies it.</w:t>
      </w:r>
    </w:p>
    <w:p>
      <w:r>
        <w:br w:type="page"/>
      </w:r>
    </w:p>
    <w:p>
      <w:pPr>
        <w:pStyle w:val="GuideEyebrow"/>
      </w:pPr>
      <w:r>
        <w:t>CALCULATOR 05 / FREIGHT PRICING</w:t>
      </w:r>
    </w:p>
    <w:p>
      <w:pPr>
        <w:pStyle w:val="GuideHeading1"/>
      </w:pPr>
      <w:r>
        <w:t>Rate bands</w:t>
      </w:r>
    </w:p>
    <w:p>
      <w:pPr>
        <w:pStyle w:val="GuideLead"/>
      </w:pPr>
      <w:r>
        <w:t>Apply different rates at defined weight, volume, count or distance thresholds.</w:t>
      </w:r>
    </w:p>
    <w:tbl>
      <w:tblPr>
        <w:tblW w:type="dxa" w:w="9695"/>
        <w:jc w:val="center"/>
        <w:tblLayout w:type="fixed"/>
        <w:tblLook w:firstColumn="1" w:firstRow="1" w:lastColumn="0" w:lastRow="0" w:noHBand="0" w:noVBand="1" w:val="04A0"/>
      </w:tblPr>
      <w:tblGrid>
        <w:gridCol w:w="3288"/>
        <w:gridCol w:w="6407"/>
      </w:tblGrid>
      <w:tr>
        <w:trPr>
          <w:tblHeader w:val="true"/>
        </w:trPr>
        <w:tc>
          <w:tcPr>
            <w:tcW w:type="dxa" w:w="328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E8F2F0" w:val="clear"/>
          </w:tcPr>
          <w:p>
            <w:pPr>
              <w:keepNext w:val="0"/>
              <w:spacing w:before="0" w:after="0" w:line="264" w:lineRule="auto"/>
            </w:pPr>
            <w:r>
              <w:rPr>
                <w:rFonts w:ascii="Arial" w:hAnsi="Arial" w:eastAsia="Arial"/>
                <w:b w:val="0"/>
                <w:i w:val="0"/>
                <w:color w:val="00645E"/>
                <w:sz w:val="17"/>
              </w:rPr>
              <w:t>Pricing method</w:t>
            </w:r>
          </w:p>
        </w:tc>
        <w:tc>
          <w:tcPr>
            <w:tcW w:type="dxa" w:w="6406"/>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E8F2F0" w:val="clear"/>
          </w:tcPr>
          <w:p>
            <w:pPr>
              <w:keepNext w:val="0"/>
              <w:spacing w:before="0" w:after="0" w:line="264" w:lineRule="auto"/>
            </w:pPr>
            <w:r>
              <w:rPr>
                <w:rFonts w:ascii="Arial" w:hAnsi="Arial" w:eastAsia="Arial"/>
                <w:b w:val="0"/>
                <w:i w:val="0"/>
                <w:color w:val="00645E"/>
                <w:sz w:val="17"/>
              </w:rPr>
              <w:t>How it behaves</w:t>
            </w:r>
          </w:p>
        </w:tc>
      </w:tr>
      <w:tr>
        <w:tc>
          <w:tcPr>
            <w:tcW w:type="dxa" w:w="328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FFFFF" w:val="clear"/>
          </w:tcPr>
          <w:p>
            <w:pPr>
              <w:keepNext w:val="0"/>
              <w:spacing w:before="0" w:after="0" w:line="264" w:lineRule="auto"/>
            </w:pPr>
            <w:r>
              <w:rPr>
                <w:rFonts w:ascii="Arial" w:hAnsi="Arial" w:eastAsia="Arial"/>
                <w:b w:val="0"/>
                <w:i w:val="0"/>
                <w:color w:val="00645E"/>
                <w:sz w:val="17"/>
              </w:rPr>
              <w:t>Tiered scale</w:t>
            </w:r>
          </w:p>
        </w:tc>
        <w:tc>
          <w:tcPr>
            <w:tcW w:type="dxa" w:w="6406"/>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FFFFF" w:val="clear"/>
          </w:tcPr>
          <w:p>
            <w:pPr>
              <w:keepNext w:val="0"/>
              <w:spacing w:before="0" w:after="0" w:line="264" w:lineRule="auto"/>
            </w:pPr>
            <w:r>
              <w:rPr>
                <w:rFonts w:ascii="Arial" w:hAnsi="Arial" w:eastAsia="Arial"/>
                <w:b w:val="0"/>
                <w:i w:val="0"/>
                <w:color w:val="111817"/>
                <w:sz w:val="17"/>
              </w:rPr>
              <w:t>Result follows the matching band, or accumulates across bands when progressive pricing is selected.</w:t>
            </w:r>
          </w:p>
        </w:tc>
      </w:tr>
    </w:tbl>
    <w:p>
      <w:pPr>
        <w:keepNext w:val="0"/>
        <w:spacing w:before="0" w:after="100" w:line="276" w:lineRule="auto"/>
      </w:pPr>
      <w:r>
        <w:rPr>
          <w:rFonts w:ascii="Arial" w:hAnsi="Arial" w:eastAsia="Arial"/>
          <w:b w:val="0"/>
          <w:i w:val="0"/>
          <w:color w:val="111817"/>
          <w:sz w:val="4"/>
        </w:rPr>
      </w:r>
    </w:p>
    <w:tbl>
      <w:tblPr>
        <w:tblW w:type="dxa" w:w="9695"/>
        <w:jc w:val="center"/>
        <w:tblLayout w:type="fixed"/>
        <w:tblLook w:firstColumn="1" w:firstRow="1" w:lastColumn="0" w:lastRow="0" w:noHBand="0" w:noVBand="1" w:val="04A0"/>
      </w:tblPr>
      <w:tblGrid>
        <w:gridCol w:w="4847"/>
        <w:gridCol w:w="4847"/>
      </w:tblGrid>
      <w:tr>
        <w:tc>
          <w:tcPr>
            <w:tcW w:type="dxa" w:w="4847"/>
            <w:tcBorders>
              <w:top w:val="single" w:sz="5" w:space="0" w:color="CDDCD9"/>
              <w:left w:val="single" w:sz="5" w:space="0" w:color="CDDCD9"/>
              <w:bottom w:val="single" w:sz="5" w:space="0" w:color="CDDCD9"/>
              <w:right w:val="single" w:sz="5" w:space="0" w:color="CDDCD9"/>
            </w:tcBorders>
            <w:shd w:fill="F3F7F6" w:val="clear"/>
            <w:tcMar>
              <w:top w:w="120" w:type="dxa"/>
              <w:start w:w="150" w:type="dxa"/>
              <w:bottom w:w="130" w:type="dxa"/>
              <w:end w:w="150" w:type="dxa"/>
            </w:tcMar>
            <w:vAlign w:val="top"/>
          </w:tcPr>
          <w:p>
            <w:pPr>
              <w:keepNext w:val="0"/>
              <w:spacing w:before="0" w:after="0" w:line="264" w:lineRule="auto"/>
            </w:pPr>
            <w:r>
              <w:rPr>
                <w:rFonts w:ascii="Arial" w:hAnsi="Arial" w:eastAsia="Arial"/>
                <w:b w:val="0"/>
                <w:i w:val="0"/>
                <w:color w:val="00645E"/>
                <w:sz w:val="18"/>
              </w:rPr>
              <w:t>Inputs</w:t>
            </w:r>
          </w:p>
          <w:p>
            <w:pPr>
              <w:pStyle w:val="ListBullet"/>
              <w:keepNext w:val="0"/>
              <w:spacing w:before="0" w:after="0" w:line="245" w:lineRule="auto"/>
              <w:ind w:left="198" w:hanging="102"/>
            </w:pPr>
            <w:r>
              <w:rPr>
                <w:rFonts w:ascii="Arial" w:hAnsi="Arial" w:eastAsia="Arial"/>
                <w:b w:val="0"/>
                <w:i w:val="0"/>
                <w:color w:val="111817"/>
                <w:sz w:val="17"/>
              </w:rPr>
              <w:t>Band thresholds</w:t>
            </w:r>
          </w:p>
          <w:p>
            <w:pPr>
              <w:pStyle w:val="ListBullet"/>
              <w:keepNext w:val="0"/>
              <w:spacing w:before="0" w:after="0" w:line="245" w:lineRule="auto"/>
              <w:ind w:left="198" w:hanging="102"/>
            </w:pPr>
            <w:r>
              <w:rPr>
                <w:rFonts w:ascii="Arial" w:hAnsi="Arial" w:eastAsia="Arial"/>
                <w:b w:val="0"/>
                <w:i w:val="0"/>
                <w:color w:val="111817"/>
                <w:sz w:val="17"/>
              </w:rPr>
              <w:t>Band rates</w:t>
            </w:r>
          </w:p>
          <w:p>
            <w:pPr>
              <w:pStyle w:val="ListBullet"/>
              <w:keepNext w:val="0"/>
              <w:spacing w:before="0" w:after="0" w:line="245" w:lineRule="auto"/>
              <w:ind w:left="198" w:hanging="102"/>
            </w:pPr>
            <w:r>
              <w:rPr>
                <w:rFonts w:ascii="Arial" w:hAnsi="Arial" w:eastAsia="Arial"/>
                <w:b w:val="0"/>
                <w:i w:val="0"/>
                <w:color w:val="111817"/>
                <w:sz w:val="17"/>
              </w:rPr>
              <w:t>Unit</w:t>
            </w:r>
          </w:p>
          <w:p>
            <w:pPr>
              <w:pStyle w:val="ListBullet"/>
              <w:keepNext w:val="0"/>
              <w:spacing w:before="0" w:after="0" w:line="245" w:lineRule="auto"/>
              <w:ind w:left="198" w:hanging="102"/>
            </w:pPr>
            <w:r>
              <w:rPr>
                <w:rFonts w:ascii="Arial" w:hAnsi="Arial" w:eastAsia="Arial"/>
                <w:b w:val="0"/>
                <w:i w:val="0"/>
                <w:color w:val="111817"/>
                <w:sz w:val="17"/>
              </w:rPr>
              <w:t>Band treatment</w:t>
            </w:r>
          </w:p>
        </w:tc>
        <w:tc>
          <w:tcPr>
            <w:tcW w:type="dxa" w:w="4847"/>
            <w:tcBorders>
              <w:top w:val="single" w:sz="5" w:space="0" w:color="CDDCD9"/>
              <w:left w:val="single" w:sz="5" w:space="0" w:color="CDDCD9"/>
              <w:bottom w:val="single" w:sz="5" w:space="0" w:color="CDDCD9"/>
              <w:right w:val="single" w:sz="5" w:space="0" w:color="CDDCD9"/>
            </w:tcBorders>
            <w:shd w:fill="F8F4EA" w:val="clear"/>
            <w:tcMar>
              <w:top w:w="120" w:type="dxa"/>
              <w:start w:w="150" w:type="dxa"/>
              <w:bottom w:w="130" w:type="dxa"/>
              <w:end w:w="150" w:type="dxa"/>
            </w:tcMar>
            <w:vAlign w:val="top"/>
          </w:tcPr>
          <w:p>
            <w:pPr>
              <w:keepNext w:val="0"/>
              <w:spacing w:before="0" w:after="0" w:line="264" w:lineRule="auto"/>
            </w:pPr>
            <w:r>
              <w:rPr>
                <w:rFonts w:ascii="Arial" w:hAnsi="Arial" w:eastAsia="Arial"/>
                <w:b w:val="0"/>
                <w:i w:val="0"/>
                <w:color w:val="00645E"/>
                <w:sz w:val="18"/>
              </w:rPr>
              <w:t>Operator safeguard</w:t>
            </w:r>
          </w:p>
          <w:p>
            <w:pPr>
              <w:keepNext w:val="0"/>
              <w:spacing w:before="0" w:after="0" w:line="276" w:lineRule="auto"/>
            </w:pPr>
            <w:r>
              <w:rPr>
                <w:rFonts w:ascii="Arial" w:hAnsi="Arial" w:eastAsia="Arial"/>
                <w:b w:val="0"/>
                <w:i w:val="0"/>
                <w:color w:val="111817"/>
                <w:sz w:val="17"/>
              </w:rPr>
              <w:t>Make the band treatment visible: single winning band, progressive bands, inclusive thresholds or best available rate.</w:t>
            </w:r>
          </w:p>
        </w:tc>
      </w:tr>
    </w:tbl>
    <w:p>
      <w:pPr>
        <w:keepNext w:val="0"/>
        <w:spacing w:before="0" w:after="100" w:line="276" w:lineRule="auto"/>
      </w:pPr>
      <w:r>
        <w:rPr>
          <w:rFonts w:ascii="Arial" w:hAnsi="Arial" w:eastAsia="Arial"/>
          <w:b w:val="0"/>
          <w:i w:val="0"/>
          <w:color w:val="111817"/>
          <w:sz w:val="4"/>
        </w:rPr>
      </w:r>
    </w:p>
    <w:tbl>
      <w:tblPr>
        <w:tblW w:type="dxa" w:w="9695"/>
        <w:jc w:val="center"/>
        <w:tblLayout w:type="fixed"/>
        <w:tblLook w:firstColumn="1" w:firstRow="1" w:lastColumn="0" w:lastRow="0" w:noHBand="0" w:noVBand="1" w:val="04A0"/>
      </w:tblPr>
      <w:tblGrid>
        <w:gridCol w:w="9695"/>
      </w:tblGrid>
      <w:tr>
        <w:tc>
          <w:tcPr>
            <w:tcW w:type="dxa" w:w="9694"/>
            <w:tcBorders>
              <w:top w:val="single" w:sz="5" w:space="0" w:color="B9D6D0"/>
              <w:left w:val="single" w:sz="5" w:space="0" w:color="B9D6D0"/>
              <w:bottom w:val="single" w:sz="5" w:space="0" w:color="B9D6D0"/>
              <w:right w:val="single" w:sz="5" w:space="0" w:color="B9D6D0"/>
            </w:tcBorders>
            <w:shd w:fill="14877D" w:val="clear"/>
            <w:tcMar>
              <w:top w:w="75" w:type="dxa"/>
              <w:start w:w="150" w:type="dxa"/>
              <w:bottom w:w="75" w:type="dxa"/>
              <w:end w:w="150" w:type="dxa"/>
            </w:tcMar>
          </w:tcPr>
          <w:p>
            <w:pPr>
              <w:keepNext w:val="0"/>
              <w:spacing w:before="0" w:after="0" w:line="264" w:lineRule="auto"/>
            </w:pPr>
            <w:r>
              <w:rPr>
                <w:rFonts w:ascii="Arial" w:hAnsi="Arial" w:eastAsia="Arial"/>
                <w:b w:val="0"/>
                <w:i w:val="0"/>
                <w:color w:val="FFFFFF"/>
                <w:sz w:val="18"/>
              </w:rPr>
              <w:t>Example</w:t>
            </w:r>
          </w:p>
        </w:tc>
      </w:tr>
      <w:tr>
        <w:tc>
          <w:tcPr>
            <w:tcW w:type="dxa" w:w="9694"/>
            <w:tcBorders>
              <w:top w:val="single" w:sz="5" w:space="0" w:color="B9D6D0"/>
              <w:left w:val="single" w:sz="5" w:space="0" w:color="B9D6D0"/>
              <w:bottom w:val="single" w:sz="5" w:space="0" w:color="B9D6D0"/>
              <w:right w:val="single" w:sz="5" w:space="0" w:color="B9D6D0"/>
            </w:tcBorders>
            <w:shd w:fill="F3F7F6" w:val="clear"/>
            <w:tcMar>
              <w:top w:w="105" w:type="dxa"/>
              <w:start w:w="150" w:type="dxa"/>
              <w:bottom w:w="105" w:type="dxa"/>
              <w:end w:w="150" w:type="dxa"/>
            </w:tcMar>
          </w:tcPr>
          <w:p>
            <w:pPr>
              <w:keepNext w:val="0"/>
              <w:spacing w:before="0" w:after="0" w:line="264" w:lineRule="auto"/>
            </w:pPr>
            <w:r>
              <w:rPr>
                <w:rFonts w:ascii="Arial" w:hAnsi="Arial" w:eastAsia="Arial"/>
                <w:b w:val="0"/>
                <w:i w:val="0"/>
                <w:color w:val="111817"/>
                <w:sz w:val="17"/>
              </w:rPr>
              <w:t>Air freight: 0-99 kg at USD 4.20; 100-299 kg at USD 3.70; 300+ kg at USD 3.25.</w:t>
            </w:r>
          </w:p>
        </w:tc>
      </w:tr>
    </w:tbl>
    <w:p>
      <w:pPr>
        <w:pStyle w:val="GuideHeading2"/>
      </w:pPr>
      <w:r>
        <w:t>Multideck interaction pattern</w:t>
      </w:r>
    </w:p>
    <w:p>
      <w:pPr>
        <w:pStyle w:val="GuideBody"/>
      </w:pPr>
      <w:r>
        <w:t>Choose this pricing method from a plain-language selector. Multideck then reveals only the relevant inputs, validates missing data before rating, and keeps a live explanation beside the result. The charge remains independent on the supplier and customer sides unless an operator explicitly copies it.</w:t>
      </w:r>
    </w:p>
    <w:p>
      <w:r>
        <w:br w:type="page"/>
      </w:r>
    </w:p>
    <w:p>
      <w:pPr>
        <w:pStyle w:val="GuideEyebrow"/>
      </w:pPr>
      <w:r>
        <w:t>CALCULATOR 06 / FREIGHT PRICING</w:t>
      </w:r>
    </w:p>
    <w:p>
      <w:pPr>
        <w:pStyle w:val="GuideHeading1"/>
      </w:pPr>
      <w:r>
        <w:t>Base plus unit rate</w:t>
      </w:r>
    </w:p>
    <w:p>
      <w:pPr>
        <w:pStyle w:val="GuideLead"/>
      </w:pPr>
      <w:r>
        <w:t>Combine an access or administration amount with a volume-driven charge.</w:t>
      </w:r>
    </w:p>
    <w:tbl>
      <w:tblPr>
        <w:tblW w:type="dxa" w:w="9695"/>
        <w:jc w:val="center"/>
        <w:tblLayout w:type="fixed"/>
        <w:tblLook w:firstColumn="1" w:firstRow="1" w:lastColumn="0" w:lastRow="0" w:noHBand="0" w:noVBand="1" w:val="04A0"/>
      </w:tblPr>
      <w:tblGrid>
        <w:gridCol w:w="3288"/>
        <w:gridCol w:w="6407"/>
      </w:tblGrid>
      <w:tr>
        <w:trPr>
          <w:tblHeader w:val="true"/>
        </w:trPr>
        <w:tc>
          <w:tcPr>
            <w:tcW w:type="dxa" w:w="328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E8F2F0" w:val="clear"/>
          </w:tcPr>
          <w:p>
            <w:pPr>
              <w:keepNext w:val="0"/>
              <w:spacing w:before="0" w:after="0" w:line="264" w:lineRule="auto"/>
            </w:pPr>
            <w:r>
              <w:rPr>
                <w:rFonts w:ascii="Arial" w:hAnsi="Arial" w:eastAsia="Arial"/>
                <w:b w:val="0"/>
                <w:i w:val="0"/>
                <w:color w:val="00645E"/>
                <w:sz w:val="17"/>
              </w:rPr>
              <w:t>Pricing method</w:t>
            </w:r>
          </w:p>
        </w:tc>
        <w:tc>
          <w:tcPr>
            <w:tcW w:type="dxa" w:w="6406"/>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E8F2F0" w:val="clear"/>
          </w:tcPr>
          <w:p>
            <w:pPr>
              <w:keepNext w:val="0"/>
              <w:spacing w:before="0" w:after="0" w:line="264" w:lineRule="auto"/>
            </w:pPr>
            <w:r>
              <w:rPr>
                <w:rFonts w:ascii="Arial" w:hAnsi="Arial" w:eastAsia="Arial"/>
                <w:b w:val="0"/>
                <w:i w:val="0"/>
                <w:color w:val="00645E"/>
                <w:sz w:val="17"/>
              </w:rPr>
              <w:t>How it behaves</w:t>
            </w:r>
          </w:p>
        </w:tc>
      </w:tr>
      <w:tr>
        <w:tc>
          <w:tcPr>
            <w:tcW w:type="dxa" w:w="328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FFFFF" w:val="clear"/>
          </w:tcPr>
          <w:p>
            <w:pPr>
              <w:keepNext w:val="0"/>
              <w:spacing w:before="0" w:after="0" w:line="264" w:lineRule="auto"/>
            </w:pPr>
            <w:r>
              <w:rPr>
                <w:rFonts w:ascii="Arial" w:hAnsi="Arial" w:eastAsia="Arial"/>
                <w:b w:val="0"/>
                <w:i w:val="0"/>
                <w:color w:val="00645E"/>
                <w:sz w:val="17"/>
              </w:rPr>
              <w:t>Fixed + variable</w:t>
            </w:r>
          </w:p>
        </w:tc>
        <w:tc>
          <w:tcPr>
            <w:tcW w:type="dxa" w:w="6406"/>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FFFFF" w:val="clear"/>
          </w:tcPr>
          <w:p>
            <w:pPr>
              <w:keepNext w:val="0"/>
              <w:spacing w:before="0" w:after="0" w:line="264" w:lineRule="auto"/>
            </w:pPr>
            <w:r>
              <w:rPr>
                <w:rFonts w:ascii="Arial" w:hAnsi="Arial" w:eastAsia="Arial"/>
                <w:b w:val="0"/>
                <w:i w:val="0"/>
                <w:color w:val="111817"/>
                <w:sz w:val="17"/>
              </w:rPr>
              <w:t>Result = base amount + quantity x unit rate.</w:t>
            </w:r>
          </w:p>
        </w:tc>
      </w:tr>
    </w:tbl>
    <w:p>
      <w:pPr>
        <w:keepNext w:val="0"/>
        <w:spacing w:before="0" w:after="100" w:line="276" w:lineRule="auto"/>
      </w:pPr>
      <w:r>
        <w:rPr>
          <w:rFonts w:ascii="Arial" w:hAnsi="Arial" w:eastAsia="Arial"/>
          <w:b w:val="0"/>
          <w:i w:val="0"/>
          <w:color w:val="111817"/>
          <w:sz w:val="4"/>
        </w:rPr>
      </w:r>
    </w:p>
    <w:tbl>
      <w:tblPr>
        <w:tblW w:type="dxa" w:w="9695"/>
        <w:jc w:val="center"/>
        <w:tblLayout w:type="fixed"/>
        <w:tblLook w:firstColumn="1" w:firstRow="1" w:lastColumn="0" w:lastRow="0" w:noHBand="0" w:noVBand="1" w:val="04A0"/>
      </w:tblPr>
      <w:tblGrid>
        <w:gridCol w:w="4847"/>
        <w:gridCol w:w="4847"/>
      </w:tblGrid>
      <w:tr>
        <w:tc>
          <w:tcPr>
            <w:tcW w:type="dxa" w:w="4847"/>
            <w:tcBorders>
              <w:top w:val="single" w:sz="5" w:space="0" w:color="CDDCD9"/>
              <w:left w:val="single" w:sz="5" w:space="0" w:color="CDDCD9"/>
              <w:bottom w:val="single" w:sz="5" w:space="0" w:color="CDDCD9"/>
              <w:right w:val="single" w:sz="5" w:space="0" w:color="CDDCD9"/>
            </w:tcBorders>
            <w:shd w:fill="F3F7F6" w:val="clear"/>
            <w:tcMar>
              <w:top w:w="120" w:type="dxa"/>
              <w:start w:w="150" w:type="dxa"/>
              <w:bottom w:w="130" w:type="dxa"/>
              <w:end w:w="150" w:type="dxa"/>
            </w:tcMar>
            <w:vAlign w:val="top"/>
          </w:tcPr>
          <w:p>
            <w:pPr>
              <w:keepNext w:val="0"/>
              <w:spacing w:before="0" w:after="0" w:line="264" w:lineRule="auto"/>
            </w:pPr>
            <w:r>
              <w:rPr>
                <w:rFonts w:ascii="Arial" w:hAnsi="Arial" w:eastAsia="Arial"/>
                <w:b w:val="0"/>
                <w:i w:val="0"/>
                <w:color w:val="00645E"/>
                <w:sz w:val="18"/>
              </w:rPr>
              <w:t>Inputs</w:t>
            </w:r>
          </w:p>
          <w:p>
            <w:pPr>
              <w:pStyle w:val="ListBullet"/>
              <w:keepNext w:val="0"/>
              <w:spacing w:before="0" w:after="0" w:line="245" w:lineRule="auto"/>
              <w:ind w:left="198" w:hanging="102"/>
            </w:pPr>
            <w:r>
              <w:rPr>
                <w:rFonts w:ascii="Arial" w:hAnsi="Arial" w:eastAsia="Arial"/>
                <w:b w:val="0"/>
                <w:i w:val="0"/>
                <w:color w:val="111817"/>
                <w:sz w:val="17"/>
              </w:rPr>
              <w:t>Base amount</w:t>
            </w:r>
          </w:p>
          <w:p>
            <w:pPr>
              <w:pStyle w:val="ListBullet"/>
              <w:keepNext w:val="0"/>
              <w:spacing w:before="0" w:after="0" w:line="245" w:lineRule="auto"/>
              <w:ind w:left="198" w:hanging="102"/>
            </w:pPr>
            <w:r>
              <w:rPr>
                <w:rFonts w:ascii="Arial" w:hAnsi="Arial" w:eastAsia="Arial"/>
                <w:b w:val="0"/>
                <w:i w:val="0"/>
                <w:color w:val="111817"/>
                <w:sz w:val="17"/>
              </w:rPr>
              <w:t>Rate per unit</w:t>
            </w:r>
          </w:p>
          <w:p>
            <w:pPr>
              <w:pStyle w:val="ListBullet"/>
              <w:keepNext w:val="0"/>
              <w:spacing w:before="0" w:after="0" w:line="245" w:lineRule="auto"/>
              <w:ind w:left="198" w:hanging="102"/>
            </w:pPr>
            <w:r>
              <w:rPr>
                <w:rFonts w:ascii="Arial" w:hAnsi="Arial" w:eastAsia="Arial"/>
                <w:b w:val="0"/>
                <w:i w:val="0"/>
                <w:color w:val="111817"/>
                <w:sz w:val="17"/>
              </w:rPr>
              <w:t>Unit</w:t>
            </w:r>
          </w:p>
          <w:p>
            <w:pPr>
              <w:pStyle w:val="ListBullet"/>
              <w:keepNext w:val="0"/>
              <w:spacing w:before="0" w:after="0" w:line="245" w:lineRule="auto"/>
              <w:ind w:left="198" w:hanging="102"/>
            </w:pPr>
            <w:r>
              <w:rPr>
                <w:rFonts w:ascii="Arial" w:hAnsi="Arial" w:eastAsia="Arial"/>
                <w:b w:val="0"/>
                <w:i w:val="0"/>
                <w:color w:val="111817"/>
                <w:sz w:val="17"/>
              </w:rPr>
              <w:t>Quantity source</w:t>
            </w:r>
          </w:p>
        </w:tc>
        <w:tc>
          <w:tcPr>
            <w:tcW w:type="dxa" w:w="4847"/>
            <w:tcBorders>
              <w:top w:val="single" w:sz="5" w:space="0" w:color="CDDCD9"/>
              <w:left w:val="single" w:sz="5" w:space="0" w:color="CDDCD9"/>
              <w:bottom w:val="single" w:sz="5" w:space="0" w:color="CDDCD9"/>
              <w:right w:val="single" w:sz="5" w:space="0" w:color="CDDCD9"/>
            </w:tcBorders>
            <w:shd w:fill="F8F4EA" w:val="clear"/>
            <w:tcMar>
              <w:top w:w="120" w:type="dxa"/>
              <w:start w:w="150" w:type="dxa"/>
              <w:bottom w:w="130" w:type="dxa"/>
              <w:end w:w="150" w:type="dxa"/>
            </w:tcMar>
            <w:vAlign w:val="top"/>
          </w:tcPr>
          <w:p>
            <w:pPr>
              <w:keepNext w:val="0"/>
              <w:spacing w:before="0" w:after="0" w:line="264" w:lineRule="auto"/>
            </w:pPr>
            <w:r>
              <w:rPr>
                <w:rFonts w:ascii="Arial" w:hAnsi="Arial" w:eastAsia="Arial"/>
                <w:b w:val="0"/>
                <w:i w:val="0"/>
                <w:color w:val="00645E"/>
                <w:sz w:val="18"/>
              </w:rPr>
              <w:t>Operator safeguard</w:t>
            </w:r>
          </w:p>
          <w:p>
            <w:pPr>
              <w:keepNext w:val="0"/>
              <w:spacing w:before="0" w:after="0" w:line="276" w:lineRule="auto"/>
            </w:pPr>
            <w:r>
              <w:rPr>
                <w:rFonts w:ascii="Arial" w:hAnsi="Arial" w:eastAsia="Arial"/>
                <w:b w:val="0"/>
                <w:i w:val="0"/>
                <w:color w:val="111817"/>
                <w:sz w:val="17"/>
              </w:rPr>
              <w:t>Keep the two elements visible in the calculation explanation so an operator can explain the total.</w:t>
            </w:r>
          </w:p>
        </w:tc>
      </w:tr>
    </w:tbl>
    <w:p>
      <w:pPr>
        <w:keepNext w:val="0"/>
        <w:spacing w:before="0" w:after="100" w:line="276" w:lineRule="auto"/>
      </w:pPr>
      <w:r>
        <w:rPr>
          <w:rFonts w:ascii="Arial" w:hAnsi="Arial" w:eastAsia="Arial"/>
          <w:b w:val="0"/>
          <w:i w:val="0"/>
          <w:color w:val="111817"/>
          <w:sz w:val="4"/>
        </w:rPr>
      </w:r>
    </w:p>
    <w:tbl>
      <w:tblPr>
        <w:tblW w:type="dxa" w:w="9695"/>
        <w:jc w:val="center"/>
        <w:tblLayout w:type="fixed"/>
        <w:tblLook w:firstColumn="1" w:firstRow="1" w:lastColumn="0" w:lastRow="0" w:noHBand="0" w:noVBand="1" w:val="04A0"/>
      </w:tblPr>
      <w:tblGrid>
        <w:gridCol w:w="9695"/>
      </w:tblGrid>
      <w:tr>
        <w:tc>
          <w:tcPr>
            <w:tcW w:type="dxa" w:w="9694"/>
            <w:tcBorders>
              <w:top w:val="single" w:sz="5" w:space="0" w:color="B9D6D0"/>
              <w:left w:val="single" w:sz="5" w:space="0" w:color="B9D6D0"/>
              <w:bottom w:val="single" w:sz="5" w:space="0" w:color="B9D6D0"/>
              <w:right w:val="single" w:sz="5" w:space="0" w:color="B9D6D0"/>
            </w:tcBorders>
            <w:shd w:fill="14877D" w:val="clear"/>
            <w:tcMar>
              <w:top w:w="75" w:type="dxa"/>
              <w:start w:w="150" w:type="dxa"/>
              <w:bottom w:w="75" w:type="dxa"/>
              <w:end w:w="150" w:type="dxa"/>
            </w:tcMar>
          </w:tcPr>
          <w:p>
            <w:pPr>
              <w:keepNext w:val="0"/>
              <w:spacing w:before="0" w:after="0" w:line="264" w:lineRule="auto"/>
            </w:pPr>
            <w:r>
              <w:rPr>
                <w:rFonts w:ascii="Arial" w:hAnsi="Arial" w:eastAsia="Arial"/>
                <w:b w:val="0"/>
                <w:i w:val="0"/>
                <w:color w:val="FFFFFF"/>
                <w:sz w:val="18"/>
              </w:rPr>
              <w:t>Example</w:t>
            </w:r>
          </w:p>
        </w:tc>
      </w:tr>
      <w:tr>
        <w:tc>
          <w:tcPr>
            <w:tcW w:type="dxa" w:w="9694"/>
            <w:tcBorders>
              <w:top w:val="single" w:sz="5" w:space="0" w:color="B9D6D0"/>
              <w:left w:val="single" w:sz="5" w:space="0" w:color="B9D6D0"/>
              <w:bottom w:val="single" w:sz="5" w:space="0" w:color="B9D6D0"/>
              <w:right w:val="single" w:sz="5" w:space="0" w:color="B9D6D0"/>
            </w:tcBorders>
            <w:shd w:fill="F3F7F6" w:val="clear"/>
            <w:tcMar>
              <w:top w:w="105" w:type="dxa"/>
              <w:start w:w="150" w:type="dxa"/>
              <w:bottom w:w="105" w:type="dxa"/>
              <w:end w:w="150" w:type="dxa"/>
            </w:tcMar>
          </w:tcPr>
          <w:p>
            <w:pPr>
              <w:keepNext w:val="0"/>
              <w:spacing w:before="0" w:after="0" w:line="264" w:lineRule="auto"/>
            </w:pPr>
            <w:r>
              <w:rPr>
                <w:rFonts w:ascii="Arial" w:hAnsi="Arial" w:eastAsia="Arial"/>
                <w:b w:val="0"/>
                <w:i w:val="0"/>
                <w:color w:val="111817"/>
                <w:sz w:val="17"/>
              </w:rPr>
              <w:t>Collection: GBP 45.00 base plus GBP 0.12 per kg.</w:t>
            </w:r>
          </w:p>
        </w:tc>
      </w:tr>
    </w:tbl>
    <w:p>
      <w:pPr>
        <w:pStyle w:val="GuideHeading2"/>
      </w:pPr>
      <w:r>
        <w:t>Multideck interaction pattern</w:t>
      </w:r>
    </w:p>
    <w:p>
      <w:pPr>
        <w:pStyle w:val="GuideBody"/>
      </w:pPr>
      <w:r>
        <w:t>Choose this pricing method from a plain-language selector. Multideck then reveals only the relevant inputs, validates missing data before rating, and keeps a live explanation beside the result. The charge remains independent on the supplier and customer sides unless an operator explicitly copies it.</w:t>
      </w:r>
    </w:p>
    <w:p>
      <w:r>
        <w:br w:type="page"/>
      </w:r>
    </w:p>
    <w:p>
      <w:pPr>
        <w:pStyle w:val="GuideEyebrow"/>
      </w:pPr>
      <w:r>
        <w:t>CALCULATOR 07 / COMMERCIAL CONTROLS</w:t>
      </w:r>
    </w:p>
    <w:p>
      <w:pPr>
        <w:pStyle w:val="GuideHeading1"/>
      </w:pPr>
      <w:r>
        <w:t>Cost-linked sell rule</w:t>
      </w:r>
    </w:p>
    <w:p>
      <w:pPr>
        <w:pStyle w:val="GuideLead"/>
      </w:pPr>
      <w:r>
        <w:t>Create a customer sell charge from an independently sourced supplier cost using an agreed commercial rule.</w:t>
      </w:r>
    </w:p>
    <w:tbl>
      <w:tblPr>
        <w:tblW w:type="dxa" w:w="9695"/>
        <w:jc w:val="center"/>
        <w:tblLayout w:type="fixed"/>
        <w:tblLook w:firstColumn="1" w:firstRow="1" w:lastColumn="0" w:lastRow="0" w:noHBand="0" w:noVBand="1" w:val="04A0"/>
      </w:tblPr>
      <w:tblGrid>
        <w:gridCol w:w="3288"/>
        <w:gridCol w:w="6407"/>
      </w:tblGrid>
      <w:tr>
        <w:trPr>
          <w:tblHeader w:val="true"/>
        </w:trPr>
        <w:tc>
          <w:tcPr>
            <w:tcW w:type="dxa" w:w="328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E8F2F0" w:val="clear"/>
          </w:tcPr>
          <w:p>
            <w:pPr>
              <w:keepNext w:val="0"/>
              <w:spacing w:before="0" w:after="0" w:line="264" w:lineRule="auto"/>
            </w:pPr>
            <w:r>
              <w:rPr>
                <w:rFonts w:ascii="Arial" w:hAnsi="Arial" w:eastAsia="Arial"/>
                <w:b w:val="0"/>
                <w:i w:val="0"/>
                <w:color w:val="00645E"/>
                <w:sz w:val="17"/>
              </w:rPr>
              <w:t>Pricing method</w:t>
            </w:r>
          </w:p>
        </w:tc>
        <w:tc>
          <w:tcPr>
            <w:tcW w:type="dxa" w:w="6406"/>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E8F2F0" w:val="clear"/>
          </w:tcPr>
          <w:p>
            <w:pPr>
              <w:keepNext w:val="0"/>
              <w:spacing w:before="0" w:after="0" w:line="264" w:lineRule="auto"/>
            </w:pPr>
            <w:r>
              <w:rPr>
                <w:rFonts w:ascii="Arial" w:hAnsi="Arial" w:eastAsia="Arial"/>
                <w:b w:val="0"/>
                <w:i w:val="0"/>
                <w:color w:val="00645E"/>
                <w:sz w:val="17"/>
              </w:rPr>
              <w:t>How it behaves</w:t>
            </w:r>
          </w:p>
        </w:tc>
      </w:tr>
      <w:tr>
        <w:tc>
          <w:tcPr>
            <w:tcW w:type="dxa" w:w="328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FFFFF" w:val="clear"/>
          </w:tcPr>
          <w:p>
            <w:pPr>
              <w:keepNext w:val="0"/>
              <w:spacing w:before="0" w:after="0" w:line="264" w:lineRule="auto"/>
            </w:pPr>
            <w:r>
              <w:rPr>
                <w:rFonts w:ascii="Arial" w:hAnsi="Arial" w:eastAsia="Arial"/>
                <w:b w:val="0"/>
                <w:i w:val="0"/>
                <w:color w:val="00645E"/>
                <w:sz w:val="17"/>
              </w:rPr>
              <w:t>Margin rule</w:t>
            </w:r>
          </w:p>
        </w:tc>
        <w:tc>
          <w:tcPr>
            <w:tcW w:type="dxa" w:w="6406"/>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FFFFF" w:val="clear"/>
          </w:tcPr>
          <w:p>
            <w:pPr>
              <w:keepNext w:val="0"/>
              <w:spacing w:before="0" w:after="0" w:line="264" w:lineRule="auto"/>
            </w:pPr>
            <w:r>
              <w:rPr>
                <w:rFonts w:ascii="Arial" w:hAnsi="Arial" w:eastAsia="Arial"/>
                <w:b w:val="0"/>
                <w:i w:val="0"/>
                <w:color w:val="111817"/>
                <w:sz w:val="17"/>
              </w:rPr>
              <w:t>Sell result = supplier cost adjusted by the selected markup rule.</w:t>
            </w:r>
          </w:p>
        </w:tc>
      </w:tr>
    </w:tbl>
    <w:p>
      <w:pPr>
        <w:keepNext w:val="0"/>
        <w:spacing w:before="0" w:after="100" w:line="276" w:lineRule="auto"/>
      </w:pPr>
      <w:r>
        <w:rPr>
          <w:rFonts w:ascii="Arial" w:hAnsi="Arial" w:eastAsia="Arial"/>
          <w:b w:val="0"/>
          <w:i w:val="0"/>
          <w:color w:val="111817"/>
          <w:sz w:val="4"/>
        </w:rPr>
      </w:r>
    </w:p>
    <w:tbl>
      <w:tblPr>
        <w:tblW w:type="dxa" w:w="9695"/>
        <w:jc w:val="center"/>
        <w:tblLayout w:type="fixed"/>
        <w:tblLook w:firstColumn="1" w:firstRow="1" w:lastColumn="0" w:lastRow="0" w:noHBand="0" w:noVBand="1" w:val="04A0"/>
      </w:tblPr>
      <w:tblGrid>
        <w:gridCol w:w="4847"/>
        <w:gridCol w:w="4847"/>
      </w:tblGrid>
      <w:tr>
        <w:tc>
          <w:tcPr>
            <w:tcW w:type="dxa" w:w="4847"/>
            <w:tcBorders>
              <w:top w:val="single" w:sz="5" w:space="0" w:color="CDDCD9"/>
              <w:left w:val="single" w:sz="5" w:space="0" w:color="CDDCD9"/>
              <w:bottom w:val="single" w:sz="5" w:space="0" w:color="CDDCD9"/>
              <w:right w:val="single" w:sz="5" w:space="0" w:color="CDDCD9"/>
            </w:tcBorders>
            <w:shd w:fill="F3F7F6" w:val="clear"/>
            <w:tcMar>
              <w:top w:w="120" w:type="dxa"/>
              <w:start w:w="150" w:type="dxa"/>
              <w:bottom w:w="130" w:type="dxa"/>
              <w:end w:w="150" w:type="dxa"/>
            </w:tcMar>
            <w:vAlign w:val="top"/>
          </w:tcPr>
          <w:p>
            <w:pPr>
              <w:keepNext w:val="0"/>
              <w:spacing w:before="0" w:after="0" w:line="264" w:lineRule="auto"/>
            </w:pPr>
            <w:r>
              <w:rPr>
                <w:rFonts w:ascii="Arial" w:hAnsi="Arial" w:eastAsia="Arial"/>
                <w:b w:val="0"/>
                <w:i w:val="0"/>
                <w:color w:val="00645E"/>
                <w:sz w:val="18"/>
              </w:rPr>
              <w:t>Inputs</w:t>
            </w:r>
          </w:p>
          <w:p>
            <w:pPr>
              <w:pStyle w:val="ListBullet"/>
              <w:keepNext w:val="0"/>
              <w:spacing w:before="0" w:after="0" w:line="245" w:lineRule="auto"/>
              <w:ind w:left="198" w:hanging="102"/>
            </w:pPr>
            <w:r>
              <w:rPr>
                <w:rFonts w:ascii="Arial" w:hAnsi="Arial" w:eastAsia="Arial"/>
                <w:b w:val="0"/>
                <w:i w:val="0"/>
                <w:color w:val="111817"/>
                <w:sz w:val="17"/>
              </w:rPr>
              <w:t>Cost source</w:t>
            </w:r>
          </w:p>
          <w:p>
            <w:pPr>
              <w:pStyle w:val="ListBullet"/>
              <w:keepNext w:val="0"/>
              <w:spacing w:before="0" w:after="0" w:line="245" w:lineRule="auto"/>
              <w:ind w:left="198" w:hanging="102"/>
            </w:pPr>
            <w:r>
              <w:rPr>
                <w:rFonts w:ascii="Arial" w:hAnsi="Arial" w:eastAsia="Arial"/>
                <w:b w:val="0"/>
                <w:i w:val="0"/>
                <w:color w:val="111817"/>
                <w:sz w:val="17"/>
              </w:rPr>
              <w:t>Markup percent or amount</w:t>
            </w:r>
          </w:p>
          <w:p>
            <w:pPr>
              <w:pStyle w:val="ListBullet"/>
              <w:keepNext w:val="0"/>
              <w:spacing w:before="0" w:after="0" w:line="245" w:lineRule="auto"/>
              <w:ind w:left="198" w:hanging="102"/>
            </w:pPr>
            <w:r>
              <w:rPr>
                <w:rFonts w:ascii="Arial" w:hAnsi="Arial" w:eastAsia="Arial"/>
                <w:b w:val="0"/>
                <w:i w:val="0"/>
                <w:color w:val="111817"/>
                <w:sz w:val="17"/>
              </w:rPr>
              <w:t>Minimum or maximum</w:t>
            </w:r>
          </w:p>
          <w:p>
            <w:pPr>
              <w:pStyle w:val="ListBullet"/>
              <w:keepNext w:val="0"/>
              <w:spacing w:before="0" w:after="0" w:line="245" w:lineRule="auto"/>
              <w:ind w:left="198" w:hanging="102"/>
            </w:pPr>
            <w:r>
              <w:rPr>
                <w:rFonts w:ascii="Arial" w:hAnsi="Arial" w:eastAsia="Arial"/>
                <w:b w:val="0"/>
                <w:i w:val="0"/>
                <w:color w:val="111817"/>
                <w:sz w:val="17"/>
              </w:rPr>
              <w:t>Rounding rule</w:t>
            </w:r>
          </w:p>
        </w:tc>
        <w:tc>
          <w:tcPr>
            <w:tcW w:type="dxa" w:w="4847"/>
            <w:tcBorders>
              <w:top w:val="single" w:sz="5" w:space="0" w:color="CDDCD9"/>
              <w:left w:val="single" w:sz="5" w:space="0" w:color="CDDCD9"/>
              <w:bottom w:val="single" w:sz="5" w:space="0" w:color="CDDCD9"/>
              <w:right w:val="single" w:sz="5" w:space="0" w:color="CDDCD9"/>
            </w:tcBorders>
            <w:shd w:fill="F8F4EA" w:val="clear"/>
            <w:tcMar>
              <w:top w:w="120" w:type="dxa"/>
              <w:start w:w="150" w:type="dxa"/>
              <w:bottom w:w="130" w:type="dxa"/>
              <w:end w:w="150" w:type="dxa"/>
            </w:tcMar>
            <w:vAlign w:val="top"/>
          </w:tcPr>
          <w:p>
            <w:pPr>
              <w:keepNext w:val="0"/>
              <w:spacing w:before="0" w:after="0" w:line="264" w:lineRule="auto"/>
            </w:pPr>
            <w:r>
              <w:rPr>
                <w:rFonts w:ascii="Arial" w:hAnsi="Arial" w:eastAsia="Arial"/>
                <w:b w:val="0"/>
                <w:i w:val="0"/>
                <w:color w:val="00645E"/>
                <w:sz w:val="18"/>
              </w:rPr>
              <w:t>Operator safeguard</w:t>
            </w:r>
          </w:p>
          <w:p>
            <w:pPr>
              <w:keepNext w:val="0"/>
              <w:spacing w:before="0" w:after="0" w:line="276" w:lineRule="auto"/>
            </w:pPr>
            <w:r>
              <w:rPr>
                <w:rFonts w:ascii="Arial" w:hAnsi="Arial" w:eastAsia="Arial"/>
                <w:b w:val="0"/>
                <w:i w:val="0"/>
                <w:color w:val="111817"/>
                <w:sz w:val="17"/>
              </w:rPr>
              <w:t>Supplier and customer charges stay independent. The preview must identify the cost used, timing and whether a manual override exists.</w:t>
            </w:r>
          </w:p>
        </w:tc>
      </w:tr>
    </w:tbl>
    <w:p>
      <w:pPr>
        <w:keepNext w:val="0"/>
        <w:spacing w:before="0" w:after="100" w:line="276" w:lineRule="auto"/>
      </w:pPr>
      <w:r>
        <w:rPr>
          <w:rFonts w:ascii="Arial" w:hAnsi="Arial" w:eastAsia="Arial"/>
          <w:b w:val="0"/>
          <w:i w:val="0"/>
          <w:color w:val="111817"/>
          <w:sz w:val="4"/>
        </w:rPr>
      </w:r>
    </w:p>
    <w:tbl>
      <w:tblPr>
        <w:tblW w:type="dxa" w:w="9695"/>
        <w:jc w:val="center"/>
        <w:tblLayout w:type="fixed"/>
        <w:tblLook w:firstColumn="1" w:firstRow="1" w:lastColumn="0" w:lastRow="0" w:noHBand="0" w:noVBand="1" w:val="04A0"/>
      </w:tblPr>
      <w:tblGrid>
        <w:gridCol w:w="9695"/>
      </w:tblGrid>
      <w:tr>
        <w:tc>
          <w:tcPr>
            <w:tcW w:type="dxa" w:w="9694"/>
            <w:tcBorders>
              <w:top w:val="single" w:sz="5" w:space="0" w:color="B9D6D0"/>
              <w:left w:val="single" w:sz="5" w:space="0" w:color="B9D6D0"/>
              <w:bottom w:val="single" w:sz="5" w:space="0" w:color="B9D6D0"/>
              <w:right w:val="single" w:sz="5" w:space="0" w:color="B9D6D0"/>
            </w:tcBorders>
            <w:shd w:fill="14877D" w:val="clear"/>
            <w:tcMar>
              <w:top w:w="75" w:type="dxa"/>
              <w:start w:w="150" w:type="dxa"/>
              <w:bottom w:w="75" w:type="dxa"/>
              <w:end w:w="150" w:type="dxa"/>
            </w:tcMar>
          </w:tcPr>
          <w:p>
            <w:pPr>
              <w:keepNext w:val="0"/>
              <w:spacing w:before="0" w:after="0" w:line="264" w:lineRule="auto"/>
            </w:pPr>
            <w:r>
              <w:rPr>
                <w:rFonts w:ascii="Arial" w:hAnsi="Arial" w:eastAsia="Arial"/>
                <w:b w:val="0"/>
                <w:i w:val="0"/>
                <w:color w:val="FFFFFF"/>
                <w:sz w:val="18"/>
              </w:rPr>
              <w:t>Example</w:t>
            </w:r>
          </w:p>
        </w:tc>
      </w:tr>
      <w:tr>
        <w:tc>
          <w:tcPr>
            <w:tcW w:type="dxa" w:w="9694"/>
            <w:tcBorders>
              <w:top w:val="single" w:sz="5" w:space="0" w:color="B9D6D0"/>
              <w:left w:val="single" w:sz="5" w:space="0" w:color="B9D6D0"/>
              <w:bottom w:val="single" w:sz="5" w:space="0" w:color="B9D6D0"/>
              <w:right w:val="single" w:sz="5" w:space="0" w:color="B9D6D0"/>
            </w:tcBorders>
            <w:shd w:fill="F3F7F6" w:val="clear"/>
            <w:tcMar>
              <w:top w:w="105" w:type="dxa"/>
              <w:start w:w="150" w:type="dxa"/>
              <w:bottom w:w="105" w:type="dxa"/>
              <w:end w:w="150" w:type="dxa"/>
            </w:tcMar>
          </w:tcPr>
          <w:p>
            <w:pPr>
              <w:keepNext w:val="0"/>
              <w:spacing w:before="0" w:after="0" w:line="264" w:lineRule="auto"/>
            </w:pPr>
            <w:r>
              <w:rPr>
                <w:rFonts w:ascii="Arial" w:hAnsi="Arial" w:eastAsia="Arial"/>
                <w:b w:val="0"/>
                <w:i w:val="0"/>
                <w:color w:val="111817"/>
                <w:sz w:val="17"/>
              </w:rPr>
              <w:t>Carrier surcharge: supplier USD 380.00 plus 12 percent, rounded to nearest USD 1.00.</w:t>
            </w:r>
          </w:p>
        </w:tc>
      </w:tr>
    </w:tbl>
    <w:p>
      <w:pPr>
        <w:pStyle w:val="GuideHeading2"/>
      </w:pPr>
      <w:r>
        <w:t>Multideck interaction pattern</w:t>
      </w:r>
    </w:p>
    <w:p>
      <w:pPr>
        <w:pStyle w:val="GuideBody"/>
      </w:pPr>
      <w:r>
        <w:t>Choose this pricing method from a plain-language selector. Multideck then reveals only the relevant inputs, validates missing data before rating, and keeps a live explanation beside the result. The charge remains independent on the supplier and customer sides unless an operator explicitly copies it.</w:t>
      </w:r>
    </w:p>
    <w:p>
      <w:r>
        <w:br w:type="page"/>
      </w:r>
    </w:p>
    <w:p>
      <w:pPr>
        <w:pStyle w:val="GuideEyebrow"/>
      </w:pPr>
      <w:r>
        <w:t>CALCULATOR 08 / COMMERCIAL CONTROLS</w:t>
      </w:r>
    </w:p>
    <w:p>
      <w:pPr>
        <w:pStyle w:val="GuideHeading1"/>
      </w:pPr>
      <w:r>
        <w:t>Tariff adjustment</w:t>
      </w:r>
    </w:p>
    <w:p>
      <w:pPr>
        <w:pStyle w:val="GuideLead"/>
      </w:pPr>
      <w:r>
        <w:t>Derive a sell or cost rate from a named reference tariff, then apply controlled changes.</w:t>
      </w:r>
    </w:p>
    <w:tbl>
      <w:tblPr>
        <w:tblW w:type="dxa" w:w="9695"/>
        <w:jc w:val="center"/>
        <w:tblLayout w:type="fixed"/>
        <w:tblLook w:firstColumn="1" w:firstRow="1" w:lastColumn="0" w:lastRow="0" w:noHBand="0" w:noVBand="1" w:val="04A0"/>
      </w:tblPr>
      <w:tblGrid>
        <w:gridCol w:w="3288"/>
        <w:gridCol w:w="6407"/>
      </w:tblGrid>
      <w:tr>
        <w:trPr>
          <w:tblHeader w:val="true"/>
        </w:trPr>
        <w:tc>
          <w:tcPr>
            <w:tcW w:type="dxa" w:w="328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E8F2F0" w:val="clear"/>
          </w:tcPr>
          <w:p>
            <w:pPr>
              <w:keepNext w:val="0"/>
              <w:spacing w:before="0" w:after="0" w:line="264" w:lineRule="auto"/>
            </w:pPr>
            <w:r>
              <w:rPr>
                <w:rFonts w:ascii="Arial" w:hAnsi="Arial" w:eastAsia="Arial"/>
                <w:b w:val="0"/>
                <w:i w:val="0"/>
                <w:color w:val="00645E"/>
                <w:sz w:val="17"/>
              </w:rPr>
              <w:t>Pricing method</w:t>
            </w:r>
          </w:p>
        </w:tc>
        <w:tc>
          <w:tcPr>
            <w:tcW w:type="dxa" w:w="6406"/>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E8F2F0" w:val="clear"/>
          </w:tcPr>
          <w:p>
            <w:pPr>
              <w:keepNext w:val="0"/>
              <w:spacing w:before="0" w:after="0" w:line="264" w:lineRule="auto"/>
            </w:pPr>
            <w:r>
              <w:rPr>
                <w:rFonts w:ascii="Arial" w:hAnsi="Arial" w:eastAsia="Arial"/>
                <w:b w:val="0"/>
                <w:i w:val="0"/>
                <w:color w:val="00645E"/>
                <w:sz w:val="17"/>
              </w:rPr>
              <w:t>How it behaves</w:t>
            </w:r>
          </w:p>
        </w:tc>
      </w:tr>
      <w:tr>
        <w:tc>
          <w:tcPr>
            <w:tcW w:type="dxa" w:w="328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FFFFF" w:val="clear"/>
          </w:tcPr>
          <w:p>
            <w:pPr>
              <w:keepNext w:val="0"/>
              <w:spacing w:before="0" w:after="0" w:line="264" w:lineRule="auto"/>
            </w:pPr>
            <w:r>
              <w:rPr>
                <w:rFonts w:ascii="Arial" w:hAnsi="Arial" w:eastAsia="Arial"/>
                <w:b w:val="0"/>
                <w:i w:val="0"/>
                <w:color w:val="00645E"/>
                <w:sz w:val="17"/>
              </w:rPr>
              <w:t>Reference uplift</w:t>
            </w:r>
          </w:p>
        </w:tc>
        <w:tc>
          <w:tcPr>
            <w:tcW w:type="dxa" w:w="6406"/>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FFFFF" w:val="clear"/>
          </w:tcPr>
          <w:p>
            <w:pPr>
              <w:keepNext w:val="0"/>
              <w:spacing w:before="0" w:after="0" w:line="264" w:lineRule="auto"/>
            </w:pPr>
            <w:r>
              <w:rPr>
                <w:rFonts w:ascii="Arial" w:hAnsi="Arial" w:eastAsia="Arial"/>
                <w:b w:val="0"/>
                <w:i w:val="0"/>
                <w:color w:val="111817"/>
                <w:sz w:val="17"/>
              </w:rPr>
              <w:t>Result starts with the selected tariff outcome, then applies the approved adjustments in the stated order.</w:t>
            </w:r>
          </w:p>
        </w:tc>
      </w:tr>
    </w:tbl>
    <w:p>
      <w:pPr>
        <w:keepNext w:val="0"/>
        <w:spacing w:before="0" w:after="100" w:line="276" w:lineRule="auto"/>
      </w:pPr>
      <w:r>
        <w:rPr>
          <w:rFonts w:ascii="Arial" w:hAnsi="Arial" w:eastAsia="Arial"/>
          <w:b w:val="0"/>
          <w:i w:val="0"/>
          <w:color w:val="111817"/>
          <w:sz w:val="4"/>
        </w:rPr>
      </w:r>
    </w:p>
    <w:tbl>
      <w:tblPr>
        <w:tblW w:type="dxa" w:w="9695"/>
        <w:jc w:val="center"/>
        <w:tblLayout w:type="fixed"/>
        <w:tblLook w:firstColumn="1" w:firstRow="1" w:lastColumn="0" w:lastRow="0" w:noHBand="0" w:noVBand="1" w:val="04A0"/>
      </w:tblPr>
      <w:tblGrid>
        <w:gridCol w:w="4847"/>
        <w:gridCol w:w="4847"/>
      </w:tblGrid>
      <w:tr>
        <w:tc>
          <w:tcPr>
            <w:tcW w:type="dxa" w:w="4847"/>
            <w:tcBorders>
              <w:top w:val="single" w:sz="5" w:space="0" w:color="CDDCD9"/>
              <w:left w:val="single" w:sz="5" w:space="0" w:color="CDDCD9"/>
              <w:bottom w:val="single" w:sz="5" w:space="0" w:color="CDDCD9"/>
              <w:right w:val="single" w:sz="5" w:space="0" w:color="CDDCD9"/>
            </w:tcBorders>
            <w:shd w:fill="F3F7F6" w:val="clear"/>
            <w:tcMar>
              <w:top w:w="120" w:type="dxa"/>
              <w:start w:w="150" w:type="dxa"/>
              <w:bottom w:w="130" w:type="dxa"/>
              <w:end w:w="150" w:type="dxa"/>
            </w:tcMar>
            <w:vAlign w:val="top"/>
          </w:tcPr>
          <w:p>
            <w:pPr>
              <w:keepNext w:val="0"/>
              <w:spacing w:before="0" w:after="0" w:line="264" w:lineRule="auto"/>
            </w:pPr>
            <w:r>
              <w:rPr>
                <w:rFonts w:ascii="Arial" w:hAnsi="Arial" w:eastAsia="Arial"/>
                <w:b w:val="0"/>
                <w:i w:val="0"/>
                <w:color w:val="00645E"/>
                <w:sz w:val="18"/>
              </w:rPr>
              <w:t>Inputs</w:t>
            </w:r>
          </w:p>
          <w:p>
            <w:pPr>
              <w:pStyle w:val="ListBullet"/>
              <w:keepNext w:val="0"/>
              <w:spacing w:before="0" w:after="0" w:line="245" w:lineRule="auto"/>
              <w:ind w:left="198" w:hanging="102"/>
            </w:pPr>
            <w:r>
              <w:rPr>
                <w:rFonts w:ascii="Arial" w:hAnsi="Arial" w:eastAsia="Arial"/>
                <w:b w:val="0"/>
                <w:i w:val="0"/>
                <w:color w:val="111817"/>
                <w:sz w:val="17"/>
              </w:rPr>
              <w:t>Reference tariff</w:t>
            </w:r>
          </w:p>
          <w:p>
            <w:pPr>
              <w:pStyle w:val="ListBullet"/>
              <w:keepNext w:val="0"/>
              <w:spacing w:before="0" w:after="0" w:line="245" w:lineRule="auto"/>
              <w:ind w:left="198" w:hanging="102"/>
            </w:pPr>
            <w:r>
              <w:rPr>
                <w:rFonts w:ascii="Arial" w:hAnsi="Arial" w:eastAsia="Arial"/>
                <w:b w:val="0"/>
                <w:i w:val="0"/>
                <w:color w:val="111817"/>
                <w:sz w:val="17"/>
              </w:rPr>
              <w:t>Base adjustment</w:t>
            </w:r>
          </w:p>
          <w:p>
            <w:pPr>
              <w:pStyle w:val="ListBullet"/>
              <w:keepNext w:val="0"/>
              <w:spacing w:before="0" w:after="0" w:line="245" w:lineRule="auto"/>
              <w:ind w:left="198" w:hanging="102"/>
            </w:pPr>
            <w:r>
              <w:rPr>
                <w:rFonts w:ascii="Arial" w:hAnsi="Arial" w:eastAsia="Arial"/>
                <w:b w:val="0"/>
                <w:i w:val="0"/>
                <w:color w:val="111817"/>
                <w:sz w:val="17"/>
              </w:rPr>
              <w:t>Unit adjustment</w:t>
            </w:r>
          </w:p>
          <w:p>
            <w:pPr>
              <w:pStyle w:val="ListBullet"/>
              <w:keepNext w:val="0"/>
              <w:spacing w:before="0" w:after="0" w:line="245" w:lineRule="auto"/>
              <w:ind w:left="198" w:hanging="102"/>
            </w:pPr>
            <w:r>
              <w:rPr>
                <w:rFonts w:ascii="Arial" w:hAnsi="Arial" w:eastAsia="Arial"/>
                <w:b w:val="0"/>
                <w:i w:val="0"/>
                <w:color w:val="111817"/>
                <w:sz w:val="17"/>
              </w:rPr>
              <w:t>Minimum or maximum</w:t>
            </w:r>
          </w:p>
          <w:p>
            <w:pPr>
              <w:pStyle w:val="ListBullet"/>
              <w:keepNext w:val="0"/>
              <w:spacing w:before="0" w:after="0" w:line="245" w:lineRule="auto"/>
              <w:ind w:left="198" w:hanging="102"/>
            </w:pPr>
            <w:r>
              <w:rPr>
                <w:rFonts w:ascii="Arial" w:hAnsi="Arial" w:eastAsia="Arial"/>
                <w:b w:val="0"/>
                <w:i w:val="0"/>
                <w:color w:val="111817"/>
                <w:sz w:val="17"/>
              </w:rPr>
              <w:t>Order of operations</w:t>
            </w:r>
          </w:p>
        </w:tc>
        <w:tc>
          <w:tcPr>
            <w:tcW w:type="dxa" w:w="4847"/>
            <w:tcBorders>
              <w:top w:val="single" w:sz="5" w:space="0" w:color="CDDCD9"/>
              <w:left w:val="single" w:sz="5" w:space="0" w:color="CDDCD9"/>
              <w:bottom w:val="single" w:sz="5" w:space="0" w:color="CDDCD9"/>
              <w:right w:val="single" w:sz="5" w:space="0" w:color="CDDCD9"/>
            </w:tcBorders>
            <w:shd w:fill="F8F4EA" w:val="clear"/>
            <w:tcMar>
              <w:top w:w="120" w:type="dxa"/>
              <w:start w:w="150" w:type="dxa"/>
              <w:bottom w:w="130" w:type="dxa"/>
              <w:end w:w="150" w:type="dxa"/>
            </w:tcMar>
            <w:vAlign w:val="top"/>
          </w:tcPr>
          <w:p>
            <w:pPr>
              <w:keepNext w:val="0"/>
              <w:spacing w:before="0" w:after="0" w:line="264" w:lineRule="auto"/>
            </w:pPr>
            <w:r>
              <w:rPr>
                <w:rFonts w:ascii="Arial" w:hAnsi="Arial" w:eastAsia="Arial"/>
                <w:b w:val="0"/>
                <w:i w:val="0"/>
                <w:color w:val="00645E"/>
                <w:sz w:val="18"/>
              </w:rPr>
              <w:t>Operator safeguard</w:t>
            </w:r>
          </w:p>
          <w:p>
            <w:pPr>
              <w:keepNext w:val="0"/>
              <w:spacing w:before="0" w:after="0" w:line="276" w:lineRule="auto"/>
            </w:pPr>
            <w:r>
              <w:rPr>
                <w:rFonts w:ascii="Arial" w:hAnsi="Arial" w:eastAsia="Arial"/>
                <w:b w:val="0"/>
                <w:i w:val="0"/>
                <w:color w:val="111817"/>
                <w:sz w:val="17"/>
              </w:rPr>
              <w:t>Show the tariff version, effective date and any missing-match warning. Never calculate silently from an unverified tariff.</w:t>
            </w:r>
          </w:p>
        </w:tc>
      </w:tr>
    </w:tbl>
    <w:p>
      <w:pPr>
        <w:keepNext w:val="0"/>
        <w:spacing w:before="0" w:after="100" w:line="276" w:lineRule="auto"/>
      </w:pPr>
      <w:r>
        <w:rPr>
          <w:rFonts w:ascii="Arial" w:hAnsi="Arial" w:eastAsia="Arial"/>
          <w:b w:val="0"/>
          <w:i w:val="0"/>
          <w:color w:val="111817"/>
          <w:sz w:val="4"/>
        </w:rPr>
      </w:r>
    </w:p>
    <w:tbl>
      <w:tblPr>
        <w:tblW w:type="dxa" w:w="9695"/>
        <w:jc w:val="center"/>
        <w:tblLayout w:type="fixed"/>
        <w:tblLook w:firstColumn="1" w:firstRow="1" w:lastColumn="0" w:lastRow="0" w:noHBand="0" w:noVBand="1" w:val="04A0"/>
      </w:tblPr>
      <w:tblGrid>
        <w:gridCol w:w="9695"/>
      </w:tblGrid>
      <w:tr>
        <w:tc>
          <w:tcPr>
            <w:tcW w:type="dxa" w:w="9694"/>
            <w:tcBorders>
              <w:top w:val="single" w:sz="5" w:space="0" w:color="B9D6D0"/>
              <w:left w:val="single" w:sz="5" w:space="0" w:color="B9D6D0"/>
              <w:bottom w:val="single" w:sz="5" w:space="0" w:color="B9D6D0"/>
              <w:right w:val="single" w:sz="5" w:space="0" w:color="B9D6D0"/>
            </w:tcBorders>
            <w:shd w:fill="14877D" w:val="clear"/>
            <w:tcMar>
              <w:top w:w="75" w:type="dxa"/>
              <w:start w:w="150" w:type="dxa"/>
              <w:bottom w:w="75" w:type="dxa"/>
              <w:end w:w="150" w:type="dxa"/>
            </w:tcMar>
          </w:tcPr>
          <w:p>
            <w:pPr>
              <w:keepNext w:val="0"/>
              <w:spacing w:before="0" w:after="0" w:line="264" w:lineRule="auto"/>
            </w:pPr>
            <w:r>
              <w:rPr>
                <w:rFonts w:ascii="Arial" w:hAnsi="Arial" w:eastAsia="Arial"/>
                <w:b w:val="0"/>
                <w:i w:val="0"/>
                <w:color w:val="FFFFFF"/>
                <w:sz w:val="18"/>
              </w:rPr>
              <w:t>Example</w:t>
            </w:r>
          </w:p>
        </w:tc>
      </w:tr>
      <w:tr>
        <w:tc>
          <w:tcPr>
            <w:tcW w:type="dxa" w:w="9694"/>
            <w:tcBorders>
              <w:top w:val="single" w:sz="5" w:space="0" w:color="B9D6D0"/>
              <w:left w:val="single" w:sz="5" w:space="0" w:color="B9D6D0"/>
              <w:bottom w:val="single" w:sz="5" w:space="0" w:color="B9D6D0"/>
              <w:right w:val="single" w:sz="5" w:space="0" w:color="B9D6D0"/>
            </w:tcBorders>
            <w:shd w:fill="F3F7F6" w:val="clear"/>
            <w:tcMar>
              <w:top w:w="105" w:type="dxa"/>
              <w:start w:w="150" w:type="dxa"/>
              <w:bottom w:w="105" w:type="dxa"/>
              <w:end w:w="150" w:type="dxa"/>
            </w:tcMar>
          </w:tcPr>
          <w:p>
            <w:pPr>
              <w:keepNext w:val="0"/>
              <w:spacing w:before="0" w:after="0" w:line="264" w:lineRule="auto"/>
            </w:pPr>
            <w:r>
              <w:rPr>
                <w:rFonts w:ascii="Arial" w:hAnsi="Arial" w:eastAsia="Arial"/>
                <w:b w:val="0"/>
                <w:i w:val="0"/>
                <w:color w:val="111817"/>
                <w:sz w:val="17"/>
              </w:rPr>
              <w:t>Contract sea freight plus USD 15.00 per container and a 5 percent fuel uplift.</w:t>
            </w:r>
          </w:p>
        </w:tc>
      </w:tr>
    </w:tbl>
    <w:p>
      <w:pPr>
        <w:pStyle w:val="GuideHeading2"/>
      </w:pPr>
      <w:r>
        <w:t>Multideck interaction pattern</w:t>
      </w:r>
    </w:p>
    <w:p>
      <w:pPr>
        <w:pStyle w:val="GuideBody"/>
      </w:pPr>
      <w:r>
        <w:t>Choose this pricing method from a plain-language selector. Multideck then reveals only the relevant inputs, validates missing data before rating, and keeps a live explanation beside the result. The charge remains independent on the supplier and customer sides unless an operator explicitly copies it.</w:t>
      </w:r>
    </w:p>
    <w:p>
      <w:r>
        <w:br w:type="page"/>
      </w:r>
    </w:p>
    <w:p>
      <w:pPr>
        <w:pStyle w:val="GuideEyebrow"/>
      </w:pPr>
      <w:r>
        <w:t>CALCULATOR 09 / CUSTOMS</w:t>
      </w:r>
    </w:p>
    <w:p>
      <w:pPr>
        <w:pStyle w:val="GuideHeading1"/>
      </w:pPr>
      <w:r>
        <w:t>Customs clearance fee</w:t>
      </w:r>
    </w:p>
    <w:p>
      <w:pPr>
        <w:pStyle w:val="GuideLead"/>
      </w:pPr>
      <w:r>
        <w:t>Price customs work from declaration type, fee structure, number of entries or number of invoice lines.</w:t>
      </w:r>
    </w:p>
    <w:tbl>
      <w:tblPr>
        <w:tblW w:type="dxa" w:w="9695"/>
        <w:jc w:val="center"/>
        <w:tblLayout w:type="fixed"/>
        <w:tblLook w:firstColumn="1" w:firstRow="1" w:lastColumn="0" w:lastRow="0" w:noHBand="0" w:noVBand="1" w:val="04A0"/>
      </w:tblPr>
      <w:tblGrid>
        <w:gridCol w:w="3288"/>
        <w:gridCol w:w="6407"/>
      </w:tblGrid>
      <w:tr>
        <w:trPr>
          <w:tblHeader w:val="true"/>
        </w:trPr>
        <w:tc>
          <w:tcPr>
            <w:tcW w:type="dxa" w:w="328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E8F2F0" w:val="clear"/>
          </w:tcPr>
          <w:p>
            <w:pPr>
              <w:keepNext w:val="0"/>
              <w:spacing w:before="0" w:after="0" w:line="264" w:lineRule="auto"/>
            </w:pPr>
            <w:r>
              <w:rPr>
                <w:rFonts w:ascii="Arial" w:hAnsi="Arial" w:eastAsia="Arial"/>
                <w:b w:val="0"/>
                <w:i w:val="0"/>
                <w:color w:val="00645E"/>
                <w:sz w:val="17"/>
              </w:rPr>
              <w:t>Pricing method</w:t>
            </w:r>
          </w:p>
        </w:tc>
        <w:tc>
          <w:tcPr>
            <w:tcW w:type="dxa" w:w="6406"/>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E8F2F0" w:val="clear"/>
          </w:tcPr>
          <w:p>
            <w:pPr>
              <w:keepNext w:val="0"/>
              <w:spacing w:before="0" w:after="0" w:line="264" w:lineRule="auto"/>
            </w:pPr>
            <w:r>
              <w:rPr>
                <w:rFonts w:ascii="Arial" w:hAnsi="Arial" w:eastAsia="Arial"/>
                <w:b w:val="0"/>
                <w:i w:val="0"/>
                <w:color w:val="00645E"/>
                <w:sz w:val="17"/>
              </w:rPr>
              <w:t>How it behaves</w:t>
            </w:r>
          </w:p>
        </w:tc>
      </w:tr>
      <w:tr>
        <w:tc>
          <w:tcPr>
            <w:tcW w:type="dxa" w:w="328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FFFFF" w:val="clear"/>
          </w:tcPr>
          <w:p>
            <w:pPr>
              <w:keepNext w:val="0"/>
              <w:spacing w:before="0" w:after="0" w:line="264" w:lineRule="auto"/>
            </w:pPr>
            <w:r>
              <w:rPr>
                <w:rFonts w:ascii="Arial" w:hAnsi="Arial" w:eastAsia="Arial"/>
                <w:b w:val="0"/>
                <w:i w:val="0"/>
                <w:color w:val="00645E"/>
                <w:sz w:val="17"/>
              </w:rPr>
              <w:t>Declaration logic</w:t>
            </w:r>
          </w:p>
        </w:tc>
        <w:tc>
          <w:tcPr>
            <w:tcW w:type="dxa" w:w="6406"/>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FFFFF" w:val="clear"/>
          </w:tcPr>
          <w:p>
            <w:pPr>
              <w:keepNext w:val="0"/>
              <w:spacing w:before="0" w:after="0" w:line="264" w:lineRule="auto"/>
            </w:pPr>
            <w:r>
              <w:rPr>
                <w:rFonts w:ascii="Arial" w:hAnsi="Arial" w:eastAsia="Arial"/>
                <w:b w:val="0"/>
                <w:i w:val="0"/>
                <w:color w:val="111817"/>
                <w:sz w:val="17"/>
              </w:rPr>
              <w:t>Result follows the selected declaration and line-count structure, subject to its cap.</w:t>
            </w:r>
          </w:p>
        </w:tc>
      </w:tr>
    </w:tbl>
    <w:p>
      <w:pPr>
        <w:keepNext w:val="0"/>
        <w:spacing w:before="0" w:after="100" w:line="276" w:lineRule="auto"/>
      </w:pPr>
      <w:r>
        <w:rPr>
          <w:rFonts w:ascii="Arial" w:hAnsi="Arial" w:eastAsia="Arial"/>
          <w:b w:val="0"/>
          <w:i w:val="0"/>
          <w:color w:val="111817"/>
          <w:sz w:val="4"/>
        </w:rPr>
      </w:r>
    </w:p>
    <w:tbl>
      <w:tblPr>
        <w:tblW w:type="dxa" w:w="9695"/>
        <w:jc w:val="center"/>
        <w:tblLayout w:type="fixed"/>
        <w:tblLook w:firstColumn="1" w:firstRow="1" w:lastColumn="0" w:lastRow="0" w:noHBand="0" w:noVBand="1" w:val="04A0"/>
      </w:tblPr>
      <w:tblGrid>
        <w:gridCol w:w="4847"/>
        <w:gridCol w:w="4847"/>
      </w:tblGrid>
      <w:tr>
        <w:tc>
          <w:tcPr>
            <w:tcW w:type="dxa" w:w="4847"/>
            <w:tcBorders>
              <w:top w:val="single" w:sz="5" w:space="0" w:color="CDDCD9"/>
              <w:left w:val="single" w:sz="5" w:space="0" w:color="CDDCD9"/>
              <w:bottom w:val="single" w:sz="5" w:space="0" w:color="CDDCD9"/>
              <w:right w:val="single" w:sz="5" w:space="0" w:color="CDDCD9"/>
            </w:tcBorders>
            <w:shd w:fill="F3F7F6" w:val="clear"/>
            <w:tcMar>
              <w:top w:w="120" w:type="dxa"/>
              <w:start w:w="150" w:type="dxa"/>
              <w:bottom w:w="130" w:type="dxa"/>
              <w:end w:w="150" w:type="dxa"/>
            </w:tcMar>
            <w:vAlign w:val="top"/>
          </w:tcPr>
          <w:p>
            <w:pPr>
              <w:keepNext w:val="0"/>
              <w:spacing w:before="0" w:after="0" w:line="264" w:lineRule="auto"/>
            </w:pPr>
            <w:r>
              <w:rPr>
                <w:rFonts w:ascii="Arial" w:hAnsi="Arial" w:eastAsia="Arial"/>
                <w:b w:val="0"/>
                <w:i w:val="0"/>
                <w:color w:val="00645E"/>
                <w:sz w:val="18"/>
              </w:rPr>
              <w:t>Inputs</w:t>
            </w:r>
          </w:p>
          <w:p>
            <w:pPr>
              <w:pStyle w:val="ListBullet"/>
              <w:keepNext w:val="0"/>
              <w:spacing w:before="0" w:after="0" w:line="245" w:lineRule="auto"/>
              <w:ind w:left="198" w:hanging="102"/>
            </w:pPr>
            <w:r>
              <w:rPr>
                <w:rFonts w:ascii="Arial" w:hAnsi="Arial" w:eastAsia="Arial"/>
                <w:b w:val="0"/>
                <w:i w:val="0"/>
                <w:color w:val="111817"/>
                <w:sz w:val="17"/>
              </w:rPr>
              <w:t>Base clearance fee</w:t>
            </w:r>
          </w:p>
          <w:p>
            <w:pPr>
              <w:pStyle w:val="ListBullet"/>
              <w:keepNext w:val="0"/>
              <w:spacing w:before="0" w:after="0" w:line="245" w:lineRule="auto"/>
              <w:ind w:left="198" w:hanging="102"/>
            </w:pPr>
            <w:r>
              <w:rPr>
                <w:rFonts w:ascii="Arial" w:hAnsi="Arial" w:eastAsia="Arial"/>
                <w:b w:val="0"/>
                <w:i w:val="0"/>
                <w:color w:val="111817"/>
                <w:sz w:val="17"/>
              </w:rPr>
              <w:t>Entry type</w:t>
            </w:r>
          </w:p>
          <w:p>
            <w:pPr>
              <w:pStyle w:val="ListBullet"/>
              <w:keepNext w:val="0"/>
              <w:spacing w:before="0" w:after="0" w:line="245" w:lineRule="auto"/>
              <w:ind w:left="198" w:hanging="102"/>
            </w:pPr>
            <w:r>
              <w:rPr>
                <w:rFonts w:ascii="Arial" w:hAnsi="Arial" w:eastAsia="Arial"/>
                <w:b w:val="0"/>
                <w:i w:val="0"/>
                <w:color w:val="111817"/>
                <w:sz w:val="17"/>
              </w:rPr>
              <w:t>Included entries or lines</w:t>
            </w:r>
          </w:p>
          <w:p>
            <w:pPr>
              <w:pStyle w:val="ListBullet"/>
              <w:keepNext w:val="0"/>
              <w:spacing w:before="0" w:after="0" w:line="245" w:lineRule="auto"/>
              <w:ind w:left="198" w:hanging="102"/>
            </w:pPr>
            <w:r>
              <w:rPr>
                <w:rFonts w:ascii="Arial" w:hAnsi="Arial" w:eastAsia="Arial"/>
                <w:b w:val="0"/>
                <w:i w:val="0"/>
                <w:color w:val="111817"/>
                <w:sz w:val="17"/>
              </w:rPr>
              <w:t>Additional-entry rate</w:t>
            </w:r>
          </w:p>
          <w:p>
            <w:pPr>
              <w:pStyle w:val="ListBullet"/>
              <w:keepNext w:val="0"/>
              <w:spacing w:before="0" w:after="0" w:line="245" w:lineRule="auto"/>
              <w:ind w:left="198" w:hanging="102"/>
            </w:pPr>
            <w:r>
              <w:rPr>
                <w:rFonts w:ascii="Arial" w:hAnsi="Arial" w:eastAsia="Arial"/>
                <w:b w:val="0"/>
                <w:i w:val="0"/>
                <w:color w:val="111817"/>
                <w:sz w:val="17"/>
              </w:rPr>
              <w:t>Maximum</w:t>
            </w:r>
          </w:p>
        </w:tc>
        <w:tc>
          <w:tcPr>
            <w:tcW w:type="dxa" w:w="4847"/>
            <w:tcBorders>
              <w:top w:val="single" w:sz="5" w:space="0" w:color="CDDCD9"/>
              <w:left w:val="single" w:sz="5" w:space="0" w:color="CDDCD9"/>
              <w:bottom w:val="single" w:sz="5" w:space="0" w:color="CDDCD9"/>
              <w:right w:val="single" w:sz="5" w:space="0" w:color="CDDCD9"/>
            </w:tcBorders>
            <w:shd w:fill="F8F4EA" w:val="clear"/>
            <w:tcMar>
              <w:top w:w="120" w:type="dxa"/>
              <w:start w:w="150" w:type="dxa"/>
              <w:bottom w:w="130" w:type="dxa"/>
              <w:end w:w="150" w:type="dxa"/>
            </w:tcMar>
            <w:vAlign w:val="top"/>
          </w:tcPr>
          <w:p>
            <w:pPr>
              <w:keepNext w:val="0"/>
              <w:spacing w:before="0" w:after="0" w:line="264" w:lineRule="auto"/>
            </w:pPr>
            <w:r>
              <w:rPr>
                <w:rFonts w:ascii="Arial" w:hAnsi="Arial" w:eastAsia="Arial"/>
                <w:b w:val="0"/>
                <w:i w:val="0"/>
                <w:color w:val="00645E"/>
                <w:sz w:val="18"/>
              </w:rPr>
              <w:t>Operator safeguard</w:t>
            </w:r>
          </w:p>
          <w:p>
            <w:pPr>
              <w:keepNext w:val="0"/>
              <w:spacing w:before="0" w:after="0" w:line="276" w:lineRule="auto"/>
            </w:pPr>
            <w:r>
              <w:rPr>
                <w:rFonts w:ascii="Arial" w:hAnsi="Arial" w:eastAsia="Arial"/>
                <w:b w:val="0"/>
                <w:i w:val="0"/>
                <w:color w:val="111817"/>
                <w:sz w:val="17"/>
              </w:rPr>
              <w:t>Duties and taxes are separate from the service fee. Show the chosen declaration type and country-specific availability.</w:t>
            </w:r>
          </w:p>
        </w:tc>
      </w:tr>
    </w:tbl>
    <w:p>
      <w:pPr>
        <w:keepNext w:val="0"/>
        <w:spacing w:before="0" w:after="100" w:line="276" w:lineRule="auto"/>
      </w:pPr>
      <w:r>
        <w:rPr>
          <w:rFonts w:ascii="Arial" w:hAnsi="Arial" w:eastAsia="Arial"/>
          <w:b w:val="0"/>
          <w:i w:val="0"/>
          <w:color w:val="111817"/>
          <w:sz w:val="4"/>
        </w:rPr>
      </w:r>
    </w:p>
    <w:tbl>
      <w:tblPr>
        <w:tblW w:type="dxa" w:w="9695"/>
        <w:jc w:val="center"/>
        <w:tblLayout w:type="fixed"/>
        <w:tblLook w:firstColumn="1" w:firstRow="1" w:lastColumn="0" w:lastRow="0" w:noHBand="0" w:noVBand="1" w:val="04A0"/>
      </w:tblPr>
      <w:tblGrid>
        <w:gridCol w:w="9695"/>
      </w:tblGrid>
      <w:tr>
        <w:tc>
          <w:tcPr>
            <w:tcW w:type="dxa" w:w="9694"/>
            <w:tcBorders>
              <w:top w:val="single" w:sz="5" w:space="0" w:color="B9D6D0"/>
              <w:left w:val="single" w:sz="5" w:space="0" w:color="B9D6D0"/>
              <w:bottom w:val="single" w:sz="5" w:space="0" w:color="B9D6D0"/>
              <w:right w:val="single" w:sz="5" w:space="0" w:color="B9D6D0"/>
            </w:tcBorders>
            <w:shd w:fill="14877D" w:val="clear"/>
            <w:tcMar>
              <w:top w:w="75" w:type="dxa"/>
              <w:start w:w="150" w:type="dxa"/>
              <w:bottom w:w="75" w:type="dxa"/>
              <w:end w:w="150" w:type="dxa"/>
            </w:tcMar>
          </w:tcPr>
          <w:p>
            <w:pPr>
              <w:keepNext w:val="0"/>
              <w:spacing w:before="0" w:after="0" w:line="264" w:lineRule="auto"/>
            </w:pPr>
            <w:r>
              <w:rPr>
                <w:rFonts w:ascii="Arial" w:hAnsi="Arial" w:eastAsia="Arial"/>
                <w:b w:val="0"/>
                <w:i w:val="0"/>
                <w:color w:val="FFFFFF"/>
                <w:sz w:val="18"/>
              </w:rPr>
              <w:t>Example</w:t>
            </w:r>
          </w:p>
        </w:tc>
      </w:tr>
      <w:tr>
        <w:tc>
          <w:tcPr>
            <w:tcW w:type="dxa" w:w="9694"/>
            <w:tcBorders>
              <w:top w:val="single" w:sz="5" w:space="0" w:color="B9D6D0"/>
              <w:left w:val="single" w:sz="5" w:space="0" w:color="B9D6D0"/>
              <w:bottom w:val="single" w:sz="5" w:space="0" w:color="B9D6D0"/>
              <w:right w:val="single" w:sz="5" w:space="0" w:color="B9D6D0"/>
            </w:tcBorders>
            <w:shd w:fill="F3F7F6" w:val="clear"/>
            <w:tcMar>
              <w:top w:w="105" w:type="dxa"/>
              <w:start w:w="150" w:type="dxa"/>
              <w:bottom w:w="105" w:type="dxa"/>
              <w:end w:w="150" w:type="dxa"/>
            </w:tcMar>
          </w:tcPr>
          <w:p>
            <w:pPr>
              <w:keepNext w:val="0"/>
              <w:spacing w:before="0" w:after="0" w:line="264" w:lineRule="auto"/>
            </w:pPr>
            <w:r>
              <w:rPr>
                <w:rFonts w:ascii="Arial" w:hAnsi="Arial" w:eastAsia="Arial"/>
                <w:b w:val="0"/>
                <w:i w:val="0"/>
                <w:color w:val="111817"/>
                <w:sz w:val="17"/>
              </w:rPr>
              <w:t>Import clearance: GBP 68.00 including one entry, GBP 14.00 per additional line, capped at GBP 180.00.</w:t>
            </w:r>
          </w:p>
        </w:tc>
      </w:tr>
    </w:tbl>
    <w:p>
      <w:pPr>
        <w:pStyle w:val="GuideHeading2"/>
      </w:pPr>
      <w:r>
        <w:t>Multideck interaction pattern</w:t>
      </w:r>
    </w:p>
    <w:p>
      <w:pPr>
        <w:pStyle w:val="GuideBody"/>
      </w:pPr>
      <w:r>
        <w:t>Choose this pricing method from a plain-language selector. Multideck then reveals only the relevant inputs, validates missing data before rating, and keeps a live explanation beside the result. The charge remains independent on the supplier and customer sides unless an operator explicitly copies it.</w:t>
      </w:r>
    </w:p>
    <w:p>
      <w:r>
        <w:br w:type="page"/>
      </w:r>
    </w:p>
    <w:p>
      <w:pPr>
        <w:pStyle w:val="GuideEyebrow"/>
      </w:pPr>
      <w:r>
        <w:t>CALCULATOR 10 / COMMERCIAL CONTROLS</w:t>
      </w:r>
    </w:p>
    <w:p>
      <w:pPr>
        <w:pStyle w:val="GuideHeading1"/>
      </w:pPr>
      <w:r>
        <w:t>Percentage uplift</w:t>
      </w:r>
    </w:p>
    <w:p>
      <w:pPr>
        <w:pStyle w:val="GuideLead"/>
      </w:pPr>
      <w:r>
        <w:t>Apply a percentage to a defined base such as selected charges, goods value, insured value or customs value.</w:t>
      </w:r>
    </w:p>
    <w:tbl>
      <w:tblPr>
        <w:tblW w:type="dxa" w:w="9695"/>
        <w:jc w:val="center"/>
        <w:tblLayout w:type="fixed"/>
        <w:tblLook w:firstColumn="1" w:firstRow="1" w:lastColumn="0" w:lastRow="0" w:noHBand="0" w:noVBand="1" w:val="04A0"/>
      </w:tblPr>
      <w:tblGrid>
        <w:gridCol w:w="3288"/>
        <w:gridCol w:w="6407"/>
      </w:tblGrid>
      <w:tr>
        <w:trPr>
          <w:tblHeader w:val="true"/>
        </w:trPr>
        <w:tc>
          <w:tcPr>
            <w:tcW w:type="dxa" w:w="328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E8F2F0" w:val="clear"/>
          </w:tcPr>
          <w:p>
            <w:pPr>
              <w:keepNext w:val="0"/>
              <w:spacing w:before="0" w:after="0" w:line="264" w:lineRule="auto"/>
            </w:pPr>
            <w:r>
              <w:rPr>
                <w:rFonts w:ascii="Arial" w:hAnsi="Arial" w:eastAsia="Arial"/>
                <w:b w:val="0"/>
                <w:i w:val="0"/>
                <w:color w:val="00645E"/>
                <w:sz w:val="17"/>
              </w:rPr>
              <w:t>Pricing method</w:t>
            </w:r>
          </w:p>
        </w:tc>
        <w:tc>
          <w:tcPr>
            <w:tcW w:type="dxa" w:w="6406"/>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E8F2F0" w:val="clear"/>
          </w:tcPr>
          <w:p>
            <w:pPr>
              <w:keepNext w:val="0"/>
              <w:spacing w:before="0" w:after="0" w:line="264" w:lineRule="auto"/>
            </w:pPr>
            <w:r>
              <w:rPr>
                <w:rFonts w:ascii="Arial" w:hAnsi="Arial" w:eastAsia="Arial"/>
                <w:b w:val="0"/>
                <w:i w:val="0"/>
                <w:color w:val="00645E"/>
                <w:sz w:val="17"/>
              </w:rPr>
              <w:t>How it behaves</w:t>
            </w:r>
          </w:p>
        </w:tc>
      </w:tr>
      <w:tr>
        <w:tc>
          <w:tcPr>
            <w:tcW w:type="dxa" w:w="328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FFFFF" w:val="clear"/>
          </w:tcPr>
          <w:p>
            <w:pPr>
              <w:keepNext w:val="0"/>
              <w:spacing w:before="0" w:after="0" w:line="264" w:lineRule="auto"/>
            </w:pPr>
            <w:r>
              <w:rPr>
                <w:rFonts w:ascii="Arial" w:hAnsi="Arial" w:eastAsia="Arial"/>
                <w:b w:val="0"/>
                <w:i w:val="0"/>
                <w:color w:val="00645E"/>
                <w:sz w:val="17"/>
              </w:rPr>
              <w:t>Percent of value</w:t>
            </w:r>
          </w:p>
        </w:tc>
        <w:tc>
          <w:tcPr>
            <w:tcW w:type="dxa" w:w="6406"/>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FFFFF" w:val="clear"/>
          </w:tcPr>
          <w:p>
            <w:pPr>
              <w:keepNext w:val="0"/>
              <w:spacing w:before="0" w:after="0" w:line="264" w:lineRule="auto"/>
            </w:pPr>
            <w:r>
              <w:rPr>
                <w:rFonts w:ascii="Arial" w:hAnsi="Arial" w:eastAsia="Arial"/>
                <w:b w:val="0"/>
                <w:i w:val="0"/>
                <w:color w:val="111817"/>
                <w:sz w:val="17"/>
              </w:rPr>
              <w:t>Result = selected base x percentage, subject to the chosen floor or cap.</w:t>
            </w:r>
          </w:p>
        </w:tc>
      </w:tr>
    </w:tbl>
    <w:p>
      <w:pPr>
        <w:keepNext w:val="0"/>
        <w:spacing w:before="0" w:after="100" w:line="276" w:lineRule="auto"/>
      </w:pPr>
      <w:r>
        <w:rPr>
          <w:rFonts w:ascii="Arial" w:hAnsi="Arial" w:eastAsia="Arial"/>
          <w:b w:val="0"/>
          <w:i w:val="0"/>
          <w:color w:val="111817"/>
          <w:sz w:val="4"/>
        </w:rPr>
      </w:r>
    </w:p>
    <w:tbl>
      <w:tblPr>
        <w:tblW w:type="dxa" w:w="9695"/>
        <w:jc w:val="center"/>
        <w:tblLayout w:type="fixed"/>
        <w:tblLook w:firstColumn="1" w:firstRow="1" w:lastColumn="0" w:lastRow="0" w:noHBand="0" w:noVBand="1" w:val="04A0"/>
      </w:tblPr>
      <w:tblGrid>
        <w:gridCol w:w="4847"/>
        <w:gridCol w:w="4847"/>
      </w:tblGrid>
      <w:tr>
        <w:tc>
          <w:tcPr>
            <w:tcW w:type="dxa" w:w="4847"/>
            <w:tcBorders>
              <w:top w:val="single" w:sz="5" w:space="0" w:color="CDDCD9"/>
              <w:left w:val="single" w:sz="5" w:space="0" w:color="CDDCD9"/>
              <w:bottom w:val="single" w:sz="5" w:space="0" w:color="CDDCD9"/>
              <w:right w:val="single" w:sz="5" w:space="0" w:color="CDDCD9"/>
            </w:tcBorders>
            <w:shd w:fill="F3F7F6" w:val="clear"/>
            <w:tcMar>
              <w:top w:w="120" w:type="dxa"/>
              <w:start w:w="150" w:type="dxa"/>
              <w:bottom w:w="130" w:type="dxa"/>
              <w:end w:w="150" w:type="dxa"/>
            </w:tcMar>
            <w:vAlign w:val="top"/>
          </w:tcPr>
          <w:p>
            <w:pPr>
              <w:keepNext w:val="0"/>
              <w:spacing w:before="0" w:after="0" w:line="264" w:lineRule="auto"/>
            </w:pPr>
            <w:r>
              <w:rPr>
                <w:rFonts w:ascii="Arial" w:hAnsi="Arial" w:eastAsia="Arial"/>
                <w:b w:val="0"/>
                <w:i w:val="0"/>
                <w:color w:val="00645E"/>
                <w:sz w:val="18"/>
              </w:rPr>
              <w:t>Inputs</w:t>
            </w:r>
          </w:p>
          <w:p>
            <w:pPr>
              <w:pStyle w:val="ListBullet"/>
              <w:keepNext w:val="0"/>
              <w:spacing w:before="0" w:after="0" w:line="245" w:lineRule="auto"/>
              <w:ind w:left="198" w:hanging="102"/>
            </w:pPr>
            <w:r>
              <w:rPr>
                <w:rFonts w:ascii="Arial" w:hAnsi="Arial" w:eastAsia="Arial"/>
                <w:b w:val="0"/>
                <w:i w:val="0"/>
                <w:color w:val="111817"/>
                <w:sz w:val="17"/>
              </w:rPr>
              <w:t>Percentage</w:t>
            </w:r>
          </w:p>
          <w:p>
            <w:pPr>
              <w:pStyle w:val="ListBullet"/>
              <w:keepNext w:val="0"/>
              <w:spacing w:before="0" w:after="0" w:line="245" w:lineRule="auto"/>
              <w:ind w:left="198" w:hanging="102"/>
            </w:pPr>
            <w:r>
              <w:rPr>
                <w:rFonts w:ascii="Arial" w:hAnsi="Arial" w:eastAsia="Arial"/>
                <w:b w:val="0"/>
                <w:i w:val="0"/>
                <w:color w:val="111817"/>
                <w:sz w:val="17"/>
              </w:rPr>
              <w:t>Calculation base</w:t>
            </w:r>
          </w:p>
          <w:p>
            <w:pPr>
              <w:pStyle w:val="ListBullet"/>
              <w:keepNext w:val="0"/>
              <w:spacing w:before="0" w:after="0" w:line="245" w:lineRule="auto"/>
              <w:ind w:left="198" w:hanging="102"/>
            </w:pPr>
            <w:r>
              <w:rPr>
                <w:rFonts w:ascii="Arial" w:hAnsi="Arial" w:eastAsia="Arial"/>
                <w:b w:val="0"/>
                <w:i w:val="0"/>
                <w:color w:val="111817"/>
                <w:sz w:val="17"/>
              </w:rPr>
              <w:t>Minimum or maximum</w:t>
            </w:r>
          </w:p>
          <w:p>
            <w:pPr>
              <w:pStyle w:val="ListBullet"/>
              <w:keepNext w:val="0"/>
              <w:spacing w:before="0" w:after="0" w:line="245" w:lineRule="auto"/>
              <w:ind w:left="198" w:hanging="102"/>
            </w:pPr>
            <w:r>
              <w:rPr>
                <w:rFonts w:ascii="Arial" w:hAnsi="Arial" w:eastAsia="Arial"/>
                <w:b w:val="0"/>
                <w:i w:val="0"/>
                <w:color w:val="111817"/>
                <w:sz w:val="17"/>
              </w:rPr>
              <w:t>Included charge scope</w:t>
            </w:r>
          </w:p>
        </w:tc>
        <w:tc>
          <w:tcPr>
            <w:tcW w:type="dxa" w:w="4847"/>
            <w:tcBorders>
              <w:top w:val="single" w:sz="5" w:space="0" w:color="CDDCD9"/>
              <w:left w:val="single" w:sz="5" w:space="0" w:color="CDDCD9"/>
              <w:bottom w:val="single" w:sz="5" w:space="0" w:color="CDDCD9"/>
              <w:right w:val="single" w:sz="5" w:space="0" w:color="CDDCD9"/>
            </w:tcBorders>
            <w:shd w:fill="F8F4EA" w:val="clear"/>
            <w:tcMar>
              <w:top w:w="120" w:type="dxa"/>
              <w:start w:w="150" w:type="dxa"/>
              <w:bottom w:w="130" w:type="dxa"/>
              <w:end w:w="150" w:type="dxa"/>
            </w:tcMar>
            <w:vAlign w:val="top"/>
          </w:tcPr>
          <w:p>
            <w:pPr>
              <w:keepNext w:val="0"/>
              <w:spacing w:before="0" w:after="0" w:line="264" w:lineRule="auto"/>
            </w:pPr>
            <w:r>
              <w:rPr>
                <w:rFonts w:ascii="Arial" w:hAnsi="Arial" w:eastAsia="Arial"/>
                <w:b w:val="0"/>
                <w:i w:val="0"/>
                <w:color w:val="00645E"/>
                <w:sz w:val="18"/>
              </w:rPr>
              <w:t>Operator safeguard</w:t>
            </w:r>
          </w:p>
          <w:p>
            <w:pPr>
              <w:keepNext w:val="0"/>
              <w:spacing w:before="0" w:after="0" w:line="276" w:lineRule="auto"/>
            </w:pPr>
            <w:r>
              <w:rPr>
                <w:rFonts w:ascii="Arial" w:hAnsi="Arial" w:eastAsia="Arial"/>
                <w:b w:val="0"/>
                <w:i w:val="0"/>
                <w:color w:val="111817"/>
                <w:sz w:val="17"/>
              </w:rPr>
              <w:t>The calculation explanation must name every included amount. Operators should never have to infer the percentage base.</w:t>
            </w:r>
          </w:p>
        </w:tc>
      </w:tr>
    </w:tbl>
    <w:p>
      <w:pPr>
        <w:keepNext w:val="0"/>
        <w:spacing w:before="0" w:after="100" w:line="276" w:lineRule="auto"/>
      </w:pPr>
      <w:r>
        <w:rPr>
          <w:rFonts w:ascii="Arial" w:hAnsi="Arial" w:eastAsia="Arial"/>
          <w:b w:val="0"/>
          <w:i w:val="0"/>
          <w:color w:val="111817"/>
          <w:sz w:val="4"/>
        </w:rPr>
      </w:r>
    </w:p>
    <w:tbl>
      <w:tblPr>
        <w:tblW w:type="dxa" w:w="9695"/>
        <w:jc w:val="center"/>
        <w:tblLayout w:type="fixed"/>
        <w:tblLook w:firstColumn="1" w:firstRow="1" w:lastColumn="0" w:lastRow="0" w:noHBand="0" w:noVBand="1" w:val="04A0"/>
      </w:tblPr>
      <w:tblGrid>
        <w:gridCol w:w="9695"/>
      </w:tblGrid>
      <w:tr>
        <w:tc>
          <w:tcPr>
            <w:tcW w:type="dxa" w:w="9694"/>
            <w:tcBorders>
              <w:top w:val="single" w:sz="5" w:space="0" w:color="B9D6D0"/>
              <w:left w:val="single" w:sz="5" w:space="0" w:color="B9D6D0"/>
              <w:bottom w:val="single" w:sz="5" w:space="0" w:color="B9D6D0"/>
              <w:right w:val="single" w:sz="5" w:space="0" w:color="B9D6D0"/>
            </w:tcBorders>
            <w:shd w:fill="14877D" w:val="clear"/>
            <w:tcMar>
              <w:top w:w="75" w:type="dxa"/>
              <w:start w:w="150" w:type="dxa"/>
              <w:bottom w:w="75" w:type="dxa"/>
              <w:end w:w="150" w:type="dxa"/>
            </w:tcMar>
          </w:tcPr>
          <w:p>
            <w:pPr>
              <w:keepNext w:val="0"/>
              <w:spacing w:before="0" w:after="0" w:line="264" w:lineRule="auto"/>
            </w:pPr>
            <w:r>
              <w:rPr>
                <w:rFonts w:ascii="Arial" w:hAnsi="Arial" w:eastAsia="Arial"/>
                <w:b w:val="0"/>
                <w:i w:val="0"/>
                <w:color w:val="FFFFFF"/>
                <w:sz w:val="18"/>
              </w:rPr>
              <w:t>Example</w:t>
            </w:r>
          </w:p>
        </w:tc>
      </w:tr>
      <w:tr>
        <w:tc>
          <w:tcPr>
            <w:tcW w:type="dxa" w:w="9694"/>
            <w:tcBorders>
              <w:top w:val="single" w:sz="5" w:space="0" w:color="B9D6D0"/>
              <w:left w:val="single" w:sz="5" w:space="0" w:color="B9D6D0"/>
              <w:bottom w:val="single" w:sz="5" w:space="0" w:color="B9D6D0"/>
              <w:right w:val="single" w:sz="5" w:space="0" w:color="B9D6D0"/>
            </w:tcBorders>
            <w:shd w:fill="F3F7F6" w:val="clear"/>
            <w:tcMar>
              <w:top w:w="105" w:type="dxa"/>
              <w:start w:w="150" w:type="dxa"/>
              <w:bottom w:w="105" w:type="dxa"/>
              <w:end w:w="150" w:type="dxa"/>
            </w:tcMar>
          </w:tcPr>
          <w:p>
            <w:pPr>
              <w:keepNext w:val="0"/>
              <w:spacing w:before="0" w:after="0" w:line="264" w:lineRule="auto"/>
            </w:pPr>
            <w:r>
              <w:rPr>
                <w:rFonts w:ascii="Arial" w:hAnsi="Arial" w:eastAsia="Arial"/>
                <w:b w:val="0"/>
                <w:i w:val="0"/>
                <w:color w:val="111817"/>
                <w:sz w:val="17"/>
              </w:rPr>
              <w:t>Cargo insurance: 0.38 percent of declared goods value, minimum GBP 25.00.</w:t>
            </w:r>
          </w:p>
        </w:tc>
      </w:tr>
    </w:tbl>
    <w:p>
      <w:pPr>
        <w:pStyle w:val="GuideHeading2"/>
      </w:pPr>
      <w:r>
        <w:t>Multideck interaction pattern</w:t>
      </w:r>
    </w:p>
    <w:p>
      <w:pPr>
        <w:pStyle w:val="GuideBody"/>
      </w:pPr>
      <w:r>
        <w:t>Choose this pricing method from a plain-language selector. Multideck then reveals only the relevant inputs, validates missing data before rating, and keeps a live explanation beside the result. The charge remains independent on the supplier and customer sides unless an operator explicitly copies it.</w:t>
      </w:r>
    </w:p>
    <w:p>
      <w:r>
        <w:br w:type="page"/>
      </w:r>
    </w:p>
    <w:p>
      <w:pPr>
        <w:pStyle w:val="GuideEyebrow"/>
      </w:pPr>
      <w:r>
        <w:t>CALCULATOR 11 / TRANSPORT</w:t>
      </w:r>
    </w:p>
    <w:p>
      <w:pPr>
        <w:pStyle w:val="GuideHeading1"/>
      </w:pPr>
      <w:r>
        <w:t>Distance zone pricing</w:t>
      </w:r>
    </w:p>
    <w:p>
      <w:pPr>
        <w:pStyle w:val="GuideLead"/>
      </w:pPr>
      <w:r>
        <w:t>Price cartage using origin and destination zones, distance, equipment and optional volumetric conversion.</w:t>
      </w:r>
    </w:p>
    <w:tbl>
      <w:tblPr>
        <w:tblW w:type="dxa" w:w="9695"/>
        <w:jc w:val="center"/>
        <w:tblLayout w:type="fixed"/>
        <w:tblLook w:firstColumn="1" w:firstRow="1" w:lastColumn="0" w:lastRow="0" w:noHBand="0" w:noVBand="1" w:val="04A0"/>
      </w:tblPr>
      <w:tblGrid>
        <w:gridCol w:w="3288"/>
        <w:gridCol w:w="6407"/>
      </w:tblGrid>
      <w:tr>
        <w:trPr>
          <w:tblHeader w:val="true"/>
        </w:trPr>
        <w:tc>
          <w:tcPr>
            <w:tcW w:type="dxa" w:w="328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E8F2F0" w:val="clear"/>
          </w:tcPr>
          <w:p>
            <w:pPr>
              <w:keepNext w:val="0"/>
              <w:spacing w:before="0" w:after="0" w:line="264" w:lineRule="auto"/>
            </w:pPr>
            <w:r>
              <w:rPr>
                <w:rFonts w:ascii="Arial" w:hAnsi="Arial" w:eastAsia="Arial"/>
                <w:b w:val="0"/>
                <w:i w:val="0"/>
                <w:color w:val="00645E"/>
                <w:sz w:val="17"/>
              </w:rPr>
              <w:t>Pricing method</w:t>
            </w:r>
          </w:p>
        </w:tc>
        <w:tc>
          <w:tcPr>
            <w:tcW w:type="dxa" w:w="6406"/>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E8F2F0" w:val="clear"/>
          </w:tcPr>
          <w:p>
            <w:pPr>
              <w:keepNext w:val="0"/>
              <w:spacing w:before="0" w:after="0" w:line="264" w:lineRule="auto"/>
            </w:pPr>
            <w:r>
              <w:rPr>
                <w:rFonts w:ascii="Arial" w:hAnsi="Arial" w:eastAsia="Arial"/>
                <w:b w:val="0"/>
                <w:i w:val="0"/>
                <w:color w:val="00645E"/>
                <w:sz w:val="17"/>
              </w:rPr>
              <w:t>How it behaves</w:t>
            </w:r>
          </w:p>
        </w:tc>
      </w:tr>
      <w:tr>
        <w:tc>
          <w:tcPr>
            <w:tcW w:type="dxa" w:w="328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FFFFF" w:val="clear"/>
          </w:tcPr>
          <w:p>
            <w:pPr>
              <w:keepNext w:val="0"/>
              <w:spacing w:before="0" w:after="0" w:line="264" w:lineRule="auto"/>
            </w:pPr>
            <w:r>
              <w:rPr>
                <w:rFonts w:ascii="Arial" w:hAnsi="Arial" w:eastAsia="Arial"/>
                <w:b w:val="0"/>
                <w:i w:val="0"/>
                <w:color w:val="00645E"/>
                <w:sz w:val="17"/>
              </w:rPr>
              <w:t>Zone + distance</w:t>
            </w:r>
          </w:p>
        </w:tc>
        <w:tc>
          <w:tcPr>
            <w:tcW w:type="dxa" w:w="6406"/>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FFFFF" w:val="clear"/>
          </w:tcPr>
          <w:p>
            <w:pPr>
              <w:keepNext w:val="0"/>
              <w:spacing w:before="0" w:after="0" w:line="264" w:lineRule="auto"/>
            </w:pPr>
            <w:r>
              <w:rPr>
                <w:rFonts w:ascii="Arial" w:hAnsi="Arial" w:eastAsia="Arial"/>
                <w:b w:val="0"/>
                <w:i w:val="0"/>
                <w:color w:val="111817"/>
                <w:sz w:val="17"/>
              </w:rPr>
              <w:t>Result uses the matching zone pair and the selected distance or quantity bands.</w:t>
            </w:r>
          </w:p>
        </w:tc>
      </w:tr>
    </w:tbl>
    <w:p>
      <w:pPr>
        <w:keepNext w:val="0"/>
        <w:spacing w:before="0" w:after="100" w:line="276" w:lineRule="auto"/>
      </w:pPr>
      <w:r>
        <w:rPr>
          <w:rFonts w:ascii="Arial" w:hAnsi="Arial" w:eastAsia="Arial"/>
          <w:b w:val="0"/>
          <w:i w:val="0"/>
          <w:color w:val="111817"/>
          <w:sz w:val="4"/>
        </w:rPr>
      </w:r>
    </w:p>
    <w:tbl>
      <w:tblPr>
        <w:tblW w:type="dxa" w:w="9695"/>
        <w:jc w:val="center"/>
        <w:tblLayout w:type="fixed"/>
        <w:tblLook w:firstColumn="1" w:firstRow="1" w:lastColumn="0" w:lastRow="0" w:noHBand="0" w:noVBand="1" w:val="04A0"/>
      </w:tblPr>
      <w:tblGrid>
        <w:gridCol w:w="4847"/>
        <w:gridCol w:w="4847"/>
      </w:tblGrid>
      <w:tr>
        <w:tc>
          <w:tcPr>
            <w:tcW w:type="dxa" w:w="4847"/>
            <w:tcBorders>
              <w:top w:val="single" w:sz="5" w:space="0" w:color="CDDCD9"/>
              <w:left w:val="single" w:sz="5" w:space="0" w:color="CDDCD9"/>
              <w:bottom w:val="single" w:sz="5" w:space="0" w:color="CDDCD9"/>
              <w:right w:val="single" w:sz="5" w:space="0" w:color="CDDCD9"/>
            </w:tcBorders>
            <w:shd w:fill="F3F7F6" w:val="clear"/>
            <w:tcMar>
              <w:top w:w="120" w:type="dxa"/>
              <w:start w:w="150" w:type="dxa"/>
              <w:bottom w:w="130" w:type="dxa"/>
              <w:end w:w="150" w:type="dxa"/>
            </w:tcMar>
            <w:vAlign w:val="top"/>
          </w:tcPr>
          <w:p>
            <w:pPr>
              <w:keepNext w:val="0"/>
              <w:spacing w:before="0" w:after="0" w:line="264" w:lineRule="auto"/>
            </w:pPr>
            <w:r>
              <w:rPr>
                <w:rFonts w:ascii="Arial" w:hAnsi="Arial" w:eastAsia="Arial"/>
                <w:b w:val="0"/>
                <w:i w:val="0"/>
                <w:color w:val="00645E"/>
                <w:sz w:val="18"/>
              </w:rPr>
              <w:t>Inputs</w:t>
            </w:r>
          </w:p>
          <w:p>
            <w:pPr>
              <w:pStyle w:val="ListBullet"/>
              <w:keepNext w:val="0"/>
              <w:spacing w:before="0" w:after="0" w:line="245" w:lineRule="auto"/>
              <w:ind w:left="198" w:hanging="102"/>
            </w:pPr>
            <w:r>
              <w:rPr>
                <w:rFonts w:ascii="Arial" w:hAnsi="Arial" w:eastAsia="Arial"/>
                <w:b w:val="0"/>
                <w:i w:val="0"/>
                <w:color w:val="111817"/>
                <w:sz w:val="17"/>
              </w:rPr>
              <w:t>Origin and destination zones</w:t>
            </w:r>
          </w:p>
          <w:p>
            <w:pPr>
              <w:pStyle w:val="ListBullet"/>
              <w:keepNext w:val="0"/>
              <w:spacing w:before="0" w:after="0" w:line="245" w:lineRule="auto"/>
              <w:ind w:left="198" w:hanging="102"/>
            </w:pPr>
            <w:r>
              <w:rPr>
                <w:rFonts w:ascii="Arial" w:hAnsi="Arial" w:eastAsia="Arial"/>
                <w:b w:val="0"/>
                <w:i w:val="0"/>
                <w:color w:val="111817"/>
                <w:sz w:val="17"/>
              </w:rPr>
              <w:t>Distance source</w:t>
            </w:r>
          </w:p>
          <w:p>
            <w:pPr>
              <w:pStyle w:val="ListBullet"/>
              <w:keepNext w:val="0"/>
              <w:spacing w:before="0" w:after="0" w:line="245" w:lineRule="auto"/>
              <w:ind w:left="198" w:hanging="102"/>
            </w:pPr>
            <w:r>
              <w:rPr>
                <w:rFonts w:ascii="Arial" w:hAnsi="Arial" w:eastAsia="Arial"/>
                <w:b w:val="0"/>
                <w:i w:val="0"/>
                <w:color w:val="111817"/>
                <w:sz w:val="17"/>
              </w:rPr>
              <w:t>Vehicle or equipment</w:t>
            </w:r>
          </w:p>
          <w:p>
            <w:pPr>
              <w:pStyle w:val="ListBullet"/>
              <w:keepNext w:val="0"/>
              <w:spacing w:before="0" w:after="0" w:line="245" w:lineRule="auto"/>
              <w:ind w:left="198" w:hanging="102"/>
            </w:pPr>
            <w:r>
              <w:rPr>
                <w:rFonts w:ascii="Arial" w:hAnsi="Arial" w:eastAsia="Arial"/>
                <w:b w:val="0"/>
                <w:i w:val="0"/>
                <w:color w:val="111817"/>
                <w:sz w:val="17"/>
              </w:rPr>
              <w:t>Base, bands and minimum</w:t>
            </w:r>
          </w:p>
        </w:tc>
        <w:tc>
          <w:tcPr>
            <w:tcW w:type="dxa" w:w="4847"/>
            <w:tcBorders>
              <w:top w:val="single" w:sz="5" w:space="0" w:color="CDDCD9"/>
              <w:left w:val="single" w:sz="5" w:space="0" w:color="CDDCD9"/>
              <w:bottom w:val="single" w:sz="5" w:space="0" w:color="CDDCD9"/>
              <w:right w:val="single" w:sz="5" w:space="0" w:color="CDDCD9"/>
            </w:tcBorders>
            <w:shd w:fill="F8F4EA" w:val="clear"/>
            <w:tcMar>
              <w:top w:w="120" w:type="dxa"/>
              <w:start w:w="150" w:type="dxa"/>
              <w:bottom w:w="130" w:type="dxa"/>
              <w:end w:w="150" w:type="dxa"/>
            </w:tcMar>
            <w:vAlign w:val="top"/>
          </w:tcPr>
          <w:p>
            <w:pPr>
              <w:keepNext w:val="0"/>
              <w:spacing w:before="0" w:after="0" w:line="264" w:lineRule="auto"/>
            </w:pPr>
            <w:r>
              <w:rPr>
                <w:rFonts w:ascii="Arial" w:hAnsi="Arial" w:eastAsia="Arial"/>
                <w:b w:val="0"/>
                <w:i w:val="0"/>
                <w:color w:val="00645E"/>
                <w:sz w:val="18"/>
              </w:rPr>
              <w:t>Operator safeguard</w:t>
            </w:r>
          </w:p>
          <w:p>
            <w:pPr>
              <w:keepNext w:val="0"/>
              <w:spacing w:before="0" w:after="0" w:line="276" w:lineRule="auto"/>
            </w:pPr>
            <w:r>
              <w:rPr>
                <w:rFonts w:ascii="Arial" w:hAnsi="Arial" w:eastAsia="Arial"/>
                <w:b w:val="0"/>
                <w:i w:val="0"/>
                <w:color w:val="111817"/>
                <w:sz w:val="17"/>
              </w:rPr>
              <w:t>Identify the route and distance source in the result. A fallback zone must be explicit rather than hidden.</w:t>
            </w:r>
          </w:p>
        </w:tc>
      </w:tr>
    </w:tbl>
    <w:p>
      <w:pPr>
        <w:keepNext w:val="0"/>
        <w:spacing w:before="0" w:after="100" w:line="276" w:lineRule="auto"/>
      </w:pPr>
      <w:r>
        <w:rPr>
          <w:rFonts w:ascii="Arial" w:hAnsi="Arial" w:eastAsia="Arial"/>
          <w:b w:val="0"/>
          <w:i w:val="0"/>
          <w:color w:val="111817"/>
          <w:sz w:val="4"/>
        </w:rPr>
      </w:r>
    </w:p>
    <w:tbl>
      <w:tblPr>
        <w:tblW w:type="dxa" w:w="9695"/>
        <w:jc w:val="center"/>
        <w:tblLayout w:type="fixed"/>
        <w:tblLook w:firstColumn="1" w:firstRow="1" w:lastColumn="0" w:lastRow="0" w:noHBand="0" w:noVBand="1" w:val="04A0"/>
      </w:tblPr>
      <w:tblGrid>
        <w:gridCol w:w="9695"/>
      </w:tblGrid>
      <w:tr>
        <w:tc>
          <w:tcPr>
            <w:tcW w:type="dxa" w:w="9694"/>
            <w:tcBorders>
              <w:top w:val="single" w:sz="5" w:space="0" w:color="B9D6D0"/>
              <w:left w:val="single" w:sz="5" w:space="0" w:color="B9D6D0"/>
              <w:bottom w:val="single" w:sz="5" w:space="0" w:color="B9D6D0"/>
              <w:right w:val="single" w:sz="5" w:space="0" w:color="B9D6D0"/>
            </w:tcBorders>
            <w:shd w:fill="14877D" w:val="clear"/>
            <w:tcMar>
              <w:top w:w="75" w:type="dxa"/>
              <w:start w:w="150" w:type="dxa"/>
              <w:bottom w:w="75" w:type="dxa"/>
              <w:end w:w="150" w:type="dxa"/>
            </w:tcMar>
          </w:tcPr>
          <w:p>
            <w:pPr>
              <w:keepNext w:val="0"/>
              <w:spacing w:before="0" w:after="0" w:line="264" w:lineRule="auto"/>
            </w:pPr>
            <w:r>
              <w:rPr>
                <w:rFonts w:ascii="Arial" w:hAnsi="Arial" w:eastAsia="Arial"/>
                <w:b w:val="0"/>
                <w:i w:val="0"/>
                <w:color w:val="FFFFFF"/>
                <w:sz w:val="18"/>
              </w:rPr>
              <w:t>Example</w:t>
            </w:r>
          </w:p>
        </w:tc>
      </w:tr>
      <w:tr>
        <w:tc>
          <w:tcPr>
            <w:tcW w:type="dxa" w:w="9694"/>
            <w:tcBorders>
              <w:top w:val="single" w:sz="5" w:space="0" w:color="B9D6D0"/>
              <w:left w:val="single" w:sz="5" w:space="0" w:color="B9D6D0"/>
              <w:bottom w:val="single" w:sz="5" w:space="0" w:color="B9D6D0"/>
              <w:right w:val="single" w:sz="5" w:space="0" w:color="B9D6D0"/>
            </w:tcBorders>
            <w:shd w:fill="F3F7F6" w:val="clear"/>
            <w:tcMar>
              <w:top w:w="105" w:type="dxa"/>
              <w:start w:w="150" w:type="dxa"/>
              <w:bottom w:w="105" w:type="dxa"/>
              <w:end w:w="150" w:type="dxa"/>
            </w:tcMar>
          </w:tcPr>
          <w:p>
            <w:pPr>
              <w:keepNext w:val="0"/>
              <w:spacing w:before="0" w:after="0" w:line="264" w:lineRule="auto"/>
            </w:pPr>
            <w:r>
              <w:rPr>
                <w:rFonts w:ascii="Arial" w:hAnsi="Arial" w:eastAsia="Arial"/>
                <w:b w:val="0"/>
                <w:i w:val="0"/>
                <w:color w:val="111817"/>
                <w:sz w:val="17"/>
              </w:rPr>
              <w:t>Bristol to London zone: GBP 95.00 base plus GBP 1.20 per road mile after 35 miles.</w:t>
            </w:r>
          </w:p>
        </w:tc>
      </w:tr>
    </w:tbl>
    <w:p>
      <w:pPr>
        <w:pStyle w:val="GuideHeading2"/>
      </w:pPr>
      <w:r>
        <w:t>Multideck interaction pattern</w:t>
      </w:r>
    </w:p>
    <w:p>
      <w:pPr>
        <w:pStyle w:val="GuideBody"/>
      </w:pPr>
      <w:r>
        <w:t>Choose this pricing method from a plain-language selector. Multideck then reveals only the relevant inputs, validates missing data before rating, and keeps a live explanation beside the result. The charge remains independent on the supplier and customer sides unless an operator explicitly copies it.</w:t>
      </w:r>
    </w:p>
    <w:p>
      <w:r>
        <w:br w:type="page"/>
      </w:r>
    </w:p>
    <w:p>
      <w:pPr>
        <w:pStyle w:val="GuideEyebrow"/>
      </w:pPr>
      <w:r>
        <w:t>CALCULATOR 12 / TRANSPORT</w:t>
      </w:r>
    </w:p>
    <w:p>
      <w:pPr>
        <w:pStyle w:val="GuideHeading1"/>
      </w:pPr>
      <w:r>
        <w:t>Transport band pricing</w:t>
      </w:r>
    </w:p>
    <w:p>
      <w:pPr>
        <w:pStyle w:val="GuideLead"/>
      </w:pPr>
      <w:r>
        <w:t>Apply freight or transport rates by a measure such as chargeable weight, cbm, packages or equipment count.</w:t>
      </w:r>
    </w:p>
    <w:tbl>
      <w:tblPr>
        <w:tblW w:type="dxa" w:w="9695"/>
        <w:jc w:val="center"/>
        <w:tblLayout w:type="fixed"/>
        <w:tblLook w:firstColumn="1" w:firstRow="1" w:lastColumn="0" w:lastRow="0" w:noHBand="0" w:noVBand="1" w:val="04A0"/>
      </w:tblPr>
      <w:tblGrid>
        <w:gridCol w:w="3288"/>
        <w:gridCol w:w="6407"/>
      </w:tblGrid>
      <w:tr>
        <w:trPr>
          <w:tblHeader w:val="true"/>
        </w:trPr>
        <w:tc>
          <w:tcPr>
            <w:tcW w:type="dxa" w:w="328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E8F2F0" w:val="clear"/>
          </w:tcPr>
          <w:p>
            <w:pPr>
              <w:keepNext w:val="0"/>
              <w:spacing w:before="0" w:after="0" w:line="264" w:lineRule="auto"/>
            </w:pPr>
            <w:r>
              <w:rPr>
                <w:rFonts w:ascii="Arial" w:hAnsi="Arial" w:eastAsia="Arial"/>
                <w:b w:val="0"/>
                <w:i w:val="0"/>
                <w:color w:val="00645E"/>
                <w:sz w:val="17"/>
              </w:rPr>
              <w:t>Pricing method</w:t>
            </w:r>
          </w:p>
        </w:tc>
        <w:tc>
          <w:tcPr>
            <w:tcW w:type="dxa" w:w="6406"/>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E8F2F0" w:val="clear"/>
          </w:tcPr>
          <w:p>
            <w:pPr>
              <w:keepNext w:val="0"/>
              <w:spacing w:before="0" w:after="0" w:line="264" w:lineRule="auto"/>
            </w:pPr>
            <w:r>
              <w:rPr>
                <w:rFonts w:ascii="Arial" w:hAnsi="Arial" w:eastAsia="Arial"/>
                <w:b w:val="0"/>
                <w:i w:val="0"/>
                <w:color w:val="00645E"/>
                <w:sz w:val="17"/>
              </w:rPr>
              <w:t>How it behaves</w:t>
            </w:r>
          </w:p>
        </w:tc>
      </w:tr>
      <w:tr>
        <w:tc>
          <w:tcPr>
            <w:tcW w:type="dxa" w:w="328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FFFFF" w:val="clear"/>
          </w:tcPr>
          <w:p>
            <w:pPr>
              <w:keepNext w:val="0"/>
              <w:spacing w:before="0" w:after="0" w:line="264" w:lineRule="auto"/>
            </w:pPr>
            <w:r>
              <w:rPr>
                <w:rFonts w:ascii="Arial" w:hAnsi="Arial" w:eastAsia="Arial"/>
                <w:b w:val="0"/>
                <w:i w:val="0"/>
                <w:color w:val="00645E"/>
                <w:sz w:val="17"/>
              </w:rPr>
              <w:t>Mode-aware bands</w:t>
            </w:r>
          </w:p>
        </w:tc>
        <w:tc>
          <w:tcPr>
            <w:tcW w:type="dxa" w:w="6406"/>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FFFFF" w:val="clear"/>
          </w:tcPr>
          <w:p>
            <w:pPr>
              <w:keepNext w:val="0"/>
              <w:spacing w:before="0" w:after="0" w:line="264" w:lineRule="auto"/>
            </w:pPr>
            <w:r>
              <w:rPr>
                <w:rFonts w:ascii="Arial" w:hAnsi="Arial" w:eastAsia="Arial"/>
                <w:b w:val="0"/>
                <w:i w:val="0"/>
                <w:color w:val="111817"/>
                <w:sz w:val="17"/>
              </w:rPr>
              <w:t>Result follows the applicable transport band and its stated treatment.</w:t>
            </w:r>
          </w:p>
        </w:tc>
      </w:tr>
    </w:tbl>
    <w:p>
      <w:pPr>
        <w:keepNext w:val="0"/>
        <w:spacing w:before="0" w:after="100" w:line="276" w:lineRule="auto"/>
      </w:pPr>
      <w:r>
        <w:rPr>
          <w:rFonts w:ascii="Arial" w:hAnsi="Arial" w:eastAsia="Arial"/>
          <w:b w:val="0"/>
          <w:i w:val="0"/>
          <w:color w:val="111817"/>
          <w:sz w:val="4"/>
        </w:rPr>
      </w:r>
    </w:p>
    <w:tbl>
      <w:tblPr>
        <w:tblW w:type="dxa" w:w="9695"/>
        <w:jc w:val="center"/>
        <w:tblLayout w:type="fixed"/>
        <w:tblLook w:firstColumn="1" w:firstRow="1" w:lastColumn="0" w:lastRow="0" w:noHBand="0" w:noVBand="1" w:val="04A0"/>
      </w:tblPr>
      <w:tblGrid>
        <w:gridCol w:w="4847"/>
        <w:gridCol w:w="4847"/>
      </w:tblGrid>
      <w:tr>
        <w:tc>
          <w:tcPr>
            <w:tcW w:type="dxa" w:w="4847"/>
            <w:tcBorders>
              <w:top w:val="single" w:sz="5" w:space="0" w:color="CDDCD9"/>
              <w:left w:val="single" w:sz="5" w:space="0" w:color="CDDCD9"/>
              <w:bottom w:val="single" w:sz="5" w:space="0" w:color="CDDCD9"/>
              <w:right w:val="single" w:sz="5" w:space="0" w:color="CDDCD9"/>
            </w:tcBorders>
            <w:shd w:fill="F3F7F6" w:val="clear"/>
            <w:tcMar>
              <w:top w:w="120" w:type="dxa"/>
              <w:start w:w="150" w:type="dxa"/>
              <w:bottom w:w="130" w:type="dxa"/>
              <w:end w:w="150" w:type="dxa"/>
            </w:tcMar>
            <w:vAlign w:val="top"/>
          </w:tcPr>
          <w:p>
            <w:pPr>
              <w:keepNext w:val="0"/>
              <w:spacing w:before="0" w:after="0" w:line="264" w:lineRule="auto"/>
            </w:pPr>
            <w:r>
              <w:rPr>
                <w:rFonts w:ascii="Arial" w:hAnsi="Arial" w:eastAsia="Arial"/>
                <w:b w:val="0"/>
                <w:i w:val="0"/>
                <w:color w:val="00645E"/>
                <w:sz w:val="18"/>
              </w:rPr>
              <w:t>Inputs</w:t>
            </w:r>
          </w:p>
          <w:p>
            <w:pPr>
              <w:pStyle w:val="ListBullet"/>
              <w:keepNext w:val="0"/>
              <w:spacing w:before="0" w:after="0" w:line="245" w:lineRule="auto"/>
              <w:ind w:left="198" w:hanging="102"/>
            </w:pPr>
            <w:r>
              <w:rPr>
                <w:rFonts w:ascii="Arial" w:hAnsi="Arial" w:eastAsia="Arial"/>
                <w:b w:val="0"/>
                <w:i w:val="0"/>
                <w:color w:val="111817"/>
                <w:sz w:val="17"/>
              </w:rPr>
              <w:t>Transport mode</w:t>
            </w:r>
          </w:p>
          <w:p>
            <w:pPr>
              <w:pStyle w:val="ListBullet"/>
              <w:keepNext w:val="0"/>
              <w:spacing w:before="0" w:after="0" w:line="245" w:lineRule="auto"/>
              <w:ind w:left="198" w:hanging="102"/>
            </w:pPr>
            <w:r>
              <w:rPr>
                <w:rFonts w:ascii="Arial" w:hAnsi="Arial" w:eastAsia="Arial"/>
                <w:b w:val="0"/>
                <w:i w:val="0"/>
                <w:color w:val="111817"/>
                <w:sz w:val="17"/>
              </w:rPr>
              <w:t>Measure source</w:t>
            </w:r>
          </w:p>
          <w:p>
            <w:pPr>
              <w:pStyle w:val="ListBullet"/>
              <w:keepNext w:val="0"/>
              <w:spacing w:before="0" w:after="0" w:line="245" w:lineRule="auto"/>
              <w:ind w:left="198" w:hanging="102"/>
            </w:pPr>
            <w:r>
              <w:rPr>
                <w:rFonts w:ascii="Arial" w:hAnsi="Arial" w:eastAsia="Arial"/>
                <w:b w:val="0"/>
                <w:i w:val="0"/>
                <w:color w:val="111817"/>
                <w:sz w:val="17"/>
              </w:rPr>
              <w:t>Bands</w:t>
            </w:r>
          </w:p>
          <w:p>
            <w:pPr>
              <w:pStyle w:val="ListBullet"/>
              <w:keepNext w:val="0"/>
              <w:spacing w:before="0" w:after="0" w:line="245" w:lineRule="auto"/>
              <w:ind w:left="198" w:hanging="102"/>
            </w:pPr>
            <w:r>
              <w:rPr>
                <w:rFonts w:ascii="Arial" w:hAnsi="Arial" w:eastAsia="Arial"/>
                <w:b w:val="0"/>
                <w:i w:val="0"/>
                <w:color w:val="111817"/>
                <w:sz w:val="17"/>
              </w:rPr>
              <w:t>Minimum, maximum and restrictions</w:t>
            </w:r>
          </w:p>
        </w:tc>
        <w:tc>
          <w:tcPr>
            <w:tcW w:type="dxa" w:w="4847"/>
            <w:tcBorders>
              <w:top w:val="single" w:sz="5" w:space="0" w:color="CDDCD9"/>
              <w:left w:val="single" w:sz="5" w:space="0" w:color="CDDCD9"/>
              <w:bottom w:val="single" w:sz="5" w:space="0" w:color="CDDCD9"/>
              <w:right w:val="single" w:sz="5" w:space="0" w:color="CDDCD9"/>
            </w:tcBorders>
            <w:shd w:fill="F8F4EA" w:val="clear"/>
            <w:tcMar>
              <w:top w:w="120" w:type="dxa"/>
              <w:start w:w="150" w:type="dxa"/>
              <w:bottom w:w="130" w:type="dxa"/>
              <w:end w:w="150" w:type="dxa"/>
            </w:tcMar>
            <w:vAlign w:val="top"/>
          </w:tcPr>
          <w:p>
            <w:pPr>
              <w:keepNext w:val="0"/>
              <w:spacing w:before="0" w:after="0" w:line="264" w:lineRule="auto"/>
            </w:pPr>
            <w:r>
              <w:rPr>
                <w:rFonts w:ascii="Arial" w:hAnsi="Arial" w:eastAsia="Arial"/>
                <w:b w:val="0"/>
                <w:i w:val="0"/>
                <w:color w:val="00645E"/>
                <w:sz w:val="18"/>
              </w:rPr>
              <w:t>Operator safeguard</w:t>
            </w:r>
          </w:p>
          <w:p>
            <w:pPr>
              <w:keepNext w:val="0"/>
              <w:spacing w:before="0" w:after="0" w:line="276" w:lineRule="auto"/>
            </w:pPr>
            <w:r>
              <w:rPr>
                <w:rFonts w:ascii="Arial" w:hAnsi="Arial" w:eastAsia="Arial"/>
                <w:b w:val="0"/>
                <w:i w:val="0"/>
                <w:color w:val="111817"/>
                <w:sz w:val="17"/>
              </w:rPr>
              <w:t>Use warnings for out-of-range values, restricted bands and disagreement between rated and invoiced measures.</w:t>
            </w:r>
          </w:p>
        </w:tc>
      </w:tr>
    </w:tbl>
    <w:p>
      <w:pPr>
        <w:keepNext w:val="0"/>
        <w:spacing w:before="0" w:after="100" w:line="276" w:lineRule="auto"/>
      </w:pPr>
      <w:r>
        <w:rPr>
          <w:rFonts w:ascii="Arial" w:hAnsi="Arial" w:eastAsia="Arial"/>
          <w:b w:val="0"/>
          <w:i w:val="0"/>
          <w:color w:val="111817"/>
          <w:sz w:val="4"/>
        </w:rPr>
      </w:r>
    </w:p>
    <w:tbl>
      <w:tblPr>
        <w:tblW w:type="dxa" w:w="9695"/>
        <w:jc w:val="center"/>
        <w:tblLayout w:type="fixed"/>
        <w:tblLook w:firstColumn="1" w:firstRow="1" w:lastColumn="0" w:lastRow="0" w:noHBand="0" w:noVBand="1" w:val="04A0"/>
      </w:tblPr>
      <w:tblGrid>
        <w:gridCol w:w="9695"/>
      </w:tblGrid>
      <w:tr>
        <w:tc>
          <w:tcPr>
            <w:tcW w:type="dxa" w:w="9694"/>
            <w:tcBorders>
              <w:top w:val="single" w:sz="5" w:space="0" w:color="B9D6D0"/>
              <w:left w:val="single" w:sz="5" w:space="0" w:color="B9D6D0"/>
              <w:bottom w:val="single" w:sz="5" w:space="0" w:color="B9D6D0"/>
              <w:right w:val="single" w:sz="5" w:space="0" w:color="B9D6D0"/>
            </w:tcBorders>
            <w:shd w:fill="14877D" w:val="clear"/>
            <w:tcMar>
              <w:top w:w="75" w:type="dxa"/>
              <w:start w:w="150" w:type="dxa"/>
              <w:bottom w:w="75" w:type="dxa"/>
              <w:end w:w="150" w:type="dxa"/>
            </w:tcMar>
          </w:tcPr>
          <w:p>
            <w:pPr>
              <w:keepNext w:val="0"/>
              <w:spacing w:before="0" w:after="0" w:line="264" w:lineRule="auto"/>
            </w:pPr>
            <w:r>
              <w:rPr>
                <w:rFonts w:ascii="Arial" w:hAnsi="Arial" w:eastAsia="Arial"/>
                <w:b w:val="0"/>
                <w:i w:val="0"/>
                <w:color w:val="FFFFFF"/>
                <w:sz w:val="18"/>
              </w:rPr>
              <w:t>Example</w:t>
            </w:r>
          </w:p>
        </w:tc>
      </w:tr>
      <w:tr>
        <w:tc>
          <w:tcPr>
            <w:tcW w:type="dxa" w:w="9694"/>
            <w:tcBorders>
              <w:top w:val="single" w:sz="5" w:space="0" w:color="B9D6D0"/>
              <w:left w:val="single" w:sz="5" w:space="0" w:color="B9D6D0"/>
              <w:bottom w:val="single" w:sz="5" w:space="0" w:color="B9D6D0"/>
              <w:right w:val="single" w:sz="5" w:space="0" w:color="B9D6D0"/>
            </w:tcBorders>
            <w:shd w:fill="F3F7F6" w:val="clear"/>
            <w:tcMar>
              <w:top w:w="105" w:type="dxa"/>
              <w:start w:w="150" w:type="dxa"/>
              <w:bottom w:w="105" w:type="dxa"/>
              <w:end w:w="150" w:type="dxa"/>
            </w:tcMar>
          </w:tcPr>
          <w:p>
            <w:pPr>
              <w:keepNext w:val="0"/>
              <w:spacing w:before="0" w:after="0" w:line="264" w:lineRule="auto"/>
            </w:pPr>
            <w:r>
              <w:rPr>
                <w:rFonts w:ascii="Arial" w:hAnsi="Arial" w:eastAsia="Arial"/>
                <w:b w:val="0"/>
                <w:i w:val="0"/>
                <w:color w:val="111817"/>
                <w:sz w:val="17"/>
              </w:rPr>
              <w:t>LCL freight by cbm with an origin-port restriction.</w:t>
            </w:r>
          </w:p>
        </w:tc>
      </w:tr>
    </w:tbl>
    <w:p>
      <w:pPr>
        <w:pStyle w:val="GuideHeading2"/>
      </w:pPr>
      <w:r>
        <w:t>Multideck interaction pattern</w:t>
      </w:r>
    </w:p>
    <w:p>
      <w:pPr>
        <w:pStyle w:val="GuideBody"/>
      </w:pPr>
      <w:r>
        <w:t>Choose this pricing method from a plain-language selector. Multideck then reveals only the relevant inputs, validates missing data before rating, and keeps a live explanation beside the result. The charge remains independent on the supplier and customer sides unless an operator explicitly copies it.</w:t>
      </w:r>
    </w:p>
    <w:p>
      <w:r>
        <w:br w:type="page"/>
      </w:r>
    </w:p>
    <w:p>
      <w:pPr>
        <w:pStyle w:val="GuideEyebrow"/>
      </w:pPr>
      <w:r>
        <w:t>CALCULATOR 13 / OPERATIONS</w:t>
      </w:r>
    </w:p>
    <w:p>
      <w:pPr>
        <w:pStyle w:val="GuideHeading1"/>
      </w:pPr>
      <w:r>
        <w:t>First plus additional</w:t>
      </w:r>
    </w:p>
    <w:p>
      <w:pPr>
        <w:pStyle w:val="GuideLead"/>
      </w:pPr>
      <w:r>
        <w:t>Charge a different rate for the first item and each additional item.</w:t>
      </w:r>
    </w:p>
    <w:tbl>
      <w:tblPr>
        <w:tblW w:type="dxa" w:w="9695"/>
        <w:jc w:val="center"/>
        <w:tblLayout w:type="fixed"/>
        <w:tblLook w:firstColumn="1" w:firstRow="1" w:lastColumn="0" w:lastRow="0" w:noHBand="0" w:noVBand="1" w:val="04A0"/>
      </w:tblPr>
      <w:tblGrid>
        <w:gridCol w:w="3288"/>
        <w:gridCol w:w="6407"/>
      </w:tblGrid>
      <w:tr>
        <w:trPr>
          <w:tblHeader w:val="true"/>
        </w:trPr>
        <w:tc>
          <w:tcPr>
            <w:tcW w:type="dxa" w:w="328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E8F2F0" w:val="clear"/>
          </w:tcPr>
          <w:p>
            <w:pPr>
              <w:keepNext w:val="0"/>
              <w:spacing w:before="0" w:after="0" w:line="264" w:lineRule="auto"/>
            </w:pPr>
            <w:r>
              <w:rPr>
                <w:rFonts w:ascii="Arial" w:hAnsi="Arial" w:eastAsia="Arial"/>
                <w:b w:val="0"/>
                <w:i w:val="0"/>
                <w:color w:val="00645E"/>
                <w:sz w:val="17"/>
              </w:rPr>
              <w:t>Pricing method</w:t>
            </w:r>
          </w:p>
        </w:tc>
        <w:tc>
          <w:tcPr>
            <w:tcW w:type="dxa" w:w="6406"/>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E8F2F0" w:val="clear"/>
          </w:tcPr>
          <w:p>
            <w:pPr>
              <w:keepNext w:val="0"/>
              <w:spacing w:before="0" w:after="0" w:line="264" w:lineRule="auto"/>
            </w:pPr>
            <w:r>
              <w:rPr>
                <w:rFonts w:ascii="Arial" w:hAnsi="Arial" w:eastAsia="Arial"/>
                <w:b w:val="0"/>
                <w:i w:val="0"/>
                <w:color w:val="00645E"/>
                <w:sz w:val="17"/>
              </w:rPr>
              <w:t>How it behaves</w:t>
            </w:r>
          </w:p>
        </w:tc>
      </w:tr>
      <w:tr>
        <w:tc>
          <w:tcPr>
            <w:tcW w:type="dxa" w:w="328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FFFFF" w:val="clear"/>
          </w:tcPr>
          <w:p>
            <w:pPr>
              <w:keepNext w:val="0"/>
              <w:spacing w:before="0" w:after="0" w:line="264" w:lineRule="auto"/>
            </w:pPr>
            <w:r>
              <w:rPr>
                <w:rFonts w:ascii="Arial" w:hAnsi="Arial" w:eastAsia="Arial"/>
                <w:b w:val="0"/>
                <w:i w:val="0"/>
                <w:color w:val="00645E"/>
                <w:sz w:val="17"/>
              </w:rPr>
              <w:t>First item + extras</w:t>
            </w:r>
          </w:p>
        </w:tc>
        <w:tc>
          <w:tcPr>
            <w:tcW w:type="dxa" w:w="6406"/>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FFFFF" w:val="clear"/>
          </w:tcPr>
          <w:p>
            <w:pPr>
              <w:keepNext w:val="0"/>
              <w:spacing w:before="0" w:after="0" w:line="264" w:lineRule="auto"/>
            </w:pPr>
            <w:r>
              <w:rPr>
                <w:rFonts w:ascii="Arial" w:hAnsi="Arial" w:eastAsia="Arial"/>
                <w:b w:val="0"/>
                <w:i w:val="0"/>
                <w:color w:val="111817"/>
                <w:sz w:val="17"/>
              </w:rPr>
              <w:t>Result = first-item amount + max(item count - 1, 0) x additional-item amount.</w:t>
            </w:r>
          </w:p>
        </w:tc>
      </w:tr>
    </w:tbl>
    <w:p>
      <w:pPr>
        <w:keepNext w:val="0"/>
        <w:spacing w:before="0" w:after="100" w:line="276" w:lineRule="auto"/>
      </w:pPr>
      <w:r>
        <w:rPr>
          <w:rFonts w:ascii="Arial" w:hAnsi="Arial" w:eastAsia="Arial"/>
          <w:b w:val="0"/>
          <w:i w:val="0"/>
          <w:color w:val="111817"/>
          <w:sz w:val="4"/>
        </w:rPr>
      </w:r>
    </w:p>
    <w:tbl>
      <w:tblPr>
        <w:tblW w:type="dxa" w:w="9695"/>
        <w:jc w:val="center"/>
        <w:tblLayout w:type="fixed"/>
        <w:tblLook w:firstColumn="1" w:firstRow="1" w:lastColumn="0" w:lastRow="0" w:noHBand="0" w:noVBand="1" w:val="04A0"/>
      </w:tblPr>
      <w:tblGrid>
        <w:gridCol w:w="4847"/>
        <w:gridCol w:w="4847"/>
      </w:tblGrid>
      <w:tr>
        <w:tc>
          <w:tcPr>
            <w:tcW w:type="dxa" w:w="4847"/>
            <w:tcBorders>
              <w:top w:val="single" w:sz="5" w:space="0" w:color="CDDCD9"/>
              <w:left w:val="single" w:sz="5" w:space="0" w:color="CDDCD9"/>
              <w:bottom w:val="single" w:sz="5" w:space="0" w:color="CDDCD9"/>
              <w:right w:val="single" w:sz="5" w:space="0" w:color="CDDCD9"/>
            </w:tcBorders>
            <w:shd w:fill="F3F7F6" w:val="clear"/>
            <w:tcMar>
              <w:top w:w="120" w:type="dxa"/>
              <w:start w:w="150" w:type="dxa"/>
              <w:bottom w:w="130" w:type="dxa"/>
              <w:end w:w="150" w:type="dxa"/>
            </w:tcMar>
            <w:vAlign w:val="top"/>
          </w:tcPr>
          <w:p>
            <w:pPr>
              <w:keepNext w:val="0"/>
              <w:spacing w:before="0" w:after="0" w:line="264" w:lineRule="auto"/>
            </w:pPr>
            <w:r>
              <w:rPr>
                <w:rFonts w:ascii="Arial" w:hAnsi="Arial" w:eastAsia="Arial"/>
                <w:b w:val="0"/>
                <w:i w:val="0"/>
                <w:color w:val="00645E"/>
                <w:sz w:val="18"/>
              </w:rPr>
              <w:t>Inputs</w:t>
            </w:r>
          </w:p>
          <w:p>
            <w:pPr>
              <w:pStyle w:val="ListBullet"/>
              <w:keepNext w:val="0"/>
              <w:spacing w:before="0" w:after="0" w:line="245" w:lineRule="auto"/>
              <w:ind w:left="198" w:hanging="102"/>
            </w:pPr>
            <w:r>
              <w:rPr>
                <w:rFonts w:ascii="Arial" w:hAnsi="Arial" w:eastAsia="Arial"/>
                <w:b w:val="0"/>
                <w:i w:val="0"/>
                <w:color w:val="111817"/>
                <w:sz w:val="17"/>
              </w:rPr>
              <w:t>First-item amount</w:t>
            </w:r>
          </w:p>
          <w:p>
            <w:pPr>
              <w:pStyle w:val="ListBullet"/>
              <w:keepNext w:val="0"/>
              <w:spacing w:before="0" w:after="0" w:line="245" w:lineRule="auto"/>
              <w:ind w:left="198" w:hanging="102"/>
            </w:pPr>
            <w:r>
              <w:rPr>
                <w:rFonts w:ascii="Arial" w:hAnsi="Arial" w:eastAsia="Arial"/>
                <w:b w:val="0"/>
                <w:i w:val="0"/>
                <w:color w:val="111817"/>
                <w:sz w:val="17"/>
              </w:rPr>
              <w:t>Additional-item amount</w:t>
            </w:r>
          </w:p>
          <w:p>
            <w:pPr>
              <w:pStyle w:val="ListBullet"/>
              <w:keepNext w:val="0"/>
              <w:spacing w:before="0" w:after="0" w:line="245" w:lineRule="auto"/>
              <w:ind w:left="198" w:hanging="102"/>
            </w:pPr>
            <w:r>
              <w:rPr>
                <w:rFonts w:ascii="Arial" w:hAnsi="Arial" w:eastAsia="Arial"/>
                <w:b w:val="0"/>
                <w:i w:val="0"/>
                <w:color w:val="111817"/>
                <w:sz w:val="17"/>
              </w:rPr>
              <w:t>Item count</w:t>
            </w:r>
          </w:p>
          <w:p>
            <w:pPr>
              <w:pStyle w:val="ListBullet"/>
              <w:keepNext w:val="0"/>
              <w:spacing w:before="0" w:after="0" w:line="245" w:lineRule="auto"/>
              <w:ind w:left="198" w:hanging="102"/>
            </w:pPr>
            <w:r>
              <w:rPr>
                <w:rFonts w:ascii="Arial" w:hAnsi="Arial" w:eastAsia="Arial"/>
                <w:b w:val="0"/>
                <w:i w:val="0"/>
                <w:color w:val="111817"/>
                <w:sz w:val="17"/>
              </w:rPr>
              <w:t>Item definition</w:t>
            </w:r>
          </w:p>
        </w:tc>
        <w:tc>
          <w:tcPr>
            <w:tcW w:type="dxa" w:w="4847"/>
            <w:tcBorders>
              <w:top w:val="single" w:sz="5" w:space="0" w:color="CDDCD9"/>
              <w:left w:val="single" w:sz="5" w:space="0" w:color="CDDCD9"/>
              <w:bottom w:val="single" w:sz="5" w:space="0" w:color="CDDCD9"/>
              <w:right w:val="single" w:sz="5" w:space="0" w:color="CDDCD9"/>
            </w:tcBorders>
            <w:shd w:fill="F8F4EA" w:val="clear"/>
            <w:tcMar>
              <w:top w:w="120" w:type="dxa"/>
              <w:start w:w="150" w:type="dxa"/>
              <w:bottom w:w="130" w:type="dxa"/>
              <w:end w:w="150" w:type="dxa"/>
            </w:tcMar>
            <w:vAlign w:val="top"/>
          </w:tcPr>
          <w:p>
            <w:pPr>
              <w:keepNext w:val="0"/>
              <w:spacing w:before="0" w:after="0" w:line="264" w:lineRule="auto"/>
            </w:pPr>
            <w:r>
              <w:rPr>
                <w:rFonts w:ascii="Arial" w:hAnsi="Arial" w:eastAsia="Arial"/>
                <w:b w:val="0"/>
                <w:i w:val="0"/>
                <w:color w:val="00645E"/>
                <w:sz w:val="18"/>
              </w:rPr>
              <w:t>Operator safeguard</w:t>
            </w:r>
          </w:p>
          <w:p>
            <w:pPr>
              <w:keepNext w:val="0"/>
              <w:spacing w:before="0" w:after="0" w:line="276" w:lineRule="auto"/>
            </w:pPr>
            <w:r>
              <w:rPr>
                <w:rFonts w:ascii="Arial" w:hAnsi="Arial" w:eastAsia="Arial"/>
                <w:b w:val="0"/>
                <w:i w:val="0"/>
                <w:color w:val="111817"/>
                <w:sz w:val="17"/>
              </w:rPr>
              <w:t>Define the counted item clearly: consignment, document, line, pallet or package.</w:t>
            </w:r>
          </w:p>
        </w:tc>
      </w:tr>
    </w:tbl>
    <w:p>
      <w:pPr>
        <w:keepNext w:val="0"/>
        <w:spacing w:before="0" w:after="100" w:line="276" w:lineRule="auto"/>
      </w:pPr>
      <w:r>
        <w:rPr>
          <w:rFonts w:ascii="Arial" w:hAnsi="Arial" w:eastAsia="Arial"/>
          <w:b w:val="0"/>
          <w:i w:val="0"/>
          <w:color w:val="111817"/>
          <w:sz w:val="4"/>
        </w:rPr>
      </w:r>
    </w:p>
    <w:tbl>
      <w:tblPr>
        <w:tblW w:type="dxa" w:w="9695"/>
        <w:jc w:val="center"/>
        <w:tblLayout w:type="fixed"/>
        <w:tblLook w:firstColumn="1" w:firstRow="1" w:lastColumn="0" w:lastRow="0" w:noHBand="0" w:noVBand="1" w:val="04A0"/>
      </w:tblPr>
      <w:tblGrid>
        <w:gridCol w:w="9695"/>
      </w:tblGrid>
      <w:tr>
        <w:tc>
          <w:tcPr>
            <w:tcW w:type="dxa" w:w="9694"/>
            <w:tcBorders>
              <w:top w:val="single" w:sz="5" w:space="0" w:color="B9D6D0"/>
              <w:left w:val="single" w:sz="5" w:space="0" w:color="B9D6D0"/>
              <w:bottom w:val="single" w:sz="5" w:space="0" w:color="B9D6D0"/>
              <w:right w:val="single" w:sz="5" w:space="0" w:color="B9D6D0"/>
            </w:tcBorders>
            <w:shd w:fill="14877D" w:val="clear"/>
            <w:tcMar>
              <w:top w:w="75" w:type="dxa"/>
              <w:start w:w="150" w:type="dxa"/>
              <w:bottom w:w="75" w:type="dxa"/>
              <w:end w:w="150" w:type="dxa"/>
            </w:tcMar>
          </w:tcPr>
          <w:p>
            <w:pPr>
              <w:keepNext w:val="0"/>
              <w:spacing w:before="0" w:after="0" w:line="264" w:lineRule="auto"/>
            </w:pPr>
            <w:r>
              <w:rPr>
                <w:rFonts w:ascii="Arial" w:hAnsi="Arial" w:eastAsia="Arial"/>
                <w:b w:val="0"/>
                <w:i w:val="0"/>
                <w:color w:val="FFFFFF"/>
                <w:sz w:val="18"/>
              </w:rPr>
              <w:t>Example</w:t>
            </w:r>
          </w:p>
        </w:tc>
      </w:tr>
      <w:tr>
        <w:tc>
          <w:tcPr>
            <w:tcW w:type="dxa" w:w="9694"/>
            <w:tcBorders>
              <w:top w:val="single" w:sz="5" w:space="0" w:color="B9D6D0"/>
              <w:left w:val="single" w:sz="5" w:space="0" w:color="B9D6D0"/>
              <w:bottom w:val="single" w:sz="5" w:space="0" w:color="B9D6D0"/>
              <w:right w:val="single" w:sz="5" w:space="0" w:color="B9D6D0"/>
            </w:tcBorders>
            <w:shd w:fill="F3F7F6" w:val="clear"/>
            <w:tcMar>
              <w:top w:w="105" w:type="dxa"/>
              <w:start w:w="150" w:type="dxa"/>
              <w:bottom w:w="105" w:type="dxa"/>
              <w:end w:w="150" w:type="dxa"/>
            </w:tcMar>
          </w:tcPr>
          <w:p>
            <w:pPr>
              <w:keepNext w:val="0"/>
              <w:spacing w:before="0" w:after="0" w:line="264" w:lineRule="auto"/>
            </w:pPr>
            <w:r>
              <w:rPr>
                <w:rFonts w:ascii="Arial" w:hAnsi="Arial" w:eastAsia="Arial"/>
                <w:b w:val="0"/>
                <w:i w:val="0"/>
                <w:color w:val="111817"/>
                <w:sz w:val="17"/>
              </w:rPr>
              <w:t>Delivery booking: GBP 18.00 first booking plus GBP 6.00 per additional booking.</w:t>
            </w:r>
          </w:p>
        </w:tc>
      </w:tr>
    </w:tbl>
    <w:p>
      <w:pPr>
        <w:pStyle w:val="GuideHeading2"/>
      </w:pPr>
      <w:r>
        <w:t>Multideck interaction pattern</w:t>
      </w:r>
    </w:p>
    <w:p>
      <w:pPr>
        <w:pStyle w:val="GuideBody"/>
      </w:pPr>
      <w:r>
        <w:t>Choose this pricing method from a plain-language selector. Multideck then reveals only the relevant inputs, validates missing data before rating, and keeps a live explanation beside the result. The charge remains independent on the supplier and customer sides unless an operator explicitly copies it.</w:t>
      </w:r>
    </w:p>
    <w:p>
      <w:r>
        <w:br w:type="page"/>
      </w:r>
    </w:p>
    <w:p>
      <w:pPr>
        <w:pStyle w:val="GuideEyebrow"/>
      </w:pPr>
      <w:r>
        <w:t>CALCULATOR 14 / PRESENTATION</w:t>
      </w:r>
    </w:p>
    <w:p>
      <w:pPr>
        <w:pStyle w:val="GuideHeading1"/>
      </w:pPr>
      <w:r>
        <w:t>Quote note</w:t>
      </w:r>
    </w:p>
    <w:p>
      <w:pPr>
        <w:pStyle w:val="GuideLead"/>
      </w:pPr>
      <w:r>
        <w:t>Add a controlled explanatory note and optional amount to a customer quote without pretending it is an operational cost.</w:t>
      </w:r>
    </w:p>
    <w:tbl>
      <w:tblPr>
        <w:tblW w:type="dxa" w:w="9695"/>
        <w:jc w:val="center"/>
        <w:tblLayout w:type="fixed"/>
        <w:tblLook w:firstColumn="1" w:firstRow="1" w:lastColumn="0" w:lastRow="0" w:noHBand="0" w:noVBand="1" w:val="04A0"/>
      </w:tblPr>
      <w:tblGrid>
        <w:gridCol w:w="3288"/>
        <w:gridCol w:w="6407"/>
      </w:tblGrid>
      <w:tr>
        <w:trPr>
          <w:tblHeader w:val="true"/>
        </w:trPr>
        <w:tc>
          <w:tcPr>
            <w:tcW w:type="dxa" w:w="328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E8F2F0" w:val="clear"/>
          </w:tcPr>
          <w:p>
            <w:pPr>
              <w:keepNext w:val="0"/>
              <w:spacing w:before="0" w:after="0" w:line="264" w:lineRule="auto"/>
            </w:pPr>
            <w:r>
              <w:rPr>
                <w:rFonts w:ascii="Arial" w:hAnsi="Arial" w:eastAsia="Arial"/>
                <w:b w:val="0"/>
                <w:i w:val="0"/>
                <w:color w:val="00645E"/>
                <w:sz w:val="17"/>
              </w:rPr>
              <w:t>Pricing method</w:t>
            </w:r>
          </w:p>
        </w:tc>
        <w:tc>
          <w:tcPr>
            <w:tcW w:type="dxa" w:w="6406"/>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E8F2F0" w:val="clear"/>
          </w:tcPr>
          <w:p>
            <w:pPr>
              <w:keepNext w:val="0"/>
              <w:spacing w:before="0" w:after="0" w:line="264" w:lineRule="auto"/>
            </w:pPr>
            <w:r>
              <w:rPr>
                <w:rFonts w:ascii="Arial" w:hAnsi="Arial" w:eastAsia="Arial"/>
                <w:b w:val="0"/>
                <w:i w:val="0"/>
                <w:color w:val="00645E"/>
                <w:sz w:val="17"/>
              </w:rPr>
              <w:t>How it behaves</w:t>
            </w:r>
          </w:p>
        </w:tc>
      </w:tr>
      <w:tr>
        <w:tc>
          <w:tcPr>
            <w:tcW w:type="dxa" w:w="328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FFFFF" w:val="clear"/>
          </w:tcPr>
          <w:p>
            <w:pPr>
              <w:keepNext w:val="0"/>
              <w:spacing w:before="0" w:after="0" w:line="264" w:lineRule="auto"/>
            </w:pPr>
            <w:r>
              <w:rPr>
                <w:rFonts w:ascii="Arial" w:hAnsi="Arial" w:eastAsia="Arial"/>
                <w:b w:val="0"/>
                <w:i w:val="0"/>
                <w:color w:val="00645E"/>
                <w:sz w:val="17"/>
              </w:rPr>
              <w:t>Text + amount</w:t>
            </w:r>
          </w:p>
        </w:tc>
        <w:tc>
          <w:tcPr>
            <w:tcW w:type="dxa" w:w="6406"/>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FFFFF" w:val="clear"/>
          </w:tcPr>
          <w:p>
            <w:pPr>
              <w:keepNext w:val="0"/>
              <w:spacing w:before="0" w:after="0" w:line="264" w:lineRule="auto"/>
            </w:pPr>
            <w:r>
              <w:rPr>
                <w:rFonts w:ascii="Arial" w:hAnsi="Arial" w:eastAsia="Arial"/>
                <w:b w:val="0"/>
                <w:i w:val="0"/>
                <w:color w:val="111817"/>
                <w:sz w:val="17"/>
              </w:rPr>
              <w:t>Result adds the approved text line and optional amount to the selected quote output.</w:t>
            </w:r>
          </w:p>
        </w:tc>
      </w:tr>
    </w:tbl>
    <w:p>
      <w:pPr>
        <w:keepNext w:val="0"/>
        <w:spacing w:before="0" w:after="100" w:line="276" w:lineRule="auto"/>
      </w:pPr>
      <w:r>
        <w:rPr>
          <w:rFonts w:ascii="Arial" w:hAnsi="Arial" w:eastAsia="Arial"/>
          <w:b w:val="0"/>
          <w:i w:val="0"/>
          <w:color w:val="111817"/>
          <w:sz w:val="4"/>
        </w:rPr>
      </w:r>
    </w:p>
    <w:tbl>
      <w:tblPr>
        <w:tblW w:type="dxa" w:w="9695"/>
        <w:jc w:val="center"/>
        <w:tblLayout w:type="fixed"/>
        <w:tblLook w:firstColumn="1" w:firstRow="1" w:lastColumn="0" w:lastRow="0" w:noHBand="0" w:noVBand="1" w:val="04A0"/>
      </w:tblPr>
      <w:tblGrid>
        <w:gridCol w:w="4847"/>
        <w:gridCol w:w="4847"/>
      </w:tblGrid>
      <w:tr>
        <w:tc>
          <w:tcPr>
            <w:tcW w:type="dxa" w:w="4847"/>
            <w:tcBorders>
              <w:top w:val="single" w:sz="5" w:space="0" w:color="CDDCD9"/>
              <w:left w:val="single" w:sz="5" w:space="0" w:color="CDDCD9"/>
              <w:bottom w:val="single" w:sz="5" w:space="0" w:color="CDDCD9"/>
              <w:right w:val="single" w:sz="5" w:space="0" w:color="CDDCD9"/>
            </w:tcBorders>
            <w:shd w:fill="F3F7F6" w:val="clear"/>
            <w:tcMar>
              <w:top w:w="120" w:type="dxa"/>
              <w:start w:w="150" w:type="dxa"/>
              <w:bottom w:w="130" w:type="dxa"/>
              <w:end w:w="150" w:type="dxa"/>
            </w:tcMar>
            <w:vAlign w:val="top"/>
          </w:tcPr>
          <w:p>
            <w:pPr>
              <w:keepNext w:val="0"/>
              <w:spacing w:before="0" w:after="0" w:line="264" w:lineRule="auto"/>
            </w:pPr>
            <w:r>
              <w:rPr>
                <w:rFonts w:ascii="Arial" w:hAnsi="Arial" w:eastAsia="Arial"/>
                <w:b w:val="0"/>
                <w:i w:val="0"/>
                <w:color w:val="00645E"/>
                <w:sz w:val="18"/>
              </w:rPr>
              <w:t>Inputs</w:t>
            </w:r>
          </w:p>
          <w:p>
            <w:pPr>
              <w:pStyle w:val="ListBullet"/>
              <w:keepNext w:val="0"/>
              <w:spacing w:before="0" w:after="0" w:line="245" w:lineRule="auto"/>
              <w:ind w:left="198" w:hanging="102"/>
            </w:pPr>
            <w:r>
              <w:rPr>
                <w:rFonts w:ascii="Arial" w:hAnsi="Arial" w:eastAsia="Arial"/>
                <w:b w:val="0"/>
                <w:i w:val="0"/>
                <w:color w:val="111817"/>
                <w:sz w:val="17"/>
              </w:rPr>
              <w:t>Customer-facing description</w:t>
            </w:r>
          </w:p>
          <w:p>
            <w:pPr>
              <w:pStyle w:val="ListBullet"/>
              <w:keepNext w:val="0"/>
              <w:spacing w:before="0" w:after="0" w:line="245" w:lineRule="auto"/>
              <w:ind w:left="198" w:hanging="102"/>
            </w:pPr>
            <w:r>
              <w:rPr>
                <w:rFonts w:ascii="Arial" w:hAnsi="Arial" w:eastAsia="Arial"/>
                <w:b w:val="0"/>
                <w:i w:val="0"/>
                <w:color w:val="111817"/>
                <w:sz w:val="17"/>
              </w:rPr>
              <w:t>Optional amount</w:t>
            </w:r>
          </w:p>
          <w:p>
            <w:pPr>
              <w:pStyle w:val="ListBullet"/>
              <w:keepNext w:val="0"/>
              <w:spacing w:before="0" w:after="0" w:line="245" w:lineRule="auto"/>
              <w:ind w:left="198" w:hanging="102"/>
            </w:pPr>
            <w:r>
              <w:rPr>
                <w:rFonts w:ascii="Arial" w:hAnsi="Arial" w:eastAsia="Arial"/>
                <w:b w:val="0"/>
                <w:i w:val="0"/>
                <w:color w:val="111817"/>
                <w:sz w:val="17"/>
              </w:rPr>
              <w:t>Visibility setting</w:t>
            </w:r>
          </w:p>
        </w:tc>
        <w:tc>
          <w:tcPr>
            <w:tcW w:type="dxa" w:w="4847"/>
            <w:tcBorders>
              <w:top w:val="single" w:sz="5" w:space="0" w:color="CDDCD9"/>
              <w:left w:val="single" w:sz="5" w:space="0" w:color="CDDCD9"/>
              <w:bottom w:val="single" w:sz="5" w:space="0" w:color="CDDCD9"/>
              <w:right w:val="single" w:sz="5" w:space="0" w:color="CDDCD9"/>
            </w:tcBorders>
            <w:shd w:fill="F8F4EA" w:val="clear"/>
            <w:tcMar>
              <w:top w:w="120" w:type="dxa"/>
              <w:start w:w="150" w:type="dxa"/>
              <w:bottom w:w="130" w:type="dxa"/>
              <w:end w:w="150" w:type="dxa"/>
            </w:tcMar>
            <w:vAlign w:val="top"/>
          </w:tcPr>
          <w:p>
            <w:pPr>
              <w:keepNext w:val="0"/>
              <w:spacing w:before="0" w:after="0" w:line="264" w:lineRule="auto"/>
            </w:pPr>
            <w:r>
              <w:rPr>
                <w:rFonts w:ascii="Arial" w:hAnsi="Arial" w:eastAsia="Arial"/>
                <w:b w:val="0"/>
                <w:i w:val="0"/>
                <w:color w:val="00645E"/>
                <w:sz w:val="18"/>
              </w:rPr>
              <w:t>Operator safeguard</w:t>
            </w:r>
          </w:p>
          <w:p>
            <w:pPr>
              <w:keepNext w:val="0"/>
              <w:spacing w:before="0" w:after="0" w:line="276" w:lineRule="auto"/>
            </w:pPr>
            <w:r>
              <w:rPr>
                <w:rFonts w:ascii="Arial" w:hAnsi="Arial" w:eastAsia="Arial"/>
                <w:b w:val="0"/>
                <w:i w:val="0"/>
                <w:color w:val="111817"/>
                <w:sz w:val="17"/>
              </w:rPr>
              <w:t>Clearly distinguish a presentation note from a calculated charge. Notes should not create supplier cost or margin automatically.</w:t>
            </w:r>
          </w:p>
        </w:tc>
      </w:tr>
    </w:tbl>
    <w:p>
      <w:pPr>
        <w:keepNext w:val="0"/>
        <w:spacing w:before="0" w:after="100" w:line="276" w:lineRule="auto"/>
      </w:pPr>
      <w:r>
        <w:rPr>
          <w:rFonts w:ascii="Arial" w:hAnsi="Arial" w:eastAsia="Arial"/>
          <w:b w:val="0"/>
          <w:i w:val="0"/>
          <w:color w:val="111817"/>
          <w:sz w:val="4"/>
        </w:rPr>
      </w:r>
    </w:p>
    <w:tbl>
      <w:tblPr>
        <w:tblW w:type="dxa" w:w="9695"/>
        <w:jc w:val="center"/>
        <w:tblLayout w:type="fixed"/>
        <w:tblLook w:firstColumn="1" w:firstRow="1" w:lastColumn="0" w:lastRow="0" w:noHBand="0" w:noVBand="1" w:val="04A0"/>
      </w:tblPr>
      <w:tblGrid>
        <w:gridCol w:w="9695"/>
      </w:tblGrid>
      <w:tr>
        <w:tc>
          <w:tcPr>
            <w:tcW w:type="dxa" w:w="9694"/>
            <w:tcBorders>
              <w:top w:val="single" w:sz="5" w:space="0" w:color="B9D6D0"/>
              <w:left w:val="single" w:sz="5" w:space="0" w:color="B9D6D0"/>
              <w:bottom w:val="single" w:sz="5" w:space="0" w:color="B9D6D0"/>
              <w:right w:val="single" w:sz="5" w:space="0" w:color="B9D6D0"/>
            </w:tcBorders>
            <w:shd w:fill="14877D" w:val="clear"/>
            <w:tcMar>
              <w:top w:w="75" w:type="dxa"/>
              <w:start w:w="150" w:type="dxa"/>
              <w:bottom w:w="75" w:type="dxa"/>
              <w:end w:w="150" w:type="dxa"/>
            </w:tcMar>
          </w:tcPr>
          <w:p>
            <w:pPr>
              <w:keepNext w:val="0"/>
              <w:spacing w:before="0" w:after="0" w:line="264" w:lineRule="auto"/>
            </w:pPr>
            <w:r>
              <w:rPr>
                <w:rFonts w:ascii="Arial" w:hAnsi="Arial" w:eastAsia="Arial"/>
                <w:b w:val="0"/>
                <w:i w:val="0"/>
                <w:color w:val="FFFFFF"/>
                <w:sz w:val="18"/>
              </w:rPr>
              <w:t>Example</w:t>
            </w:r>
          </w:p>
        </w:tc>
      </w:tr>
      <w:tr>
        <w:tc>
          <w:tcPr>
            <w:tcW w:type="dxa" w:w="9694"/>
            <w:tcBorders>
              <w:top w:val="single" w:sz="5" w:space="0" w:color="B9D6D0"/>
              <w:left w:val="single" w:sz="5" w:space="0" w:color="B9D6D0"/>
              <w:bottom w:val="single" w:sz="5" w:space="0" w:color="B9D6D0"/>
              <w:right w:val="single" w:sz="5" w:space="0" w:color="B9D6D0"/>
            </w:tcBorders>
            <w:shd w:fill="F3F7F6" w:val="clear"/>
            <w:tcMar>
              <w:top w:w="105" w:type="dxa"/>
              <w:start w:w="150" w:type="dxa"/>
              <w:bottom w:w="105" w:type="dxa"/>
              <w:end w:w="150" w:type="dxa"/>
            </w:tcMar>
          </w:tcPr>
          <w:p>
            <w:pPr>
              <w:keepNext w:val="0"/>
              <w:spacing w:before="0" w:after="0" w:line="264" w:lineRule="auto"/>
            </w:pPr>
            <w:r>
              <w:rPr>
                <w:rFonts w:ascii="Arial" w:hAnsi="Arial" w:eastAsia="Arial"/>
                <w:b w:val="0"/>
                <w:i w:val="0"/>
                <w:color w:val="111817"/>
                <w:sz w:val="17"/>
              </w:rPr>
              <w:t>Optional weekend delivery cover - GBP 65.00.</w:t>
            </w:r>
          </w:p>
        </w:tc>
      </w:tr>
    </w:tbl>
    <w:p>
      <w:pPr>
        <w:pStyle w:val="GuideHeading2"/>
      </w:pPr>
      <w:r>
        <w:t>Multideck interaction pattern</w:t>
      </w:r>
    </w:p>
    <w:p>
      <w:pPr>
        <w:pStyle w:val="GuideBody"/>
      </w:pPr>
      <w:r>
        <w:t>Choose this pricing method from a plain-language selector. Multideck then reveals only the relevant inputs, validates missing data before rating, and keeps a live explanation beside the result. The charge remains independent on the supplier and customer sides unless an operator explicitly copies it.</w:t>
      </w:r>
    </w:p>
    <w:p>
      <w:r>
        <w:br w:type="page"/>
      </w:r>
    </w:p>
    <w:p>
      <w:pPr>
        <w:pStyle w:val="GuideEyebrow"/>
      </w:pPr>
      <w:r>
        <w:t>CALCULATOR 15 / WAREHOUSE</w:t>
      </w:r>
    </w:p>
    <w:p>
      <w:pPr>
        <w:pStyle w:val="GuideHeading1"/>
      </w:pPr>
      <w:r>
        <w:t>Package profile pricing</w:t>
      </w:r>
    </w:p>
    <w:p>
      <w:pPr>
        <w:pStyle w:val="GuideLead"/>
      </w:pPr>
      <w:r>
        <w:t>Apply warehouse handling rates by package profile, such as full pallet, carton, case or loose unit.</w:t>
      </w:r>
    </w:p>
    <w:tbl>
      <w:tblPr>
        <w:tblW w:type="dxa" w:w="9695"/>
        <w:jc w:val="center"/>
        <w:tblLayout w:type="fixed"/>
        <w:tblLook w:firstColumn="1" w:firstRow="1" w:lastColumn="0" w:lastRow="0" w:noHBand="0" w:noVBand="1" w:val="04A0"/>
      </w:tblPr>
      <w:tblGrid>
        <w:gridCol w:w="3288"/>
        <w:gridCol w:w="6407"/>
      </w:tblGrid>
      <w:tr>
        <w:trPr>
          <w:tblHeader w:val="true"/>
        </w:trPr>
        <w:tc>
          <w:tcPr>
            <w:tcW w:type="dxa" w:w="328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E8F2F0" w:val="clear"/>
          </w:tcPr>
          <w:p>
            <w:pPr>
              <w:keepNext w:val="0"/>
              <w:spacing w:before="0" w:after="0" w:line="264" w:lineRule="auto"/>
            </w:pPr>
            <w:r>
              <w:rPr>
                <w:rFonts w:ascii="Arial" w:hAnsi="Arial" w:eastAsia="Arial"/>
                <w:b w:val="0"/>
                <w:i w:val="0"/>
                <w:color w:val="00645E"/>
                <w:sz w:val="17"/>
              </w:rPr>
              <w:t>Pricing method</w:t>
            </w:r>
          </w:p>
        </w:tc>
        <w:tc>
          <w:tcPr>
            <w:tcW w:type="dxa" w:w="6406"/>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E8F2F0" w:val="clear"/>
          </w:tcPr>
          <w:p>
            <w:pPr>
              <w:keepNext w:val="0"/>
              <w:spacing w:before="0" w:after="0" w:line="264" w:lineRule="auto"/>
            </w:pPr>
            <w:r>
              <w:rPr>
                <w:rFonts w:ascii="Arial" w:hAnsi="Arial" w:eastAsia="Arial"/>
                <w:b w:val="0"/>
                <w:i w:val="0"/>
                <w:color w:val="00645E"/>
                <w:sz w:val="17"/>
              </w:rPr>
              <w:t>How it behaves</w:t>
            </w:r>
          </w:p>
        </w:tc>
      </w:tr>
      <w:tr>
        <w:tc>
          <w:tcPr>
            <w:tcW w:type="dxa" w:w="328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FFFFF" w:val="clear"/>
          </w:tcPr>
          <w:p>
            <w:pPr>
              <w:keepNext w:val="0"/>
              <w:spacing w:before="0" w:after="0" w:line="264" w:lineRule="auto"/>
            </w:pPr>
            <w:r>
              <w:rPr>
                <w:rFonts w:ascii="Arial" w:hAnsi="Arial" w:eastAsia="Arial"/>
                <w:b w:val="0"/>
                <w:i w:val="0"/>
                <w:color w:val="00645E"/>
                <w:sz w:val="17"/>
              </w:rPr>
              <w:t>Pack-aware</w:t>
            </w:r>
          </w:p>
        </w:tc>
        <w:tc>
          <w:tcPr>
            <w:tcW w:type="dxa" w:w="6406"/>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FFFFF" w:val="clear"/>
          </w:tcPr>
          <w:p>
            <w:pPr>
              <w:keepNext w:val="0"/>
              <w:spacing w:before="0" w:after="0" w:line="264" w:lineRule="auto"/>
            </w:pPr>
            <w:r>
              <w:rPr>
                <w:rFonts w:ascii="Arial" w:hAnsi="Arial" w:eastAsia="Arial"/>
                <w:b w:val="0"/>
                <w:i w:val="0"/>
                <w:color w:val="111817"/>
                <w:sz w:val="17"/>
              </w:rPr>
              <w:t>Result converts the ordered quantity through the approved package hierarchy and applies the matching profile rates.</w:t>
            </w:r>
          </w:p>
        </w:tc>
      </w:tr>
    </w:tbl>
    <w:p>
      <w:pPr>
        <w:keepNext w:val="0"/>
        <w:spacing w:before="0" w:after="100" w:line="276" w:lineRule="auto"/>
      </w:pPr>
      <w:r>
        <w:rPr>
          <w:rFonts w:ascii="Arial" w:hAnsi="Arial" w:eastAsia="Arial"/>
          <w:b w:val="0"/>
          <w:i w:val="0"/>
          <w:color w:val="111817"/>
          <w:sz w:val="4"/>
        </w:rPr>
      </w:r>
    </w:p>
    <w:tbl>
      <w:tblPr>
        <w:tblW w:type="dxa" w:w="9695"/>
        <w:jc w:val="center"/>
        <w:tblLayout w:type="fixed"/>
        <w:tblLook w:firstColumn="1" w:firstRow="1" w:lastColumn="0" w:lastRow="0" w:noHBand="0" w:noVBand="1" w:val="04A0"/>
      </w:tblPr>
      <w:tblGrid>
        <w:gridCol w:w="4847"/>
        <w:gridCol w:w="4847"/>
      </w:tblGrid>
      <w:tr>
        <w:tc>
          <w:tcPr>
            <w:tcW w:type="dxa" w:w="4847"/>
            <w:tcBorders>
              <w:top w:val="single" w:sz="5" w:space="0" w:color="CDDCD9"/>
              <w:left w:val="single" w:sz="5" w:space="0" w:color="CDDCD9"/>
              <w:bottom w:val="single" w:sz="5" w:space="0" w:color="CDDCD9"/>
              <w:right w:val="single" w:sz="5" w:space="0" w:color="CDDCD9"/>
            </w:tcBorders>
            <w:shd w:fill="F3F7F6" w:val="clear"/>
            <w:tcMar>
              <w:top w:w="120" w:type="dxa"/>
              <w:start w:w="150" w:type="dxa"/>
              <w:bottom w:w="130" w:type="dxa"/>
              <w:end w:w="150" w:type="dxa"/>
            </w:tcMar>
            <w:vAlign w:val="top"/>
          </w:tcPr>
          <w:p>
            <w:pPr>
              <w:keepNext w:val="0"/>
              <w:spacing w:before="0" w:after="0" w:line="264" w:lineRule="auto"/>
            </w:pPr>
            <w:r>
              <w:rPr>
                <w:rFonts w:ascii="Arial" w:hAnsi="Arial" w:eastAsia="Arial"/>
                <w:b w:val="0"/>
                <w:i w:val="0"/>
                <w:color w:val="00645E"/>
                <w:sz w:val="18"/>
              </w:rPr>
              <w:t>Inputs</w:t>
            </w:r>
          </w:p>
          <w:p>
            <w:pPr>
              <w:pStyle w:val="ListBullet"/>
              <w:keepNext w:val="0"/>
              <w:spacing w:before="0" w:after="0" w:line="245" w:lineRule="auto"/>
              <w:ind w:left="198" w:hanging="102"/>
            </w:pPr>
            <w:r>
              <w:rPr>
                <w:rFonts w:ascii="Arial" w:hAnsi="Arial" w:eastAsia="Arial"/>
                <w:b w:val="0"/>
                <w:i w:val="0"/>
                <w:color w:val="111817"/>
                <w:sz w:val="17"/>
              </w:rPr>
              <w:t>Package profile</w:t>
            </w:r>
          </w:p>
          <w:p>
            <w:pPr>
              <w:pStyle w:val="ListBullet"/>
              <w:keepNext w:val="0"/>
              <w:spacing w:before="0" w:after="0" w:line="245" w:lineRule="auto"/>
              <w:ind w:left="198" w:hanging="102"/>
            </w:pPr>
            <w:r>
              <w:rPr>
                <w:rFonts w:ascii="Arial" w:hAnsi="Arial" w:eastAsia="Arial"/>
                <w:b w:val="0"/>
                <w:i w:val="0"/>
                <w:color w:val="111817"/>
                <w:sz w:val="17"/>
              </w:rPr>
              <w:t>Conversion hierarchy</w:t>
            </w:r>
          </w:p>
          <w:p>
            <w:pPr>
              <w:pStyle w:val="ListBullet"/>
              <w:keepNext w:val="0"/>
              <w:spacing w:before="0" w:after="0" w:line="245" w:lineRule="auto"/>
              <w:ind w:left="198" w:hanging="102"/>
            </w:pPr>
            <w:r>
              <w:rPr>
                <w:rFonts w:ascii="Arial" w:hAnsi="Arial" w:eastAsia="Arial"/>
                <w:b w:val="0"/>
                <w:i w:val="0"/>
                <w:color w:val="111817"/>
                <w:sz w:val="17"/>
              </w:rPr>
              <w:t>Rate per profile</w:t>
            </w:r>
          </w:p>
          <w:p>
            <w:pPr>
              <w:pStyle w:val="ListBullet"/>
              <w:keepNext w:val="0"/>
              <w:spacing w:before="0" w:after="0" w:line="245" w:lineRule="auto"/>
              <w:ind w:left="198" w:hanging="102"/>
            </w:pPr>
            <w:r>
              <w:rPr>
                <w:rFonts w:ascii="Arial" w:hAnsi="Arial" w:eastAsia="Arial"/>
                <w:b w:val="0"/>
                <w:i w:val="0"/>
                <w:color w:val="111817"/>
                <w:sz w:val="17"/>
              </w:rPr>
              <w:t>Quantity source</w:t>
            </w:r>
          </w:p>
        </w:tc>
        <w:tc>
          <w:tcPr>
            <w:tcW w:type="dxa" w:w="4847"/>
            <w:tcBorders>
              <w:top w:val="single" w:sz="5" w:space="0" w:color="CDDCD9"/>
              <w:left w:val="single" w:sz="5" w:space="0" w:color="CDDCD9"/>
              <w:bottom w:val="single" w:sz="5" w:space="0" w:color="CDDCD9"/>
              <w:right w:val="single" w:sz="5" w:space="0" w:color="CDDCD9"/>
            </w:tcBorders>
            <w:shd w:fill="F8F4EA" w:val="clear"/>
            <w:tcMar>
              <w:top w:w="120" w:type="dxa"/>
              <w:start w:w="150" w:type="dxa"/>
              <w:bottom w:w="130" w:type="dxa"/>
              <w:end w:w="150" w:type="dxa"/>
            </w:tcMar>
            <w:vAlign w:val="top"/>
          </w:tcPr>
          <w:p>
            <w:pPr>
              <w:keepNext w:val="0"/>
              <w:spacing w:before="0" w:after="0" w:line="264" w:lineRule="auto"/>
            </w:pPr>
            <w:r>
              <w:rPr>
                <w:rFonts w:ascii="Arial" w:hAnsi="Arial" w:eastAsia="Arial"/>
                <w:b w:val="0"/>
                <w:i w:val="0"/>
                <w:color w:val="00645E"/>
                <w:sz w:val="18"/>
              </w:rPr>
              <w:t>Operator safeguard</w:t>
            </w:r>
          </w:p>
          <w:p>
            <w:pPr>
              <w:keepNext w:val="0"/>
              <w:spacing w:before="0" w:after="0" w:line="276" w:lineRule="auto"/>
            </w:pPr>
            <w:r>
              <w:rPr>
                <w:rFonts w:ascii="Arial" w:hAnsi="Arial" w:eastAsia="Arial"/>
                <w:b w:val="0"/>
                <w:i w:val="0"/>
                <w:color w:val="111817"/>
                <w:sz w:val="17"/>
              </w:rPr>
              <w:t>Show the conversion path and any remainder so the result can be checked quickly on the warehouse floor.</w:t>
            </w:r>
          </w:p>
        </w:tc>
      </w:tr>
    </w:tbl>
    <w:p>
      <w:pPr>
        <w:keepNext w:val="0"/>
        <w:spacing w:before="0" w:after="100" w:line="276" w:lineRule="auto"/>
      </w:pPr>
      <w:r>
        <w:rPr>
          <w:rFonts w:ascii="Arial" w:hAnsi="Arial" w:eastAsia="Arial"/>
          <w:b w:val="0"/>
          <w:i w:val="0"/>
          <w:color w:val="111817"/>
          <w:sz w:val="4"/>
        </w:rPr>
      </w:r>
    </w:p>
    <w:tbl>
      <w:tblPr>
        <w:tblW w:type="dxa" w:w="9695"/>
        <w:jc w:val="center"/>
        <w:tblLayout w:type="fixed"/>
        <w:tblLook w:firstColumn="1" w:firstRow="1" w:lastColumn="0" w:lastRow="0" w:noHBand="0" w:noVBand="1" w:val="04A0"/>
      </w:tblPr>
      <w:tblGrid>
        <w:gridCol w:w="9695"/>
      </w:tblGrid>
      <w:tr>
        <w:tc>
          <w:tcPr>
            <w:tcW w:type="dxa" w:w="9694"/>
            <w:tcBorders>
              <w:top w:val="single" w:sz="5" w:space="0" w:color="B9D6D0"/>
              <w:left w:val="single" w:sz="5" w:space="0" w:color="B9D6D0"/>
              <w:bottom w:val="single" w:sz="5" w:space="0" w:color="B9D6D0"/>
              <w:right w:val="single" w:sz="5" w:space="0" w:color="B9D6D0"/>
            </w:tcBorders>
            <w:shd w:fill="14877D" w:val="clear"/>
            <w:tcMar>
              <w:top w:w="75" w:type="dxa"/>
              <w:start w:w="150" w:type="dxa"/>
              <w:bottom w:w="75" w:type="dxa"/>
              <w:end w:w="150" w:type="dxa"/>
            </w:tcMar>
          </w:tcPr>
          <w:p>
            <w:pPr>
              <w:keepNext w:val="0"/>
              <w:spacing w:before="0" w:after="0" w:line="264" w:lineRule="auto"/>
            </w:pPr>
            <w:r>
              <w:rPr>
                <w:rFonts w:ascii="Arial" w:hAnsi="Arial" w:eastAsia="Arial"/>
                <w:b w:val="0"/>
                <w:i w:val="0"/>
                <w:color w:val="FFFFFF"/>
                <w:sz w:val="18"/>
              </w:rPr>
              <w:t>Example</w:t>
            </w:r>
          </w:p>
        </w:tc>
      </w:tr>
      <w:tr>
        <w:tc>
          <w:tcPr>
            <w:tcW w:type="dxa" w:w="9694"/>
            <w:tcBorders>
              <w:top w:val="single" w:sz="5" w:space="0" w:color="B9D6D0"/>
              <w:left w:val="single" w:sz="5" w:space="0" w:color="B9D6D0"/>
              <w:bottom w:val="single" w:sz="5" w:space="0" w:color="B9D6D0"/>
              <w:right w:val="single" w:sz="5" w:space="0" w:color="B9D6D0"/>
            </w:tcBorders>
            <w:shd w:fill="F3F7F6" w:val="clear"/>
            <w:tcMar>
              <w:top w:w="105" w:type="dxa"/>
              <w:start w:w="150" w:type="dxa"/>
              <w:bottom w:w="105" w:type="dxa"/>
              <w:end w:w="150" w:type="dxa"/>
            </w:tcMar>
          </w:tcPr>
          <w:p>
            <w:pPr>
              <w:keepNext w:val="0"/>
              <w:spacing w:before="0" w:after="0" w:line="264" w:lineRule="auto"/>
            </w:pPr>
            <w:r>
              <w:rPr>
                <w:rFonts w:ascii="Arial" w:hAnsi="Arial" w:eastAsia="Arial"/>
                <w:b w:val="0"/>
                <w:i w:val="0"/>
                <w:color w:val="111817"/>
                <w:sz w:val="17"/>
              </w:rPr>
              <w:t>Pick: GBP 2.10 per full pallet, GBP 0.34 per carton and GBP 0.08 per loose unit.</w:t>
            </w:r>
          </w:p>
        </w:tc>
      </w:tr>
    </w:tbl>
    <w:p>
      <w:pPr>
        <w:pStyle w:val="GuideHeading2"/>
      </w:pPr>
      <w:r>
        <w:t>Multideck interaction pattern</w:t>
      </w:r>
    </w:p>
    <w:p>
      <w:pPr>
        <w:pStyle w:val="GuideBody"/>
      </w:pPr>
      <w:r>
        <w:t>Choose this pricing method from a plain-language selector. Multideck then reveals only the relevant inputs, validates missing data before rating, and keeps a live explanation beside the result. The charge remains independent on the supplier and customer sides unless an operator explicitly copies it.</w:t>
      </w:r>
    </w:p>
    <w:p>
      <w:r>
        <w:br w:type="page"/>
      </w:r>
    </w:p>
    <w:p>
      <w:pPr>
        <w:pStyle w:val="GuideEyebrow"/>
      </w:pPr>
      <w:r>
        <w:t>CALCULATOR 16 / WAREHOUSE</w:t>
      </w:r>
    </w:p>
    <w:p>
      <w:pPr>
        <w:pStyle w:val="GuideHeading1"/>
      </w:pPr>
      <w:r>
        <w:t>Location profile pricing</w:t>
      </w:r>
    </w:p>
    <w:p>
      <w:pPr>
        <w:pStyle w:val="GuideLead"/>
      </w:pPr>
      <w:r>
        <w:t>Apply a charge based on a warehouse location profile, regardless of the product held there.</w:t>
      </w:r>
    </w:p>
    <w:tbl>
      <w:tblPr>
        <w:tblW w:type="dxa" w:w="9695"/>
        <w:jc w:val="center"/>
        <w:tblLayout w:type="fixed"/>
        <w:tblLook w:firstColumn="1" w:firstRow="1" w:lastColumn="0" w:lastRow="0" w:noHBand="0" w:noVBand="1" w:val="04A0"/>
      </w:tblPr>
      <w:tblGrid>
        <w:gridCol w:w="3288"/>
        <w:gridCol w:w="6407"/>
      </w:tblGrid>
      <w:tr>
        <w:trPr>
          <w:tblHeader w:val="true"/>
        </w:trPr>
        <w:tc>
          <w:tcPr>
            <w:tcW w:type="dxa" w:w="328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E8F2F0" w:val="clear"/>
          </w:tcPr>
          <w:p>
            <w:pPr>
              <w:keepNext w:val="0"/>
              <w:spacing w:before="0" w:after="0" w:line="264" w:lineRule="auto"/>
            </w:pPr>
            <w:r>
              <w:rPr>
                <w:rFonts w:ascii="Arial" w:hAnsi="Arial" w:eastAsia="Arial"/>
                <w:b w:val="0"/>
                <w:i w:val="0"/>
                <w:color w:val="00645E"/>
                <w:sz w:val="17"/>
              </w:rPr>
              <w:t>Pricing method</w:t>
            </w:r>
          </w:p>
        </w:tc>
        <w:tc>
          <w:tcPr>
            <w:tcW w:type="dxa" w:w="6406"/>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E8F2F0" w:val="clear"/>
          </w:tcPr>
          <w:p>
            <w:pPr>
              <w:keepNext w:val="0"/>
              <w:spacing w:before="0" w:after="0" w:line="264" w:lineRule="auto"/>
            </w:pPr>
            <w:r>
              <w:rPr>
                <w:rFonts w:ascii="Arial" w:hAnsi="Arial" w:eastAsia="Arial"/>
                <w:b w:val="0"/>
                <w:i w:val="0"/>
                <w:color w:val="00645E"/>
                <w:sz w:val="17"/>
              </w:rPr>
              <w:t>How it behaves</w:t>
            </w:r>
          </w:p>
        </w:tc>
      </w:tr>
      <w:tr>
        <w:tc>
          <w:tcPr>
            <w:tcW w:type="dxa" w:w="328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FFFFF" w:val="clear"/>
          </w:tcPr>
          <w:p>
            <w:pPr>
              <w:keepNext w:val="0"/>
              <w:spacing w:before="0" w:after="0" w:line="264" w:lineRule="auto"/>
            </w:pPr>
            <w:r>
              <w:rPr>
                <w:rFonts w:ascii="Arial" w:hAnsi="Arial" w:eastAsia="Arial"/>
                <w:b w:val="0"/>
                <w:i w:val="0"/>
                <w:color w:val="00645E"/>
                <w:sz w:val="17"/>
              </w:rPr>
              <w:t>Location-aware</w:t>
            </w:r>
          </w:p>
        </w:tc>
        <w:tc>
          <w:tcPr>
            <w:tcW w:type="dxa" w:w="6406"/>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FFFFF" w:val="clear"/>
          </w:tcPr>
          <w:p>
            <w:pPr>
              <w:keepNext w:val="0"/>
              <w:spacing w:before="0" w:after="0" w:line="264" w:lineRule="auto"/>
            </w:pPr>
            <w:r>
              <w:rPr>
                <w:rFonts w:ascii="Arial" w:hAnsi="Arial" w:eastAsia="Arial"/>
                <w:b w:val="0"/>
                <w:i w:val="0"/>
                <w:color w:val="111817"/>
                <w:sz w:val="17"/>
              </w:rPr>
              <w:t>Result charges each qualifying location once for the configured billing period.</w:t>
            </w:r>
          </w:p>
        </w:tc>
      </w:tr>
    </w:tbl>
    <w:p>
      <w:pPr>
        <w:keepNext w:val="0"/>
        <w:spacing w:before="0" w:after="100" w:line="276" w:lineRule="auto"/>
      </w:pPr>
      <w:r>
        <w:rPr>
          <w:rFonts w:ascii="Arial" w:hAnsi="Arial" w:eastAsia="Arial"/>
          <w:b w:val="0"/>
          <w:i w:val="0"/>
          <w:color w:val="111817"/>
          <w:sz w:val="4"/>
        </w:rPr>
      </w:r>
    </w:p>
    <w:tbl>
      <w:tblPr>
        <w:tblW w:type="dxa" w:w="9695"/>
        <w:jc w:val="center"/>
        <w:tblLayout w:type="fixed"/>
        <w:tblLook w:firstColumn="1" w:firstRow="1" w:lastColumn="0" w:lastRow="0" w:noHBand="0" w:noVBand="1" w:val="04A0"/>
      </w:tblPr>
      <w:tblGrid>
        <w:gridCol w:w="4847"/>
        <w:gridCol w:w="4847"/>
      </w:tblGrid>
      <w:tr>
        <w:tc>
          <w:tcPr>
            <w:tcW w:type="dxa" w:w="4847"/>
            <w:tcBorders>
              <w:top w:val="single" w:sz="5" w:space="0" w:color="CDDCD9"/>
              <w:left w:val="single" w:sz="5" w:space="0" w:color="CDDCD9"/>
              <w:bottom w:val="single" w:sz="5" w:space="0" w:color="CDDCD9"/>
              <w:right w:val="single" w:sz="5" w:space="0" w:color="CDDCD9"/>
            </w:tcBorders>
            <w:shd w:fill="F3F7F6" w:val="clear"/>
            <w:tcMar>
              <w:top w:w="120" w:type="dxa"/>
              <w:start w:w="150" w:type="dxa"/>
              <w:bottom w:w="130" w:type="dxa"/>
              <w:end w:w="150" w:type="dxa"/>
            </w:tcMar>
            <w:vAlign w:val="top"/>
          </w:tcPr>
          <w:p>
            <w:pPr>
              <w:keepNext w:val="0"/>
              <w:spacing w:before="0" w:after="0" w:line="264" w:lineRule="auto"/>
            </w:pPr>
            <w:r>
              <w:rPr>
                <w:rFonts w:ascii="Arial" w:hAnsi="Arial" w:eastAsia="Arial"/>
                <w:b w:val="0"/>
                <w:i w:val="0"/>
                <w:color w:val="00645E"/>
                <w:sz w:val="18"/>
              </w:rPr>
              <w:t>Inputs</w:t>
            </w:r>
          </w:p>
          <w:p>
            <w:pPr>
              <w:pStyle w:val="ListBullet"/>
              <w:keepNext w:val="0"/>
              <w:spacing w:before="0" w:after="0" w:line="245" w:lineRule="auto"/>
              <w:ind w:left="198" w:hanging="102"/>
            </w:pPr>
            <w:r>
              <w:rPr>
                <w:rFonts w:ascii="Arial" w:hAnsi="Arial" w:eastAsia="Arial"/>
                <w:b w:val="0"/>
                <w:i w:val="0"/>
                <w:color w:val="111817"/>
                <w:sz w:val="17"/>
              </w:rPr>
              <w:t>Location profile</w:t>
            </w:r>
          </w:p>
          <w:p>
            <w:pPr>
              <w:pStyle w:val="ListBullet"/>
              <w:keepNext w:val="0"/>
              <w:spacing w:before="0" w:after="0" w:line="245" w:lineRule="auto"/>
              <w:ind w:left="198" w:hanging="102"/>
            </w:pPr>
            <w:r>
              <w:rPr>
                <w:rFonts w:ascii="Arial" w:hAnsi="Arial" w:eastAsia="Arial"/>
                <w:b w:val="0"/>
                <w:i w:val="0"/>
                <w:color w:val="111817"/>
                <w:sz w:val="17"/>
              </w:rPr>
              <w:t>Rate</w:t>
            </w:r>
          </w:p>
          <w:p>
            <w:pPr>
              <w:pStyle w:val="ListBullet"/>
              <w:keepNext w:val="0"/>
              <w:spacing w:before="0" w:after="0" w:line="245" w:lineRule="auto"/>
              <w:ind w:left="198" w:hanging="102"/>
            </w:pPr>
            <w:r>
              <w:rPr>
                <w:rFonts w:ascii="Arial" w:hAnsi="Arial" w:eastAsia="Arial"/>
                <w:b w:val="0"/>
                <w:i w:val="0"/>
                <w:color w:val="111817"/>
                <w:sz w:val="17"/>
              </w:rPr>
              <w:t>Billing period</w:t>
            </w:r>
          </w:p>
          <w:p>
            <w:pPr>
              <w:pStyle w:val="ListBullet"/>
              <w:keepNext w:val="0"/>
              <w:spacing w:before="0" w:after="0" w:line="245" w:lineRule="auto"/>
              <w:ind w:left="198" w:hanging="102"/>
            </w:pPr>
            <w:r>
              <w:rPr>
                <w:rFonts w:ascii="Arial" w:hAnsi="Arial" w:eastAsia="Arial"/>
                <w:b w:val="0"/>
                <w:i w:val="0"/>
                <w:color w:val="111817"/>
                <w:sz w:val="17"/>
              </w:rPr>
              <w:t>Occupancy rule</w:t>
            </w:r>
          </w:p>
        </w:tc>
        <w:tc>
          <w:tcPr>
            <w:tcW w:type="dxa" w:w="4847"/>
            <w:tcBorders>
              <w:top w:val="single" w:sz="5" w:space="0" w:color="CDDCD9"/>
              <w:left w:val="single" w:sz="5" w:space="0" w:color="CDDCD9"/>
              <w:bottom w:val="single" w:sz="5" w:space="0" w:color="CDDCD9"/>
              <w:right w:val="single" w:sz="5" w:space="0" w:color="CDDCD9"/>
            </w:tcBorders>
            <w:shd w:fill="F8F4EA" w:val="clear"/>
            <w:tcMar>
              <w:top w:w="120" w:type="dxa"/>
              <w:start w:w="150" w:type="dxa"/>
              <w:bottom w:w="130" w:type="dxa"/>
              <w:end w:w="150" w:type="dxa"/>
            </w:tcMar>
            <w:vAlign w:val="top"/>
          </w:tcPr>
          <w:p>
            <w:pPr>
              <w:keepNext w:val="0"/>
              <w:spacing w:before="0" w:after="0" w:line="264" w:lineRule="auto"/>
            </w:pPr>
            <w:r>
              <w:rPr>
                <w:rFonts w:ascii="Arial" w:hAnsi="Arial" w:eastAsia="Arial"/>
                <w:b w:val="0"/>
                <w:i w:val="0"/>
                <w:color w:val="00645E"/>
                <w:sz w:val="18"/>
              </w:rPr>
              <w:t>Operator safeguard</w:t>
            </w:r>
          </w:p>
          <w:p>
            <w:pPr>
              <w:keepNext w:val="0"/>
              <w:spacing w:before="0" w:after="0" w:line="276" w:lineRule="auto"/>
            </w:pPr>
            <w:r>
              <w:rPr>
                <w:rFonts w:ascii="Arial" w:hAnsi="Arial" w:eastAsia="Arial"/>
                <w:b w:val="0"/>
                <w:i w:val="0"/>
                <w:color w:val="111817"/>
                <w:sz w:val="17"/>
              </w:rPr>
              <w:t>Avoid double counting mixed-product locations. The guide should state whether a location was active during the period.</w:t>
            </w:r>
          </w:p>
        </w:tc>
      </w:tr>
    </w:tbl>
    <w:p>
      <w:pPr>
        <w:keepNext w:val="0"/>
        <w:spacing w:before="0" w:after="100" w:line="276" w:lineRule="auto"/>
      </w:pPr>
      <w:r>
        <w:rPr>
          <w:rFonts w:ascii="Arial" w:hAnsi="Arial" w:eastAsia="Arial"/>
          <w:b w:val="0"/>
          <w:i w:val="0"/>
          <w:color w:val="111817"/>
          <w:sz w:val="4"/>
        </w:rPr>
      </w:r>
    </w:p>
    <w:tbl>
      <w:tblPr>
        <w:tblW w:type="dxa" w:w="9695"/>
        <w:jc w:val="center"/>
        <w:tblLayout w:type="fixed"/>
        <w:tblLook w:firstColumn="1" w:firstRow="1" w:lastColumn="0" w:lastRow="0" w:noHBand="0" w:noVBand="1" w:val="04A0"/>
      </w:tblPr>
      <w:tblGrid>
        <w:gridCol w:w="9695"/>
      </w:tblGrid>
      <w:tr>
        <w:tc>
          <w:tcPr>
            <w:tcW w:type="dxa" w:w="9694"/>
            <w:tcBorders>
              <w:top w:val="single" w:sz="5" w:space="0" w:color="B9D6D0"/>
              <w:left w:val="single" w:sz="5" w:space="0" w:color="B9D6D0"/>
              <w:bottom w:val="single" w:sz="5" w:space="0" w:color="B9D6D0"/>
              <w:right w:val="single" w:sz="5" w:space="0" w:color="B9D6D0"/>
            </w:tcBorders>
            <w:shd w:fill="14877D" w:val="clear"/>
            <w:tcMar>
              <w:top w:w="75" w:type="dxa"/>
              <w:start w:w="150" w:type="dxa"/>
              <w:bottom w:w="75" w:type="dxa"/>
              <w:end w:w="150" w:type="dxa"/>
            </w:tcMar>
          </w:tcPr>
          <w:p>
            <w:pPr>
              <w:keepNext w:val="0"/>
              <w:spacing w:before="0" w:after="0" w:line="264" w:lineRule="auto"/>
            </w:pPr>
            <w:r>
              <w:rPr>
                <w:rFonts w:ascii="Arial" w:hAnsi="Arial" w:eastAsia="Arial"/>
                <w:b w:val="0"/>
                <w:i w:val="0"/>
                <w:color w:val="FFFFFF"/>
                <w:sz w:val="18"/>
              </w:rPr>
              <w:t>Example</w:t>
            </w:r>
          </w:p>
        </w:tc>
      </w:tr>
      <w:tr>
        <w:tc>
          <w:tcPr>
            <w:tcW w:type="dxa" w:w="9694"/>
            <w:tcBorders>
              <w:top w:val="single" w:sz="5" w:space="0" w:color="B9D6D0"/>
              <w:left w:val="single" w:sz="5" w:space="0" w:color="B9D6D0"/>
              <w:bottom w:val="single" w:sz="5" w:space="0" w:color="B9D6D0"/>
              <w:right w:val="single" w:sz="5" w:space="0" w:color="B9D6D0"/>
            </w:tcBorders>
            <w:shd w:fill="F3F7F6" w:val="clear"/>
            <w:tcMar>
              <w:top w:w="105" w:type="dxa"/>
              <w:start w:w="150" w:type="dxa"/>
              <w:bottom w:w="105" w:type="dxa"/>
              <w:end w:w="150" w:type="dxa"/>
            </w:tcMar>
          </w:tcPr>
          <w:p>
            <w:pPr>
              <w:keepNext w:val="0"/>
              <w:spacing w:before="0" w:after="0" w:line="264" w:lineRule="auto"/>
            </w:pPr>
            <w:r>
              <w:rPr>
                <w:rFonts w:ascii="Arial" w:hAnsi="Arial" w:eastAsia="Arial"/>
                <w:b w:val="0"/>
                <w:i w:val="0"/>
                <w:color w:val="111817"/>
                <w:sz w:val="17"/>
              </w:rPr>
              <w:t>Temperature-controlled bay: GBP 14.00 per occupied location per week.</w:t>
            </w:r>
          </w:p>
        </w:tc>
      </w:tr>
    </w:tbl>
    <w:p>
      <w:pPr>
        <w:pStyle w:val="GuideHeading2"/>
      </w:pPr>
      <w:r>
        <w:t>Multideck interaction pattern</w:t>
      </w:r>
    </w:p>
    <w:p>
      <w:pPr>
        <w:pStyle w:val="GuideBody"/>
      </w:pPr>
      <w:r>
        <w:t>Choose this pricing method from a plain-language selector. Multideck then reveals only the relevant inputs, validates missing data before rating, and keeps a live explanation beside the result. The charge remains independent on the supplier and customer sides unless an operator explicitly copies it.</w:t>
      </w:r>
    </w:p>
    <w:p>
      <w:r>
        <w:br w:type="page"/>
      </w:r>
    </w:p>
    <w:p>
      <w:pPr>
        <w:pStyle w:val="GuideEyebrow"/>
      </w:pPr>
      <w:r>
        <w:t>CALCULATOR 17 / WAREHOUSE</w:t>
      </w:r>
    </w:p>
    <w:p>
      <w:pPr>
        <w:pStyle w:val="GuideHeading1"/>
      </w:pPr>
      <w:r>
        <w:t>Time period pricing</w:t>
      </w:r>
    </w:p>
    <w:p>
      <w:pPr>
        <w:pStyle w:val="GuideLead"/>
      </w:pPr>
      <w:r>
        <w:t>Apply time-based storage or service charges by day, week, hour or another agreed period.</w:t>
      </w:r>
    </w:p>
    <w:tbl>
      <w:tblPr>
        <w:tblW w:type="dxa" w:w="9695"/>
        <w:jc w:val="center"/>
        <w:tblLayout w:type="fixed"/>
        <w:tblLook w:firstColumn="1" w:firstRow="1" w:lastColumn="0" w:lastRow="0" w:noHBand="0" w:noVBand="1" w:val="04A0"/>
      </w:tblPr>
      <w:tblGrid>
        <w:gridCol w:w="3288"/>
        <w:gridCol w:w="6407"/>
      </w:tblGrid>
      <w:tr>
        <w:trPr>
          <w:tblHeader w:val="true"/>
        </w:trPr>
        <w:tc>
          <w:tcPr>
            <w:tcW w:type="dxa" w:w="328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E8F2F0" w:val="clear"/>
          </w:tcPr>
          <w:p>
            <w:pPr>
              <w:keepNext w:val="0"/>
              <w:spacing w:before="0" w:after="0" w:line="264" w:lineRule="auto"/>
            </w:pPr>
            <w:r>
              <w:rPr>
                <w:rFonts w:ascii="Arial" w:hAnsi="Arial" w:eastAsia="Arial"/>
                <w:b w:val="0"/>
                <w:i w:val="0"/>
                <w:color w:val="00645E"/>
                <w:sz w:val="17"/>
              </w:rPr>
              <w:t>Pricing method</w:t>
            </w:r>
          </w:p>
        </w:tc>
        <w:tc>
          <w:tcPr>
            <w:tcW w:type="dxa" w:w="6406"/>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E8F2F0" w:val="clear"/>
          </w:tcPr>
          <w:p>
            <w:pPr>
              <w:keepNext w:val="0"/>
              <w:spacing w:before="0" w:after="0" w:line="264" w:lineRule="auto"/>
            </w:pPr>
            <w:r>
              <w:rPr>
                <w:rFonts w:ascii="Arial" w:hAnsi="Arial" w:eastAsia="Arial"/>
                <w:b w:val="0"/>
                <w:i w:val="0"/>
                <w:color w:val="00645E"/>
                <w:sz w:val="17"/>
              </w:rPr>
              <w:t>How it behaves</w:t>
            </w:r>
          </w:p>
        </w:tc>
      </w:tr>
      <w:tr>
        <w:tc>
          <w:tcPr>
            <w:tcW w:type="dxa" w:w="328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FFFFF" w:val="clear"/>
          </w:tcPr>
          <w:p>
            <w:pPr>
              <w:keepNext w:val="0"/>
              <w:spacing w:before="0" w:after="0" w:line="264" w:lineRule="auto"/>
            </w:pPr>
            <w:r>
              <w:rPr>
                <w:rFonts w:ascii="Arial" w:hAnsi="Arial" w:eastAsia="Arial"/>
                <w:b w:val="0"/>
                <w:i w:val="0"/>
                <w:color w:val="00645E"/>
                <w:sz w:val="17"/>
              </w:rPr>
              <w:t>Storage time</w:t>
            </w:r>
          </w:p>
        </w:tc>
        <w:tc>
          <w:tcPr>
            <w:tcW w:type="dxa" w:w="6406"/>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FFFFF" w:val="clear"/>
          </w:tcPr>
          <w:p>
            <w:pPr>
              <w:keepNext w:val="0"/>
              <w:spacing w:before="0" w:after="0" w:line="264" w:lineRule="auto"/>
            </w:pPr>
            <w:r>
              <w:rPr>
                <w:rFonts w:ascii="Arial" w:hAnsi="Arial" w:eastAsia="Arial"/>
                <w:b w:val="0"/>
                <w:i w:val="0"/>
                <w:color w:val="111817"/>
                <w:sz w:val="17"/>
              </w:rPr>
              <w:t>Result uses elapsed eligible time x the applicable rate or band.</w:t>
            </w:r>
          </w:p>
        </w:tc>
      </w:tr>
    </w:tbl>
    <w:p>
      <w:pPr>
        <w:keepNext w:val="0"/>
        <w:spacing w:before="0" w:after="100" w:line="276" w:lineRule="auto"/>
      </w:pPr>
      <w:r>
        <w:rPr>
          <w:rFonts w:ascii="Arial" w:hAnsi="Arial" w:eastAsia="Arial"/>
          <w:b w:val="0"/>
          <w:i w:val="0"/>
          <w:color w:val="111817"/>
          <w:sz w:val="4"/>
        </w:rPr>
      </w:r>
    </w:p>
    <w:tbl>
      <w:tblPr>
        <w:tblW w:type="dxa" w:w="9695"/>
        <w:jc w:val="center"/>
        <w:tblLayout w:type="fixed"/>
        <w:tblLook w:firstColumn="1" w:firstRow="1" w:lastColumn="0" w:lastRow="0" w:noHBand="0" w:noVBand="1" w:val="04A0"/>
      </w:tblPr>
      <w:tblGrid>
        <w:gridCol w:w="4847"/>
        <w:gridCol w:w="4847"/>
      </w:tblGrid>
      <w:tr>
        <w:tc>
          <w:tcPr>
            <w:tcW w:type="dxa" w:w="4847"/>
            <w:tcBorders>
              <w:top w:val="single" w:sz="5" w:space="0" w:color="CDDCD9"/>
              <w:left w:val="single" w:sz="5" w:space="0" w:color="CDDCD9"/>
              <w:bottom w:val="single" w:sz="5" w:space="0" w:color="CDDCD9"/>
              <w:right w:val="single" w:sz="5" w:space="0" w:color="CDDCD9"/>
            </w:tcBorders>
            <w:shd w:fill="F3F7F6" w:val="clear"/>
            <w:tcMar>
              <w:top w:w="120" w:type="dxa"/>
              <w:start w:w="150" w:type="dxa"/>
              <w:bottom w:w="130" w:type="dxa"/>
              <w:end w:w="150" w:type="dxa"/>
            </w:tcMar>
            <w:vAlign w:val="top"/>
          </w:tcPr>
          <w:p>
            <w:pPr>
              <w:keepNext w:val="0"/>
              <w:spacing w:before="0" w:after="0" w:line="264" w:lineRule="auto"/>
            </w:pPr>
            <w:r>
              <w:rPr>
                <w:rFonts w:ascii="Arial" w:hAnsi="Arial" w:eastAsia="Arial"/>
                <w:b w:val="0"/>
                <w:i w:val="0"/>
                <w:color w:val="00645E"/>
                <w:sz w:val="18"/>
              </w:rPr>
              <w:t>Inputs</w:t>
            </w:r>
          </w:p>
          <w:p>
            <w:pPr>
              <w:pStyle w:val="ListBullet"/>
              <w:keepNext w:val="0"/>
              <w:spacing w:before="0" w:after="0" w:line="245" w:lineRule="auto"/>
              <w:ind w:left="198" w:hanging="102"/>
            </w:pPr>
            <w:r>
              <w:rPr>
                <w:rFonts w:ascii="Arial" w:hAnsi="Arial" w:eastAsia="Arial"/>
                <w:b w:val="0"/>
                <w:i w:val="0"/>
                <w:color w:val="111817"/>
                <w:sz w:val="17"/>
              </w:rPr>
              <w:t>Start and end event</w:t>
            </w:r>
          </w:p>
          <w:p>
            <w:pPr>
              <w:pStyle w:val="ListBullet"/>
              <w:keepNext w:val="0"/>
              <w:spacing w:before="0" w:after="0" w:line="245" w:lineRule="auto"/>
              <w:ind w:left="198" w:hanging="102"/>
            </w:pPr>
            <w:r>
              <w:rPr>
                <w:rFonts w:ascii="Arial" w:hAnsi="Arial" w:eastAsia="Arial"/>
                <w:b w:val="0"/>
                <w:i w:val="0"/>
                <w:color w:val="111817"/>
                <w:sz w:val="17"/>
              </w:rPr>
              <w:t>Time unit</w:t>
            </w:r>
          </w:p>
          <w:p>
            <w:pPr>
              <w:pStyle w:val="ListBullet"/>
              <w:keepNext w:val="0"/>
              <w:spacing w:before="0" w:after="0" w:line="245" w:lineRule="auto"/>
              <w:ind w:left="198" w:hanging="102"/>
            </w:pPr>
            <w:r>
              <w:rPr>
                <w:rFonts w:ascii="Arial" w:hAnsi="Arial" w:eastAsia="Arial"/>
                <w:b w:val="0"/>
                <w:i w:val="0"/>
                <w:color w:val="111817"/>
                <w:sz w:val="17"/>
              </w:rPr>
              <w:t>Bands</w:t>
            </w:r>
          </w:p>
          <w:p>
            <w:pPr>
              <w:pStyle w:val="ListBullet"/>
              <w:keepNext w:val="0"/>
              <w:spacing w:before="0" w:after="0" w:line="245" w:lineRule="auto"/>
              <w:ind w:left="198" w:hanging="102"/>
            </w:pPr>
            <w:r>
              <w:rPr>
                <w:rFonts w:ascii="Arial" w:hAnsi="Arial" w:eastAsia="Arial"/>
                <w:b w:val="0"/>
                <w:i w:val="0"/>
                <w:color w:val="111817"/>
                <w:sz w:val="17"/>
              </w:rPr>
              <w:t>Calendar exclusions</w:t>
            </w:r>
          </w:p>
        </w:tc>
        <w:tc>
          <w:tcPr>
            <w:tcW w:type="dxa" w:w="4847"/>
            <w:tcBorders>
              <w:top w:val="single" w:sz="5" w:space="0" w:color="CDDCD9"/>
              <w:left w:val="single" w:sz="5" w:space="0" w:color="CDDCD9"/>
              <w:bottom w:val="single" w:sz="5" w:space="0" w:color="CDDCD9"/>
              <w:right w:val="single" w:sz="5" w:space="0" w:color="CDDCD9"/>
            </w:tcBorders>
            <w:shd w:fill="F8F4EA" w:val="clear"/>
            <w:tcMar>
              <w:top w:w="120" w:type="dxa"/>
              <w:start w:w="150" w:type="dxa"/>
              <w:bottom w:w="130" w:type="dxa"/>
              <w:end w:w="150" w:type="dxa"/>
            </w:tcMar>
            <w:vAlign w:val="top"/>
          </w:tcPr>
          <w:p>
            <w:pPr>
              <w:keepNext w:val="0"/>
              <w:spacing w:before="0" w:after="0" w:line="264" w:lineRule="auto"/>
            </w:pPr>
            <w:r>
              <w:rPr>
                <w:rFonts w:ascii="Arial" w:hAnsi="Arial" w:eastAsia="Arial"/>
                <w:b w:val="0"/>
                <w:i w:val="0"/>
                <w:color w:val="00645E"/>
                <w:sz w:val="18"/>
              </w:rPr>
              <w:t>Operator safeguard</w:t>
            </w:r>
          </w:p>
          <w:p>
            <w:pPr>
              <w:keepNext w:val="0"/>
              <w:spacing w:before="0" w:after="0" w:line="276" w:lineRule="auto"/>
            </w:pPr>
            <w:r>
              <w:rPr>
                <w:rFonts w:ascii="Arial" w:hAnsi="Arial" w:eastAsia="Arial"/>
                <w:b w:val="0"/>
                <w:i w:val="0"/>
                <w:color w:val="111817"/>
                <w:sz w:val="17"/>
              </w:rPr>
              <w:t>State which events start and stop the clock, and whether weekends and public holidays are excluded.</w:t>
            </w:r>
          </w:p>
        </w:tc>
      </w:tr>
    </w:tbl>
    <w:p>
      <w:pPr>
        <w:keepNext w:val="0"/>
        <w:spacing w:before="0" w:after="100" w:line="276" w:lineRule="auto"/>
      </w:pPr>
      <w:r>
        <w:rPr>
          <w:rFonts w:ascii="Arial" w:hAnsi="Arial" w:eastAsia="Arial"/>
          <w:b w:val="0"/>
          <w:i w:val="0"/>
          <w:color w:val="111817"/>
          <w:sz w:val="4"/>
        </w:rPr>
      </w:r>
    </w:p>
    <w:tbl>
      <w:tblPr>
        <w:tblW w:type="dxa" w:w="9695"/>
        <w:jc w:val="center"/>
        <w:tblLayout w:type="fixed"/>
        <w:tblLook w:firstColumn="1" w:firstRow="1" w:lastColumn="0" w:lastRow="0" w:noHBand="0" w:noVBand="1" w:val="04A0"/>
      </w:tblPr>
      <w:tblGrid>
        <w:gridCol w:w="9695"/>
      </w:tblGrid>
      <w:tr>
        <w:tc>
          <w:tcPr>
            <w:tcW w:type="dxa" w:w="9694"/>
            <w:tcBorders>
              <w:top w:val="single" w:sz="5" w:space="0" w:color="B9D6D0"/>
              <w:left w:val="single" w:sz="5" w:space="0" w:color="B9D6D0"/>
              <w:bottom w:val="single" w:sz="5" w:space="0" w:color="B9D6D0"/>
              <w:right w:val="single" w:sz="5" w:space="0" w:color="B9D6D0"/>
            </w:tcBorders>
            <w:shd w:fill="14877D" w:val="clear"/>
            <w:tcMar>
              <w:top w:w="75" w:type="dxa"/>
              <w:start w:w="150" w:type="dxa"/>
              <w:bottom w:w="75" w:type="dxa"/>
              <w:end w:w="150" w:type="dxa"/>
            </w:tcMar>
          </w:tcPr>
          <w:p>
            <w:pPr>
              <w:keepNext w:val="0"/>
              <w:spacing w:before="0" w:after="0" w:line="264" w:lineRule="auto"/>
            </w:pPr>
            <w:r>
              <w:rPr>
                <w:rFonts w:ascii="Arial" w:hAnsi="Arial" w:eastAsia="Arial"/>
                <w:b w:val="0"/>
                <w:i w:val="0"/>
                <w:color w:val="FFFFFF"/>
                <w:sz w:val="18"/>
              </w:rPr>
              <w:t>Example</w:t>
            </w:r>
          </w:p>
        </w:tc>
      </w:tr>
      <w:tr>
        <w:tc>
          <w:tcPr>
            <w:tcW w:type="dxa" w:w="9694"/>
            <w:tcBorders>
              <w:top w:val="single" w:sz="5" w:space="0" w:color="B9D6D0"/>
              <w:left w:val="single" w:sz="5" w:space="0" w:color="B9D6D0"/>
              <w:bottom w:val="single" w:sz="5" w:space="0" w:color="B9D6D0"/>
              <w:right w:val="single" w:sz="5" w:space="0" w:color="B9D6D0"/>
            </w:tcBorders>
            <w:shd w:fill="F3F7F6" w:val="clear"/>
            <w:tcMar>
              <w:top w:w="105" w:type="dxa"/>
              <w:start w:w="150" w:type="dxa"/>
              <w:bottom w:w="105" w:type="dxa"/>
              <w:end w:w="150" w:type="dxa"/>
            </w:tcMar>
          </w:tcPr>
          <w:p>
            <w:pPr>
              <w:keepNext w:val="0"/>
              <w:spacing w:before="0" w:after="0" w:line="264" w:lineRule="auto"/>
            </w:pPr>
            <w:r>
              <w:rPr>
                <w:rFonts w:ascii="Arial" w:hAnsi="Arial" w:eastAsia="Arial"/>
                <w:b w:val="0"/>
                <w:i w:val="0"/>
                <w:color w:val="111817"/>
                <w:sz w:val="17"/>
              </w:rPr>
              <w:t>Storage: GBP 0.42 per pallet per day after two free days, excluding Sundays.</w:t>
            </w:r>
          </w:p>
        </w:tc>
      </w:tr>
    </w:tbl>
    <w:p>
      <w:pPr>
        <w:pStyle w:val="GuideHeading2"/>
      </w:pPr>
      <w:r>
        <w:t>Multideck interaction pattern</w:t>
      </w:r>
    </w:p>
    <w:p>
      <w:pPr>
        <w:pStyle w:val="GuideBody"/>
      </w:pPr>
      <w:r>
        <w:t>Choose this pricing method from a plain-language selector. Multideck then reveals only the relevant inputs, validates missing data before rating, and keeps a live explanation beside the result. The charge remains independent on the supplier and customer sides unless an operator explicitly copies it.</w:t>
      </w:r>
    </w:p>
    <w:p>
      <w:r>
        <w:br w:type="page"/>
      </w:r>
    </w:p>
    <w:p>
      <w:pPr>
        <w:pStyle w:val="GuideEyebrow"/>
      </w:pPr>
      <w:r>
        <w:t>CALCULATOR 18 / COMMERCIAL CONTROLS</w:t>
      </w:r>
    </w:p>
    <w:p>
      <w:pPr>
        <w:pStyle w:val="GuideHeading1"/>
      </w:pPr>
      <w:r>
        <w:t>Percentage bands</w:t>
      </w:r>
    </w:p>
    <w:p>
      <w:pPr>
        <w:pStyle w:val="GuideLead"/>
      </w:pPr>
      <w:r>
        <w:t>Apply different percentage rules at defined value, weight or volume thresholds.</w:t>
      </w:r>
    </w:p>
    <w:tbl>
      <w:tblPr>
        <w:tblW w:type="dxa" w:w="9695"/>
        <w:jc w:val="center"/>
        <w:tblLayout w:type="fixed"/>
        <w:tblLook w:firstColumn="1" w:firstRow="1" w:lastColumn="0" w:lastRow="0" w:noHBand="0" w:noVBand="1" w:val="04A0"/>
      </w:tblPr>
      <w:tblGrid>
        <w:gridCol w:w="3288"/>
        <w:gridCol w:w="6407"/>
      </w:tblGrid>
      <w:tr>
        <w:trPr>
          <w:tblHeader w:val="true"/>
        </w:trPr>
        <w:tc>
          <w:tcPr>
            <w:tcW w:type="dxa" w:w="328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E8F2F0" w:val="clear"/>
          </w:tcPr>
          <w:p>
            <w:pPr>
              <w:keepNext w:val="0"/>
              <w:spacing w:before="0" w:after="0" w:line="264" w:lineRule="auto"/>
            </w:pPr>
            <w:r>
              <w:rPr>
                <w:rFonts w:ascii="Arial" w:hAnsi="Arial" w:eastAsia="Arial"/>
                <w:b w:val="0"/>
                <w:i w:val="0"/>
                <w:color w:val="00645E"/>
                <w:sz w:val="17"/>
              </w:rPr>
              <w:t>Pricing method</w:t>
            </w:r>
          </w:p>
        </w:tc>
        <w:tc>
          <w:tcPr>
            <w:tcW w:type="dxa" w:w="6406"/>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E8F2F0" w:val="clear"/>
          </w:tcPr>
          <w:p>
            <w:pPr>
              <w:keepNext w:val="0"/>
              <w:spacing w:before="0" w:after="0" w:line="264" w:lineRule="auto"/>
            </w:pPr>
            <w:r>
              <w:rPr>
                <w:rFonts w:ascii="Arial" w:hAnsi="Arial" w:eastAsia="Arial"/>
                <w:b w:val="0"/>
                <w:i w:val="0"/>
                <w:color w:val="00645E"/>
                <w:sz w:val="17"/>
              </w:rPr>
              <w:t>How it behaves</w:t>
            </w:r>
          </w:p>
        </w:tc>
      </w:tr>
      <w:tr>
        <w:tc>
          <w:tcPr>
            <w:tcW w:type="dxa" w:w="328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FFFFF" w:val="clear"/>
          </w:tcPr>
          <w:p>
            <w:pPr>
              <w:keepNext w:val="0"/>
              <w:spacing w:before="0" w:after="0" w:line="264" w:lineRule="auto"/>
            </w:pPr>
            <w:r>
              <w:rPr>
                <w:rFonts w:ascii="Arial" w:hAnsi="Arial" w:eastAsia="Arial"/>
                <w:b w:val="0"/>
                <w:i w:val="0"/>
                <w:color w:val="00645E"/>
                <w:sz w:val="17"/>
              </w:rPr>
              <w:t>Tiered percent</w:t>
            </w:r>
          </w:p>
        </w:tc>
        <w:tc>
          <w:tcPr>
            <w:tcW w:type="dxa" w:w="6406"/>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FFFFF" w:val="clear"/>
          </w:tcPr>
          <w:p>
            <w:pPr>
              <w:keepNext w:val="0"/>
              <w:spacing w:before="0" w:after="0" w:line="264" w:lineRule="auto"/>
            </w:pPr>
            <w:r>
              <w:rPr>
                <w:rFonts w:ascii="Arial" w:hAnsi="Arial" w:eastAsia="Arial"/>
                <w:b w:val="0"/>
                <w:i w:val="0"/>
                <w:color w:val="111817"/>
                <w:sz w:val="17"/>
              </w:rPr>
              <w:t>Result applies the percentage associated with the matching or progressive band.</w:t>
            </w:r>
          </w:p>
        </w:tc>
      </w:tr>
    </w:tbl>
    <w:p>
      <w:pPr>
        <w:keepNext w:val="0"/>
        <w:spacing w:before="0" w:after="100" w:line="276" w:lineRule="auto"/>
      </w:pPr>
      <w:r>
        <w:rPr>
          <w:rFonts w:ascii="Arial" w:hAnsi="Arial" w:eastAsia="Arial"/>
          <w:b w:val="0"/>
          <w:i w:val="0"/>
          <w:color w:val="111817"/>
          <w:sz w:val="4"/>
        </w:rPr>
      </w:r>
    </w:p>
    <w:tbl>
      <w:tblPr>
        <w:tblW w:type="dxa" w:w="9695"/>
        <w:jc w:val="center"/>
        <w:tblLayout w:type="fixed"/>
        <w:tblLook w:firstColumn="1" w:firstRow="1" w:lastColumn="0" w:lastRow="0" w:noHBand="0" w:noVBand="1" w:val="04A0"/>
      </w:tblPr>
      <w:tblGrid>
        <w:gridCol w:w="4847"/>
        <w:gridCol w:w="4847"/>
      </w:tblGrid>
      <w:tr>
        <w:tc>
          <w:tcPr>
            <w:tcW w:type="dxa" w:w="4847"/>
            <w:tcBorders>
              <w:top w:val="single" w:sz="5" w:space="0" w:color="CDDCD9"/>
              <w:left w:val="single" w:sz="5" w:space="0" w:color="CDDCD9"/>
              <w:bottom w:val="single" w:sz="5" w:space="0" w:color="CDDCD9"/>
              <w:right w:val="single" w:sz="5" w:space="0" w:color="CDDCD9"/>
            </w:tcBorders>
            <w:shd w:fill="F3F7F6" w:val="clear"/>
            <w:tcMar>
              <w:top w:w="120" w:type="dxa"/>
              <w:start w:w="150" w:type="dxa"/>
              <w:bottom w:w="130" w:type="dxa"/>
              <w:end w:w="150" w:type="dxa"/>
            </w:tcMar>
            <w:vAlign w:val="top"/>
          </w:tcPr>
          <w:p>
            <w:pPr>
              <w:keepNext w:val="0"/>
              <w:spacing w:before="0" w:after="0" w:line="264" w:lineRule="auto"/>
            </w:pPr>
            <w:r>
              <w:rPr>
                <w:rFonts w:ascii="Arial" w:hAnsi="Arial" w:eastAsia="Arial"/>
                <w:b w:val="0"/>
                <w:i w:val="0"/>
                <w:color w:val="00645E"/>
                <w:sz w:val="18"/>
              </w:rPr>
              <w:t>Inputs</w:t>
            </w:r>
          </w:p>
          <w:p>
            <w:pPr>
              <w:pStyle w:val="ListBullet"/>
              <w:keepNext w:val="0"/>
              <w:spacing w:before="0" w:after="0" w:line="245" w:lineRule="auto"/>
              <w:ind w:left="198" w:hanging="102"/>
            </w:pPr>
            <w:r>
              <w:rPr>
                <w:rFonts w:ascii="Arial" w:hAnsi="Arial" w:eastAsia="Arial"/>
                <w:b w:val="0"/>
                <w:i w:val="0"/>
                <w:color w:val="111817"/>
                <w:sz w:val="17"/>
              </w:rPr>
              <w:t>Break thresholds</w:t>
            </w:r>
          </w:p>
          <w:p>
            <w:pPr>
              <w:pStyle w:val="ListBullet"/>
              <w:keepNext w:val="0"/>
              <w:spacing w:before="0" w:after="0" w:line="245" w:lineRule="auto"/>
              <w:ind w:left="198" w:hanging="102"/>
            </w:pPr>
            <w:r>
              <w:rPr>
                <w:rFonts w:ascii="Arial" w:hAnsi="Arial" w:eastAsia="Arial"/>
                <w:b w:val="0"/>
                <w:i w:val="0"/>
                <w:color w:val="111817"/>
                <w:sz w:val="17"/>
              </w:rPr>
              <w:t>Percentages</w:t>
            </w:r>
          </w:p>
          <w:p>
            <w:pPr>
              <w:pStyle w:val="ListBullet"/>
              <w:keepNext w:val="0"/>
              <w:spacing w:before="0" w:after="0" w:line="245" w:lineRule="auto"/>
              <w:ind w:left="198" w:hanging="102"/>
            </w:pPr>
            <w:r>
              <w:rPr>
                <w:rFonts w:ascii="Arial" w:hAnsi="Arial" w:eastAsia="Arial"/>
                <w:b w:val="0"/>
                <w:i w:val="0"/>
                <w:color w:val="111817"/>
                <w:sz w:val="17"/>
              </w:rPr>
              <w:t>Calculation base</w:t>
            </w:r>
          </w:p>
          <w:p>
            <w:pPr>
              <w:pStyle w:val="ListBullet"/>
              <w:keepNext w:val="0"/>
              <w:spacing w:before="0" w:after="0" w:line="245" w:lineRule="auto"/>
              <w:ind w:left="198" w:hanging="102"/>
            </w:pPr>
            <w:r>
              <w:rPr>
                <w:rFonts w:ascii="Arial" w:hAnsi="Arial" w:eastAsia="Arial"/>
                <w:b w:val="0"/>
                <w:i w:val="0"/>
                <w:color w:val="111817"/>
                <w:sz w:val="17"/>
              </w:rPr>
              <w:t>Target charge or group</w:t>
            </w:r>
          </w:p>
        </w:tc>
        <w:tc>
          <w:tcPr>
            <w:tcW w:type="dxa" w:w="4847"/>
            <w:tcBorders>
              <w:top w:val="single" w:sz="5" w:space="0" w:color="CDDCD9"/>
              <w:left w:val="single" w:sz="5" w:space="0" w:color="CDDCD9"/>
              <w:bottom w:val="single" w:sz="5" w:space="0" w:color="CDDCD9"/>
              <w:right w:val="single" w:sz="5" w:space="0" w:color="CDDCD9"/>
            </w:tcBorders>
            <w:shd w:fill="F8F4EA" w:val="clear"/>
            <w:tcMar>
              <w:top w:w="120" w:type="dxa"/>
              <w:start w:w="150" w:type="dxa"/>
              <w:bottom w:w="130" w:type="dxa"/>
              <w:end w:w="150" w:type="dxa"/>
            </w:tcMar>
            <w:vAlign w:val="top"/>
          </w:tcPr>
          <w:p>
            <w:pPr>
              <w:keepNext w:val="0"/>
              <w:spacing w:before="0" w:after="0" w:line="264" w:lineRule="auto"/>
            </w:pPr>
            <w:r>
              <w:rPr>
                <w:rFonts w:ascii="Arial" w:hAnsi="Arial" w:eastAsia="Arial"/>
                <w:b w:val="0"/>
                <w:i w:val="0"/>
                <w:color w:val="00645E"/>
                <w:sz w:val="18"/>
              </w:rPr>
              <w:t>Operator safeguard</w:t>
            </w:r>
          </w:p>
          <w:p>
            <w:pPr>
              <w:keepNext w:val="0"/>
              <w:spacing w:before="0" w:after="0" w:line="276" w:lineRule="auto"/>
            </w:pPr>
            <w:r>
              <w:rPr>
                <w:rFonts w:ascii="Arial" w:hAnsi="Arial" w:eastAsia="Arial"/>
                <w:b w:val="0"/>
                <w:i w:val="0"/>
                <w:color w:val="111817"/>
                <w:sz w:val="17"/>
              </w:rPr>
              <w:t>Show whether bands are based on values or measures, and list the charges or groups affected.</w:t>
            </w:r>
          </w:p>
        </w:tc>
      </w:tr>
    </w:tbl>
    <w:p>
      <w:pPr>
        <w:keepNext w:val="0"/>
        <w:spacing w:before="0" w:after="100" w:line="276" w:lineRule="auto"/>
      </w:pPr>
      <w:r>
        <w:rPr>
          <w:rFonts w:ascii="Arial" w:hAnsi="Arial" w:eastAsia="Arial"/>
          <w:b w:val="0"/>
          <w:i w:val="0"/>
          <w:color w:val="111817"/>
          <w:sz w:val="4"/>
        </w:rPr>
      </w:r>
    </w:p>
    <w:tbl>
      <w:tblPr>
        <w:tblW w:type="dxa" w:w="9695"/>
        <w:jc w:val="center"/>
        <w:tblLayout w:type="fixed"/>
        <w:tblLook w:firstColumn="1" w:firstRow="1" w:lastColumn="0" w:lastRow="0" w:noHBand="0" w:noVBand="1" w:val="04A0"/>
      </w:tblPr>
      <w:tblGrid>
        <w:gridCol w:w="9695"/>
      </w:tblGrid>
      <w:tr>
        <w:tc>
          <w:tcPr>
            <w:tcW w:type="dxa" w:w="9694"/>
            <w:tcBorders>
              <w:top w:val="single" w:sz="5" w:space="0" w:color="B9D6D0"/>
              <w:left w:val="single" w:sz="5" w:space="0" w:color="B9D6D0"/>
              <w:bottom w:val="single" w:sz="5" w:space="0" w:color="B9D6D0"/>
              <w:right w:val="single" w:sz="5" w:space="0" w:color="B9D6D0"/>
            </w:tcBorders>
            <w:shd w:fill="14877D" w:val="clear"/>
            <w:tcMar>
              <w:top w:w="75" w:type="dxa"/>
              <w:start w:w="150" w:type="dxa"/>
              <w:bottom w:w="75" w:type="dxa"/>
              <w:end w:w="150" w:type="dxa"/>
            </w:tcMar>
          </w:tcPr>
          <w:p>
            <w:pPr>
              <w:keepNext w:val="0"/>
              <w:spacing w:before="0" w:after="0" w:line="264" w:lineRule="auto"/>
            </w:pPr>
            <w:r>
              <w:rPr>
                <w:rFonts w:ascii="Arial" w:hAnsi="Arial" w:eastAsia="Arial"/>
                <w:b w:val="0"/>
                <w:i w:val="0"/>
                <w:color w:val="FFFFFF"/>
                <w:sz w:val="18"/>
              </w:rPr>
              <w:t>Example</w:t>
            </w:r>
          </w:p>
        </w:tc>
      </w:tr>
      <w:tr>
        <w:tc>
          <w:tcPr>
            <w:tcW w:type="dxa" w:w="9694"/>
            <w:tcBorders>
              <w:top w:val="single" w:sz="5" w:space="0" w:color="B9D6D0"/>
              <w:left w:val="single" w:sz="5" w:space="0" w:color="B9D6D0"/>
              <w:bottom w:val="single" w:sz="5" w:space="0" w:color="B9D6D0"/>
              <w:right w:val="single" w:sz="5" w:space="0" w:color="B9D6D0"/>
            </w:tcBorders>
            <w:shd w:fill="F3F7F6" w:val="clear"/>
            <w:tcMar>
              <w:top w:w="105" w:type="dxa"/>
              <w:start w:w="150" w:type="dxa"/>
              <w:bottom w:w="105" w:type="dxa"/>
              <w:end w:w="150" w:type="dxa"/>
            </w:tcMar>
          </w:tcPr>
          <w:p>
            <w:pPr>
              <w:keepNext w:val="0"/>
              <w:spacing w:before="0" w:after="0" w:line="264" w:lineRule="auto"/>
            </w:pPr>
            <w:r>
              <w:rPr>
                <w:rFonts w:ascii="Arial" w:hAnsi="Arial" w:eastAsia="Arial"/>
                <w:b w:val="0"/>
                <w:i w:val="0"/>
                <w:color w:val="111817"/>
                <w:sz w:val="17"/>
              </w:rPr>
              <w:t>Hazardous-goods supplement: 8 percent under GBP 2,000 value, 5 percent at GBP 2,000 and above.</w:t>
            </w:r>
          </w:p>
        </w:tc>
      </w:tr>
    </w:tbl>
    <w:p>
      <w:pPr>
        <w:pStyle w:val="GuideHeading2"/>
      </w:pPr>
      <w:r>
        <w:t>Multideck interaction pattern</w:t>
      </w:r>
    </w:p>
    <w:p>
      <w:pPr>
        <w:pStyle w:val="GuideBody"/>
      </w:pPr>
      <w:r>
        <w:t>Choose this pricing method from a plain-language selector. Multideck then reveals only the relevant inputs, validates missing data before rating, and keeps a live explanation beside the result. The charge remains independent on the supplier and customer sides unless an operator explicitly copies it.</w:t>
      </w:r>
    </w:p>
    <w:p>
      <w:r>
        <w:br w:type="page"/>
      </w:r>
    </w:p>
    <w:p>
      <w:pPr>
        <w:pStyle w:val="GuideEyebrow"/>
      </w:pPr>
      <w:r>
        <w:t>CALCULATOR 19 / FREIGHT PRICING</w:t>
      </w:r>
    </w:p>
    <w:p>
      <w:pPr>
        <w:pStyle w:val="GuideHeading1"/>
      </w:pPr>
      <w:r>
        <w:t>Best outcome rate</w:t>
      </w:r>
    </w:p>
    <w:p>
      <w:pPr>
        <w:pStyle w:val="GuideLead"/>
      </w:pPr>
      <w:r>
        <w:t>Select the highest outcome from independently calculated minimum, weight, volume and fixed-price rules.</w:t>
      </w:r>
    </w:p>
    <w:tbl>
      <w:tblPr>
        <w:tblW w:type="dxa" w:w="9695"/>
        <w:jc w:val="center"/>
        <w:tblLayout w:type="fixed"/>
        <w:tblLook w:firstColumn="1" w:firstRow="1" w:lastColumn="0" w:lastRow="0" w:noHBand="0" w:noVBand="1" w:val="04A0"/>
      </w:tblPr>
      <w:tblGrid>
        <w:gridCol w:w="3288"/>
        <w:gridCol w:w="6407"/>
      </w:tblGrid>
      <w:tr>
        <w:trPr>
          <w:tblHeader w:val="true"/>
        </w:trPr>
        <w:tc>
          <w:tcPr>
            <w:tcW w:type="dxa" w:w="328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E8F2F0" w:val="clear"/>
          </w:tcPr>
          <w:p>
            <w:pPr>
              <w:keepNext w:val="0"/>
              <w:spacing w:before="0" w:after="0" w:line="264" w:lineRule="auto"/>
            </w:pPr>
            <w:r>
              <w:rPr>
                <w:rFonts w:ascii="Arial" w:hAnsi="Arial" w:eastAsia="Arial"/>
                <w:b w:val="0"/>
                <w:i w:val="0"/>
                <w:color w:val="00645E"/>
                <w:sz w:val="17"/>
              </w:rPr>
              <w:t>Pricing method</w:t>
            </w:r>
          </w:p>
        </w:tc>
        <w:tc>
          <w:tcPr>
            <w:tcW w:type="dxa" w:w="6406"/>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E8F2F0" w:val="clear"/>
          </w:tcPr>
          <w:p>
            <w:pPr>
              <w:keepNext w:val="0"/>
              <w:spacing w:before="0" w:after="0" w:line="264" w:lineRule="auto"/>
            </w:pPr>
            <w:r>
              <w:rPr>
                <w:rFonts w:ascii="Arial" w:hAnsi="Arial" w:eastAsia="Arial"/>
                <w:b w:val="0"/>
                <w:i w:val="0"/>
                <w:color w:val="00645E"/>
                <w:sz w:val="17"/>
              </w:rPr>
              <w:t>How it behaves</w:t>
            </w:r>
          </w:p>
        </w:tc>
      </w:tr>
      <w:tr>
        <w:tc>
          <w:tcPr>
            <w:tcW w:type="dxa" w:w="328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FFFFF" w:val="clear"/>
          </w:tcPr>
          <w:p>
            <w:pPr>
              <w:keepNext w:val="0"/>
              <w:spacing w:before="0" w:after="0" w:line="264" w:lineRule="auto"/>
            </w:pPr>
            <w:r>
              <w:rPr>
                <w:rFonts w:ascii="Arial" w:hAnsi="Arial" w:eastAsia="Arial"/>
                <w:b w:val="0"/>
                <w:i w:val="0"/>
                <w:color w:val="00645E"/>
                <w:sz w:val="17"/>
              </w:rPr>
              <w:t>Highest charge wins</w:t>
            </w:r>
          </w:p>
        </w:tc>
        <w:tc>
          <w:tcPr>
            <w:tcW w:type="dxa" w:w="6406"/>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FFFFF" w:val="clear"/>
          </w:tcPr>
          <w:p>
            <w:pPr>
              <w:keepNext w:val="0"/>
              <w:spacing w:before="0" w:after="0" w:line="264" w:lineRule="auto"/>
            </w:pPr>
            <w:r>
              <w:rPr>
                <w:rFonts w:ascii="Arial" w:hAnsi="Arial" w:eastAsia="Arial"/>
                <w:b w:val="0"/>
                <w:i w:val="0"/>
                <w:color w:val="111817"/>
                <w:sz w:val="17"/>
              </w:rPr>
              <w:t>Result = highest eligible outcome among the configured charge tests.</w:t>
            </w:r>
          </w:p>
        </w:tc>
      </w:tr>
    </w:tbl>
    <w:p>
      <w:pPr>
        <w:keepNext w:val="0"/>
        <w:spacing w:before="0" w:after="100" w:line="276" w:lineRule="auto"/>
      </w:pPr>
      <w:r>
        <w:rPr>
          <w:rFonts w:ascii="Arial" w:hAnsi="Arial" w:eastAsia="Arial"/>
          <w:b w:val="0"/>
          <w:i w:val="0"/>
          <w:color w:val="111817"/>
          <w:sz w:val="4"/>
        </w:rPr>
      </w:r>
    </w:p>
    <w:tbl>
      <w:tblPr>
        <w:tblW w:type="dxa" w:w="9695"/>
        <w:jc w:val="center"/>
        <w:tblLayout w:type="fixed"/>
        <w:tblLook w:firstColumn="1" w:firstRow="1" w:lastColumn="0" w:lastRow="0" w:noHBand="0" w:noVBand="1" w:val="04A0"/>
      </w:tblPr>
      <w:tblGrid>
        <w:gridCol w:w="4847"/>
        <w:gridCol w:w="4847"/>
      </w:tblGrid>
      <w:tr>
        <w:tc>
          <w:tcPr>
            <w:tcW w:type="dxa" w:w="4847"/>
            <w:tcBorders>
              <w:top w:val="single" w:sz="5" w:space="0" w:color="CDDCD9"/>
              <w:left w:val="single" w:sz="5" w:space="0" w:color="CDDCD9"/>
              <w:bottom w:val="single" w:sz="5" w:space="0" w:color="CDDCD9"/>
              <w:right w:val="single" w:sz="5" w:space="0" w:color="CDDCD9"/>
            </w:tcBorders>
            <w:shd w:fill="F3F7F6" w:val="clear"/>
            <w:tcMar>
              <w:top w:w="120" w:type="dxa"/>
              <w:start w:w="150" w:type="dxa"/>
              <w:bottom w:w="130" w:type="dxa"/>
              <w:end w:w="150" w:type="dxa"/>
            </w:tcMar>
            <w:vAlign w:val="top"/>
          </w:tcPr>
          <w:p>
            <w:pPr>
              <w:keepNext w:val="0"/>
              <w:spacing w:before="0" w:after="0" w:line="264" w:lineRule="auto"/>
            </w:pPr>
            <w:r>
              <w:rPr>
                <w:rFonts w:ascii="Arial" w:hAnsi="Arial" w:eastAsia="Arial"/>
                <w:b w:val="0"/>
                <w:i w:val="0"/>
                <w:color w:val="00645E"/>
                <w:sz w:val="18"/>
              </w:rPr>
              <w:t>Inputs</w:t>
            </w:r>
          </w:p>
          <w:p>
            <w:pPr>
              <w:pStyle w:val="ListBullet"/>
              <w:keepNext w:val="0"/>
              <w:spacing w:before="0" w:after="0" w:line="245" w:lineRule="auto"/>
              <w:ind w:left="198" w:hanging="102"/>
            </w:pPr>
            <w:r>
              <w:rPr>
                <w:rFonts w:ascii="Arial" w:hAnsi="Arial" w:eastAsia="Arial"/>
                <w:b w:val="0"/>
                <w:i w:val="0"/>
                <w:color w:val="111817"/>
                <w:sz w:val="17"/>
              </w:rPr>
              <w:t>Minimum rate</w:t>
            </w:r>
          </w:p>
          <w:p>
            <w:pPr>
              <w:pStyle w:val="ListBullet"/>
              <w:keepNext w:val="0"/>
              <w:spacing w:before="0" w:after="0" w:line="245" w:lineRule="auto"/>
              <w:ind w:left="198" w:hanging="102"/>
            </w:pPr>
            <w:r>
              <w:rPr>
                <w:rFonts w:ascii="Arial" w:hAnsi="Arial" w:eastAsia="Arial"/>
                <w:b w:val="0"/>
                <w:i w:val="0"/>
                <w:color w:val="111817"/>
                <w:sz w:val="17"/>
              </w:rPr>
              <w:t>Weight rate</w:t>
            </w:r>
          </w:p>
          <w:p>
            <w:pPr>
              <w:pStyle w:val="ListBullet"/>
              <w:keepNext w:val="0"/>
              <w:spacing w:before="0" w:after="0" w:line="245" w:lineRule="auto"/>
              <w:ind w:left="198" w:hanging="102"/>
            </w:pPr>
            <w:r>
              <w:rPr>
                <w:rFonts w:ascii="Arial" w:hAnsi="Arial" w:eastAsia="Arial"/>
                <w:b w:val="0"/>
                <w:i w:val="0"/>
                <w:color w:val="111817"/>
                <w:sz w:val="17"/>
              </w:rPr>
              <w:t>Volume rate</w:t>
            </w:r>
          </w:p>
          <w:p>
            <w:pPr>
              <w:pStyle w:val="ListBullet"/>
              <w:keepNext w:val="0"/>
              <w:spacing w:before="0" w:after="0" w:line="245" w:lineRule="auto"/>
              <w:ind w:left="198" w:hanging="102"/>
            </w:pPr>
            <w:r>
              <w:rPr>
                <w:rFonts w:ascii="Arial" w:hAnsi="Arial" w:eastAsia="Arial"/>
                <w:b w:val="0"/>
                <w:i w:val="0"/>
                <w:color w:val="111817"/>
                <w:sz w:val="17"/>
              </w:rPr>
              <w:t>Flat amount</w:t>
            </w:r>
          </w:p>
          <w:p>
            <w:pPr>
              <w:pStyle w:val="ListBullet"/>
              <w:keepNext w:val="0"/>
              <w:spacing w:before="0" w:after="0" w:line="245" w:lineRule="auto"/>
              <w:ind w:left="198" w:hanging="102"/>
            </w:pPr>
            <w:r>
              <w:rPr>
                <w:rFonts w:ascii="Arial" w:hAnsi="Arial" w:eastAsia="Arial"/>
                <w:b w:val="0"/>
                <w:i w:val="0"/>
                <w:color w:val="111817"/>
                <w:sz w:val="17"/>
              </w:rPr>
              <w:t>Multiples</w:t>
            </w:r>
          </w:p>
        </w:tc>
        <w:tc>
          <w:tcPr>
            <w:tcW w:type="dxa" w:w="4847"/>
            <w:tcBorders>
              <w:top w:val="single" w:sz="5" w:space="0" w:color="CDDCD9"/>
              <w:left w:val="single" w:sz="5" w:space="0" w:color="CDDCD9"/>
              <w:bottom w:val="single" w:sz="5" w:space="0" w:color="CDDCD9"/>
              <w:right w:val="single" w:sz="5" w:space="0" w:color="CDDCD9"/>
            </w:tcBorders>
            <w:shd w:fill="F8F4EA" w:val="clear"/>
            <w:tcMar>
              <w:top w:w="120" w:type="dxa"/>
              <w:start w:w="150" w:type="dxa"/>
              <w:bottom w:w="130" w:type="dxa"/>
              <w:end w:w="150" w:type="dxa"/>
            </w:tcMar>
            <w:vAlign w:val="top"/>
          </w:tcPr>
          <w:p>
            <w:pPr>
              <w:keepNext w:val="0"/>
              <w:spacing w:before="0" w:after="0" w:line="264" w:lineRule="auto"/>
            </w:pPr>
            <w:r>
              <w:rPr>
                <w:rFonts w:ascii="Arial" w:hAnsi="Arial" w:eastAsia="Arial"/>
                <w:b w:val="0"/>
                <w:i w:val="0"/>
                <w:color w:val="00645E"/>
                <w:sz w:val="18"/>
              </w:rPr>
              <w:t>Operator safeguard</w:t>
            </w:r>
          </w:p>
          <w:p>
            <w:pPr>
              <w:keepNext w:val="0"/>
              <w:spacing w:before="0" w:after="0" w:line="276" w:lineRule="auto"/>
            </w:pPr>
            <w:r>
              <w:rPr>
                <w:rFonts w:ascii="Arial" w:hAnsi="Arial" w:eastAsia="Arial"/>
                <w:b w:val="0"/>
                <w:i w:val="0"/>
                <w:color w:val="111817"/>
                <w:sz w:val="17"/>
              </w:rPr>
              <w:t>Show every candidate calculation and clearly identify the winning one. Do not hide a lower alternative.</w:t>
            </w:r>
          </w:p>
        </w:tc>
      </w:tr>
    </w:tbl>
    <w:p>
      <w:pPr>
        <w:keepNext w:val="0"/>
        <w:spacing w:before="0" w:after="100" w:line="276" w:lineRule="auto"/>
      </w:pPr>
      <w:r>
        <w:rPr>
          <w:rFonts w:ascii="Arial" w:hAnsi="Arial" w:eastAsia="Arial"/>
          <w:b w:val="0"/>
          <w:i w:val="0"/>
          <w:color w:val="111817"/>
          <w:sz w:val="4"/>
        </w:rPr>
      </w:r>
    </w:p>
    <w:tbl>
      <w:tblPr>
        <w:tblW w:type="dxa" w:w="9695"/>
        <w:jc w:val="center"/>
        <w:tblLayout w:type="fixed"/>
        <w:tblLook w:firstColumn="1" w:firstRow="1" w:lastColumn="0" w:lastRow="0" w:noHBand="0" w:noVBand="1" w:val="04A0"/>
      </w:tblPr>
      <w:tblGrid>
        <w:gridCol w:w="9695"/>
      </w:tblGrid>
      <w:tr>
        <w:tc>
          <w:tcPr>
            <w:tcW w:type="dxa" w:w="9694"/>
            <w:tcBorders>
              <w:top w:val="single" w:sz="5" w:space="0" w:color="B9D6D0"/>
              <w:left w:val="single" w:sz="5" w:space="0" w:color="B9D6D0"/>
              <w:bottom w:val="single" w:sz="5" w:space="0" w:color="B9D6D0"/>
              <w:right w:val="single" w:sz="5" w:space="0" w:color="B9D6D0"/>
            </w:tcBorders>
            <w:shd w:fill="14877D" w:val="clear"/>
            <w:tcMar>
              <w:top w:w="75" w:type="dxa"/>
              <w:start w:w="150" w:type="dxa"/>
              <w:bottom w:w="75" w:type="dxa"/>
              <w:end w:w="150" w:type="dxa"/>
            </w:tcMar>
          </w:tcPr>
          <w:p>
            <w:pPr>
              <w:keepNext w:val="0"/>
              <w:spacing w:before="0" w:after="0" w:line="264" w:lineRule="auto"/>
            </w:pPr>
            <w:r>
              <w:rPr>
                <w:rFonts w:ascii="Arial" w:hAnsi="Arial" w:eastAsia="Arial"/>
                <w:b w:val="0"/>
                <w:i w:val="0"/>
                <w:color w:val="FFFFFF"/>
                <w:sz w:val="18"/>
              </w:rPr>
              <w:t>Example</w:t>
            </w:r>
          </w:p>
        </w:tc>
      </w:tr>
      <w:tr>
        <w:tc>
          <w:tcPr>
            <w:tcW w:type="dxa" w:w="9694"/>
            <w:tcBorders>
              <w:top w:val="single" w:sz="5" w:space="0" w:color="B9D6D0"/>
              <w:left w:val="single" w:sz="5" w:space="0" w:color="B9D6D0"/>
              <w:bottom w:val="single" w:sz="5" w:space="0" w:color="B9D6D0"/>
              <w:right w:val="single" w:sz="5" w:space="0" w:color="B9D6D0"/>
            </w:tcBorders>
            <w:shd w:fill="F3F7F6" w:val="clear"/>
            <w:tcMar>
              <w:top w:w="105" w:type="dxa"/>
              <w:start w:w="150" w:type="dxa"/>
              <w:bottom w:w="105" w:type="dxa"/>
              <w:end w:w="150" w:type="dxa"/>
            </w:tcMar>
          </w:tcPr>
          <w:p>
            <w:pPr>
              <w:keepNext w:val="0"/>
              <w:spacing w:before="0" w:after="0" w:line="264" w:lineRule="auto"/>
            </w:pPr>
            <w:r>
              <w:rPr>
                <w:rFonts w:ascii="Arial" w:hAnsi="Arial" w:eastAsia="Arial"/>
                <w:b w:val="0"/>
                <w:i w:val="0"/>
                <w:color w:val="111817"/>
                <w:sz w:val="17"/>
              </w:rPr>
              <w:t>Air handling: maximum of GBP 60.00 minimum, GBP 0.35/kg, GBP 85.00/cbm or GBP 45.00 flat.</w:t>
            </w:r>
          </w:p>
        </w:tc>
      </w:tr>
    </w:tbl>
    <w:p>
      <w:pPr>
        <w:pStyle w:val="GuideHeading2"/>
      </w:pPr>
      <w:r>
        <w:t>Multideck interaction pattern</w:t>
      </w:r>
    </w:p>
    <w:p>
      <w:pPr>
        <w:pStyle w:val="GuideBody"/>
      </w:pPr>
      <w:r>
        <w:t>Choose this pricing method from a plain-language selector. Multideck then reveals only the relevant inputs, validates missing data before rating, and keeps a live explanation beside the result. The charge remains independent on the supplier and customer sides unless an operator explicitly copies it.</w:t>
      </w:r>
    </w:p>
    <w:p>
      <w:r>
        <w:br w:type="page"/>
      </w:r>
    </w:p>
    <w:p>
      <w:pPr>
        <w:pStyle w:val="GuideEyebrow"/>
      </w:pPr>
      <w:r>
        <w:t>CALCULATOR 20 / FINANCE</w:t>
      </w:r>
    </w:p>
    <w:p>
      <w:pPr>
        <w:pStyle w:val="GuideHeading1"/>
      </w:pPr>
      <w:r>
        <w:t>Disbursement finance charge</w:t>
      </w:r>
    </w:p>
    <w:p>
      <w:pPr>
        <w:pStyle w:val="GuideLead"/>
      </w:pPr>
      <w:r>
        <w:t>Calculate a finance charge for duties, taxes or other disbursements funded before customer settlement.</w:t>
      </w:r>
    </w:p>
    <w:tbl>
      <w:tblPr>
        <w:tblW w:type="dxa" w:w="9695"/>
        <w:jc w:val="center"/>
        <w:tblLayout w:type="fixed"/>
        <w:tblLook w:firstColumn="1" w:firstRow="1" w:lastColumn="0" w:lastRow="0" w:noHBand="0" w:noVBand="1" w:val="04A0"/>
      </w:tblPr>
      <w:tblGrid>
        <w:gridCol w:w="3288"/>
        <w:gridCol w:w="6407"/>
      </w:tblGrid>
      <w:tr>
        <w:trPr>
          <w:tblHeader w:val="true"/>
        </w:trPr>
        <w:tc>
          <w:tcPr>
            <w:tcW w:type="dxa" w:w="328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E8F2F0" w:val="clear"/>
          </w:tcPr>
          <w:p>
            <w:pPr>
              <w:keepNext w:val="0"/>
              <w:spacing w:before="0" w:after="0" w:line="264" w:lineRule="auto"/>
            </w:pPr>
            <w:r>
              <w:rPr>
                <w:rFonts w:ascii="Arial" w:hAnsi="Arial" w:eastAsia="Arial"/>
                <w:b w:val="0"/>
                <w:i w:val="0"/>
                <w:color w:val="00645E"/>
                <w:sz w:val="17"/>
              </w:rPr>
              <w:t>Pricing method</w:t>
            </w:r>
          </w:p>
        </w:tc>
        <w:tc>
          <w:tcPr>
            <w:tcW w:type="dxa" w:w="6406"/>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E8F2F0" w:val="clear"/>
          </w:tcPr>
          <w:p>
            <w:pPr>
              <w:keepNext w:val="0"/>
              <w:spacing w:before="0" w:after="0" w:line="264" w:lineRule="auto"/>
            </w:pPr>
            <w:r>
              <w:rPr>
                <w:rFonts w:ascii="Arial" w:hAnsi="Arial" w:eastAsia="Arial"/>
                <w:b w:val="0"/>
                <w:i w:val="0"/>
                <w:color w:val="00645E"/>
                <w:sz w:val="17"/>
              </w:rPr>
              <w:t>How it behaves</w:t>
            </w:r>
          </w:p>
        </w:tc>
      </w:tr>
      <w:tr>
        <w:tc>
          <w:tcPr>
            <w:tcW w:type="dxa" w:w="328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FFFFF" w:val="clear"/>
          </w:tcPr>
          <w:p>
            <w:pPr>
              <w:keepNext w:val="0"/>
              <w:spacing w:before="0" w:after="0" w:line="264" w:lineRule="auto"/>
            </w:pPr>
            <w:r>
              <w:rPr>
                <w:rFonts w:ascii="Arial" w:hAnsi="Arial" w:eastAsia="Arial"/>
                <w:b w:val="0"/>
                <w:i w:val="0"/>
                <w:color w:val="00645E"/>
                <w:sz w:val="17"/>
              </w:rPr>
              <w:t>Time + rate</w:t>
            </w:r>
          </w:p>
        </w:tc>
        <w:tc>
          <w:tcPr>
            <w:tcW w:type="dxa" w:w="6406"/>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FFFFF" w:val="clear"/>
          </w:tcPr>
          <w:p>
            <w:pPr>
              <w:keepNext w:val="0"/>
              <w:spacing w:before="0" w:after="0" w:line="264" w:lineRule="auto"/>
            </w:pPr>
            <w:r>
              <w:rPr>
                <w:rFonts w:ascii="Arial" w:hAnsi="Arial" w:eastAsia="Arial"/>
                <w:b w:val="0"/>
                <w:i w:val="0"/>
                <w:color w:val="111817"/>
                <w:sz w:val="17"/>
              </w:rPr>
              <w:t>Result = eligible amount x effective annual rate x eligible days / 365.</w:t>
            </w:r>
          </w:p>
        </w:tc>
      </w:tr>
    </w:tbl>
    <w:p>
      <w:pPr>
        <w:keepNext w:val="0"/>
        <w:spacing w:before="0" w:after="100" w:line="276" w:lineRule="auto"/>
      </w:pPr>
      <w:r>
        <w:rPr>
          <w:rFonts w:ascii="Arial" w:hAnsi="Arial" w:eastAsia="Arial"/>
          <w:b w:val="0"/>
          <w:i w:val="0"/>
          <w:color w:val="111817"/>
          <w:sz w:val="4"/>
        </w:rPr>
      </w:r>
    </w:p>
    <w:tbl>
      <w:tblPr>
        <w:tblW w:type="dxa" w:w="9695"/>
        <w:jc w:val="center"/>
        <w:tblLayout w:type="fixed"/>
        <w:tblLook w:firstColumn="1" w:firstRow="1" w:lastColumn="0" w:lastRow="0" w:noHBand="0" w:noVBand="1" w:val="04A0"/>
      </w:tblPr>
      <w:tblGrid>
        <w:gridCol w:w="4847"/>
        <w:gridCol w:w="4847"/>
      </w:tblGrid>
      <w:tr>
        <w:tc>
          <w:tcPr>
            <w:tcW w:type="dxa" w:w="4847"/>
            <w:tcBorders>
              <w:top w:val="single" w:sz="5" w:space="0" w:color="CDDCD9"/>
              <w:left w:val="single" w:sz="5" w:space="0" w:color="CDDCD9"/>
              <w:bottom w:val="single" w:sz="5" w:space="0" w:color="CDDCD9"/>
              <w:right w:val="single" w:sz="5" w:space="0" w:color="CDDCD9"/>
            </w:tcBorders>
            <w:shd w:fill="F3F7F6" w:val="clear"/>
            <w:tcMar>
              <w:top w:w="120" w:type="dxa"/>
              <w:start w:w="150" w:type="dxa"/>
              <w:bottom w:w="130" w:type="dxa"/>
              <w:end w:w="150" w:type="dxa"/>
            </w:tcMar>
            <w:vAlign w:val="top"/>
          </w:tcPr>
          <w:p>
            <w:pPr>
              <w:keepNext w:val="0"/>
              <w:spacing w:before="0" w:after="0" w:line="264" w:lineRule="auto"/>
            </w:pPr>
            <w:r>
              <w:rPr>
                <w:rFonts w:ascii="Arial" w:hAnsi="Arial" w:eastAsia="Arial"/>
                <w:b w:val="0"/>
                <w:i w:val="0"/>
                <w:color w:val="00645E"/>
                <w:sz w:val="18"/>
              </w:rPr>
              <w:t>Inputs</w:t>
            </w:r>
          </w:p>
          <w:p>
            <w:pPr>
              <w:pStyle w:val="ListBullet"/>
              <w:keepNext w:val="0"/>
              <w:spacing w:before="0" w:after="0" w:line="245" w:lineRule="auto"/>
              <w:ind w:left="198" w:hanging="102"/>
            </w:pPr>
            <w:r>
              <w:rPr>
                <w:rFonts w:ascii="Arial" w:hAnsi="Arial" w:eastAsia="Arial"/>
                <w:b w:val="0"/>
                <w:i w:val="0"/>
                <w:color w:val="111817"/>
                <w:sz w:val="17"/>
              </w:rPr>
              <w:t>Prime rate</w:t>
            </w:r>
          </w:p>
          <w:p>
            <w:pPr>
              <w:pStyle w:val="ListBullet"/>
              <w:keepNext w:val="0"/>
              <w:spacing w:before="0" w:after="0" w:line="245" w:lineRule="auto"/>
              <w:ind w:left="198" w:hanging="102"/>
            </w:pPr>
            <w:r>
              <w:rPr>
                <w:rFonts w:ascii="Arial" w:hAnsi="Arial" w:eastAsia="Arial"/>
                <w:b w:val="0"/>
                <w:i w:val="0"/>
                <w:color w:val="111817"/>
                <w:sz w:val="17"/>
              </w:rPr>
              <w:t>Uplift</w:t>
            </w:r>
          </w:p>
          <w:p>
            <w:pPr>
              <w:pStyle w:val="ListBullet"/>
              <w:keepNext w:val="0"/>
              <w:spacing w:before="0" w:after="0" w:line="245" w:lineRule="auto"/>
              <w:ind w:left="198" w:hanging="102"/>
            </w:pPr>
            <w:r>
              <w:rPr>
                <w:rFonts w:ascii="Arial" w:hAnsi="Arial" w:eastAsia="Arial"/>
                <w:b w:val="0"/>
                <w:i w:val="0"/>
                <w:color w:val="111817"/>
                <w:sz w:val="17"/>
              </w:rPr>
              <w:t>Effective annual rate</w:t>
            </w:r>
          </w:p>
          <w:p>
            <w:pPr>
              <w:pStyle w:val="ListBullet"/>
              <w:keepNext w:val="0"/>
              <w:spacing w:before="0" w:after="0" w:line="245" w:lineRule="auto"/>
              <w:ind w:left="198" w:hanging="102"/>
            </w:pPr>
            <w:r>
              <w:rPr>
                <w:rFonts w:ascii="Arial" w:hAnsi="Arial" w:eastAsia="Arial"/>
                <w:b w:val="0"/>
                <w:i w:val="0"/>
                <w:color w:val="111817"/>
                <w:sz w:val="17"/>
              </w:rPr>
              <w:t>Credit terms</w:t>
            </w:r>
          </w:p>
          <w:p>
            <w:pPr>
              <w:pStyle w:val="ListBullet"/>
              <w:keepNext w:val="0"/>
              <w:spacing w:before="0" w:after="0" w:line="245" w:lineRule="auto"/>
              <w:ind w:left="198" w:hanging="102"/>
            </w:pPr>
            <w:r>
              <w:rPr>
                <w:rFonts w:ascii="Arial" w:hAnsi="Arial" w:eastAsia="Arial"/>
                <w:b w:val="0"/>
                <w:i w:val="0"/>
                <w:color w:val="111817"/>
                <w:sz w:val="17"/>
              </w:rPr>
              <w:t>Eligible days</w:t>
            </w:r>
          </w:p>
          <w:p>
            <w:pPr>
              <w:pStyle w:val="ListBullet"/>
              <w:keepNext w:val="0"/>
              <w:spacing w:before="0" w:after="0" w:line="245" w:lineRule="auto"/>
              <w:ind w:left="198" w:hanging="102"/>
            </w:pPr>
            <w:r>
              <w:rPr>
                <w:rFonts w:ascii="Arial" w:hAnsi="Arial" w:eastAsia="Arial"/>
                <w:b w:val="0"/>
                <w:i w:val="0"/>
                <w:color w:val="111817"/>
                <w:sz w:val="17"/>
              </w:rPr>
              <w:t>Target amount</w:t>
            </w:r>
          </w:p>
        </w:tc>
        <w:tc>
          <w:tcPr>
            <w:tcW w:type="dxa" w:w="4847"/>
            <w:tcBorders>
              <w:top w:val="single" w:sz="5" w:space="0" w:color="CDDCD9"/>
              <w:left w:val="single" w:sz="5" w:space="0" w:color="CDDCD9"/>
              <w:bottom w:val="single" w:sz="5" w:space="0" w:color="CDDCD9"/>
              <w:right w:val="single" w:sz="5" w:space="0" w:color="CDDCD9"/>
            </w:tcBorders>
            <w:shd w:fill="F8F4EA" w:val="clear"/>
            <w:tcMar>
              <w:top w:w="120" w:type="dxa"/>
              <w:start w:w="150" w:type="dxa"/>
              <w:bottom w:w="130" w:type="dxa"/>
              <w:end w:w="150" w:type="dxa"/>
            </w:tcMar>
            <w:vAlign w:val="top"/>
          </w:tcPr>
          <w:p>
            <w:pPr>
              <w:keepNext w:val="0"/>
              <w:spacing w:before="0" w:after="0" w:line="264" w:lineRule="auto"/>
            </w:pPr>
            <w:r>
              <w:rPr>
                <w:rFonts w:ascii="Arial" w:hAnsi="Arial" w:eastAsia="Arial"/>
                <w:b w:val="0"/>
                <w:i w:val="0"/>
                <w:color w:val="00645E"/>
                <w:sz w:val="18"/>
              </w:rPr>
              <w:t>Operator safeguard</w:t>
            </w:r>
          </w:p>
          <w:p>
            <w:pPr>
              <w:keepNext w:val="0"/>
              <w:spacing w:before="0" w:after="0" w:line="276" w:lineRule="auto"/>
            </w:pPr>
            <w:r>
              <w:rPr>
                <w:rFonts w:ascii="Arial" w:hAnsi="Arial" w:eastAsia="Arial"/>
                <w:b w:val="0"/>
                <w:i w:val="0"/>
                <w:color w:val="111817"/>
                <w:sz w:val="17"/>
              </w:rPr>
              <w:t>Use an approved finance-rate source and show the date, credit terms and whether only overdue days are included.</w:t>
            </w:r>
          </w:p>
        </w:tc>
      </w:tr>
    </w:tbl>
    <w:p>
      <w:pPr>
        <w:keepNext w:val="0"/>
        <w:spacing w:before="0" w:after="100" w:line="276" w:lineRule="auto"/>
      </w:pPr>
      <w:r>
        <w:rPr>
          <w:rFonts w:ascii="Arial" w:hAnsi="Arial" w:eastAsia="Arial"/>
          <w:b w:val="0"/>
          <w:i w:val="0"/>
          <w:color w:val="111817"/>
          <w:sz w:val="4"/>
        </w:rPr>
      </w:r>
    </w:p>
    <w:tbl>
      <w:tblPr>
        <w:tblW w:type="dxa" w:w="9695"/>
        <w:jc w:val="center"/>
        <w:tblLayout w:type="fixed"/>
        <w:tblLook w:firstColumn="1" w:firstRow="1" w:lastColumn="0" w:lastRow="0" w:noHBand="0" w:noVBand="1" w:val="04A0"/>
      </w:tblPr>
      <w:tblGrid>
        <w:gridCol w:w="9695"/>
      </w:tblGrid>
      <w:tr>
        <w:tc>
          <w:tcPr>
            <w:tcW w:type="dxa" w:w="9694"/>
            <w:tcBorders>
              <w:top w:val="single" w:sz="5" w:space="0" w:color="B9D6D0"/>
              <w:left w:val="single" w:sz="5" w:space="0" w:color="B9D6D0"/>
              <w:bottom w:val="single" w:sz="5" w:space="0" w:color="B9D6D0"/>
              <w:right w:val="single" w:sz="5" w:space="0" w:color="B9D6D0"/>
            </w:tcBorders>
            <w:shd w:fill="14877D" w:val="clear"/>
            <w:tcMar>
              <w:top w:w="75" w:type="dxa"/>
              <w:start w:w="150" w:type="dxa"/>
              <w:bottom w:w="75" w:type="dxa"/>
              <w:end w:w="150" w:type="dxa"/>
            </w:tcMar>
          </w:tcPr>
          <w:p>
            <w:pPr>
              <w:keepNext w:val="0"/>
              <w:spacing w:before="0" w:after="0" w:line="264" w:lineRule="auto"/>
            </w:pPr>
            <w:r>
              <w:rPr>
                <w:rFonts w:ascii="Arial" w:hAnsi="Arial" w:eastAsia="Arial"/>
                <w:b w:val="0"/>
                <w:i w:val="0"/>
                <w:color w:val="FFFFFF"/>
                <w:sz w:val="18"/>
              </w:rPr>
              <w:t>Example</w:t>
            </w:r>
          </w:p>
        </w:tc>
      </w:tr>
      <w:tr>
        <w:tc>
          <w:tcPr>
            <w:tcW w:type="dxa" w:w="9694"/>
            <w:tcBorders>
              <w:top w:val="single" w:sz="5" w:space="0" w:color="B9D6D0"/>
              <w:left w:val="single" w:sz="5" w:space="0" w:color="B9D6D0"/>
              <w:bottom w:val="single" w:sz="5" w:space="0" w:color="B9D6D0"/>
              <w:right w:val="single" w:sz="5" w:space="0" w:color="B9D6D0"/>
            </w:tcBorders>
            <w:shd w:fill="F3F7F6" w:val="clear"/>
            <w:tcMar>
              <w:top w:w="105" w:type="dxa"/>
              <w:start w:w="150" w:type="dxa"/>
              <w:bottom w:w="105" w:type="dxa"/>
              <w:end w:w="150" w:type="dxa"/>
            </w:tcMar>
          </w:tcPr>
          <w:p>
            <w:pPr>
              <w:keepNext w:val="0"/>
              <w:spacing w:before="0" w:after="0" w:line="264" w:lineRule="auto"/>
            </w:pPr>
            <w:r>
              <w:rPr>
                <w:rFonts w:ascii="Arial" w:hAnsi="Arial" w:eastAsia="Arial"/>
                <w:b w:val="0"/>
                <w:i w:val="0"/>
                <w:color w:val="111817"/>
                <w:sz w:val="17"/>
              </w:rPr>
              <w:t>Duty advance: 9.5 percent annual rate over 21 eligible days.</w:t>
            </w:r>
          </w:p>
        </w:tc>
      </w:tr>
    </w:tbl>
    <w:p>
      <w:pPr>
        <w:pStyle w:val="GuideHeading2"/>
      </w:pPr>
      <w:r>
        <w:t>Multideck interaction pattern</w:t>
      </w:r>
    </w:p>
    <w:p>
      <w:pPr>
        <w:pStyle w:val="GuideBody"/>
      </w:pPr>
      <w:r>
        <w:t>Choose this pricing method from a plain-language selector. Multideck then reveals only the relevant inputs, validates missing data before rating, and keeps a live explanation beside the result. The charge remains independent on the supplier and customer sides unless an operator explicitly copies it.</w:t>
      </w:r>
    </w:p>
    <w:p>
      <w:r>
        <w:br w:type="page"/>
      </w:r>
    </w:p>
    <w:p>
      <w:pPr>
        <w:pStyle w:val="GuideEyebrow"/>
      </w:pPr>
      <w:r>
        <w:t>CALCULATOR 21 / COMMERCIAL CONTROLS</w:t>
      </w:r>
    </w:p>
    <w:p>
      <w:pPr>
        <w:pStyle w:val="GuideHeading1"/>
      </w:pPr>
      <w:r>
        <w:t>Value bands</w:t>
      </w:r>
    </w:p>
    <w:p>
      <w:pPr>
        <w:pStyle w:val="GuideLead"/>
      </w:pPr>
      <w:r>
        <w:t>Apply rate bands based on a declared financial value such as goods, insurance, customs or invoice value.</w:t>
      </w:r>
    </w:p>
    <w:tbl>
      <w:tblPr>
        <w:tblW w:type="dxa" w:w="9695"/>
        <w:jc w:val="center"/>
        <w:tblLayout w:type="fixed"/>
        <w:tblLook w:firstColumn="1" w:firstRow="1" w:lastColumn="0" w:lastRow="0" w:noHBand="0" w:noVBand="1" w:val="04A0"/>
      </w:tblPr>
      <w:tblGrid>
        <w:gridCol w:w="3288"/>
        <w:gridCol w:w="6407"/>
      </w:tblGrid>
      <w:tr>
        <w:trPr>
          <w:tblHeader w:val="true"/>
        </w:trPr>
        <w:tc>
          <w:tcPr>
            <w:tcW w:type="dxa" w:w="328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E8F2F0" w:val="clear"/>
          </w:tcPr>
          <w:p>
            <w:pPr>
              <w:keepNext w:val="0"/>
              <w:spacing w:before="0" w:after="0" w:line="264" w:lineRule="auto"/>
            </w:pPr>
            <w:r>
              <w:rPr>
                <w:rFonts w:ascii="Arial" w:hAnsi="Arial" w:eastAsia="Arial"/>
                <w:b w:val="0"/>
                <w:i w:val="0"/>
                <w:color w:val="00645E"/>
                <w:sz w:val="17"/>
              </w:rPr>
              <w:t>Pricing method</w:t>
            </w:r>
          </w:p>
        </w:tc>
        <w:tc>
          <w:tcPr>
            <w:tcW w:type="dxa" w:w="6406"/>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E8F2F0" w:val="clear"/>
          </w:tcPr>
          <w:p>
            <w:pPr>
              <w:keepNext w:val="0"/>
              <w:spacing w:before="0" w:after="0" w:line="264" w:lineRule="auto"/>
            </w:pPr>
            <w:r>
              <w:rPr>
                <w:rFonts w:ascii="Arial" w:hAnsi="Arial" w:eastAsia="Arial"/>
                <w:b w:val="0"/>
                <w:i w:val="0"/>
                <w:color w:val="00645E"/>
                <w:sz w:val="17"/>
              </w:rPr>
              <w:t>How it behaves</w:t>
            </w:r>
          </w:p>
        </w:tc>
      </w:tr>
      <w:tr>
        <w:tc>
          <w:tcPr>
            <w:tcW w:type="dxa" w:w="328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FFFFF" w:val="clear"/>
          </w:tcPr>
          <w:p>
            <w:pPr>
              <w:keepNext w:val="0"/>
              <w:spacing w:before="0" w:after="0" w:line="264" w:lineRule="auto"/>
            </w:pPr>
            <w:r>
              <w:rPr>
                <w:rFonts w:ascii="Arial" w:hAnsi="Arial" w:eastAsia="Arial"/>
                <w:b w:val="0"/>
                <w:i w:val="0"/>
                <w:color w:val="00645E"/>
                <w:sz w:val="17"/>
              </w:rPr>
              <w:t>Value-driven scale</w:t>
            </w:r>
          </w:p>
        </w:tc>
        <w:tc>
          <w:tcPr>
            <w:tcW w:type="dxa" w:w="6406"/>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FFFFF" w:val="clear"/>
          </w:tcPr>
          <w:p>
            <w:pPr>
              <w:keepNext w:val="0"/>
              <w:spacing w:before="0" w:after="0" w:line="264" w:lineRule="auto"/>
            </w:pPr>
            <w:r>
              <w:rPr>
                <w:rFonts w:ascii="Arial" w:hAnsi="Arial" w:eastAsia="Arial"/>
                <w:b w:val="0"/>
                <w:i w:val="0"/>
                <w:color w:val="111817"/>
                <w:sz w:val="17"/>
              </w:rPr>
              <w:t>Result uses the selected value source and its matching band.</w:t>
            </w:r>
          </w:p>
        </w:tc>
      </w:tr>
    </w:tbl>
    <w:p>
      <w:pPr>
        <w:keepNext w:val="0"/>
        <w:spacing w:before="0" w:after="100" w:line="276" w:lineRule="auto"/>
      </w:pPr>
      <w:r>
        <w:rPr>
          <w:rFonts w:ascii="Arial" w:hAnsi="Arial" w:eastAsia="Arial"/>
          <w:b w:val="0"/>
          <w:i w:val="0"/>
          <w:color w:val="111817"/>
          <w:sz w:val="4"/>
        </w:rPr>
      </w:r>
    </w:p>
    <w:tbl>
      <w:tblPr>
        <w:tblW w:type="dxa" w:w="9695"/>
        <w:jc w:val="center"/>
        <w:tblLayout w:type="fixed"/>
        <w:tblLook w:firstColumn="1" w:firstRow="1" w:lastColumn="0" w:lastRow="0" w:noHBand="0" w:noVBand="1" w:val="04A0"/>
      </w:tblPr>
      <w:tblGrid>
        <w:gridCol w:w="4847"/>
        <w:gridCol w:w="4847"/>
      </w:tblGrid>
      <w:tr>
        <w:tc>
          <w:tcPr>
            <w:tcW w:type="dxa" w:w="4847"/>
            <w:tcBorders>
              <w:top w:val="single" w:sz="5" w:space="0" w:color="CDDCD9"/>
              <w:left w:val="single" w:sz="5" w:space="0" w:color="CDDCD9"/>
              <w:bottom w:val="single" w:sz="5" w:space="0" w:color="CDDCD9"/>
              <w:right w:val="single" w:sz="5" w:space="0" w:color="CDDCD9"/>
            </w:tcBorders>
            <w:shd w:fill="F3F7F6" w:val="clear"/>
            <w:tcMar>
              <w:top w:w="120" w:type="dxa"/>
              <w:start w:w="150" w:type="dxa"/>
              <w:bottom w:w="130" w:type="dxa"/>
              <w:end w:w="150" w:type="dxa"/>
            </w:tcMar>
            <w:vAlign w:val="top"/>
          </w:tcPr>
          <w:p>
            <w:pPr>
              <w:keepNext w:val="0"/>
              <w:spacing w:before="0" w:after="0" w:line="264" w:lineRule="auto"/>
            </w:pPr>
            <w:r>
              <w:rPr>
                <w:rFonts w:ascii="Arial" w:hAnsi="Arial" w:eastAsia="Arial"/>
                <w:b w:val="0"/>
                <w:i w:val="0"/>
                <w:color w:val="00645E"/>
                <w:sz w:val="18"/>
              </w:rPr>
              <w:t>Inputs</w:t>
            </w:r>
          </w:p>
          <w:p>
            <w:pPr>
              <w:pStyle w:val="ListBullet"/>
              <w:keepNext w:val="0"/>
              <w:spacing w:before="0" w:after="0" w:line="245" w:lineRule="auto"/>
              <w:ind w:left="198" w:hanging="102"/>
            </w:pPr>
            <w:r>
              <w:rPr>
                <w:rFonts w:ascii="Arial" w:hAnsi="Arial" w:eastAsia="Arial"/>
                <w:b w:val="0"/>
                <w:i w:val="0"/>
                <w:color w:val="111817"/>
                <w:sz w:val="17"/>
              </w:rPr>
              <w:t>Value source</w:t>
            </w:r>
          </w:p>
          <w:p>
            <w:pPr>
              <w:pStyle w:val="ListBullet"/>
              <w:keepNext w:val="0"/>
              <w:spacing w:before="0" w:after="0" w:line="245" w:lineRule="auto"/>
              <w:ind w:left="198" w:hanging="102"/>
            </w:pPr>
            <w:r>
              <w:rPr>
                <w:rFonts w:ascii="Arial" w:hAnsi="Arial" w:eastAsia="Arial"/>
                <w:b w:val="0"/>
                <w:i w:val="0"/>
                <w:color w:val="111817"/>
                <w:sz w:val="17"/>
              </w:rPr>
              <w:t>Breaks</w:t>
            </w:r>
          </w:p>
          <w:p>
            <w:pPr>
              <w:pStyle w:val="ListBullet"/>
              <w:keepNext w:val="0"/>
              <w:spacing w:before="0" w:after="0" w:line="245" w:lineRule="auto"/>
              <w:ind w:left="198" w:hanging="102"/>
            </w:pPr>
            <w:r>
              <w:rPr>
                <w:rFonts w:ascii="Arial" w:hAnsi="Arial" w:eastAsia="Arial"/>
                <w:b w:val="0"/>
                <w:i w:val="0"/>
                <w:color w:val="111817"/>
                <w:sz w:val="17"/>
              </w:rPr>
              <w:t>Rates</w:t>
            </w:r>
          </w:p>
          <w:p>
            <w:pPr>
              <w:pStyle w:val="ListBullet"/>
              <w:keepNext w:val="0"/>
              <w:spacing w:before="0" w:after="0" w:line="245" w:lineRule="auto"/>
              <w:ind w:left="198" w:hanging="102"/>
            </w:pPr>
            <w:r>
              <w:rPr>
                <w:rFonts w:ascii="Arial" w:hAnsi="Arial" w:eastAsia="Arial"/>
                <w:b w:val="0"/>
                <w:i w:val="0"/>
                <w:color w:val="111817"/>
                <w:sz w:val="17"/>
              </w:rPr>
              <w:t>Minimum or maximum</w:t>
            </w:r>
          </w:p>
        </w:tc>
        <w:tc>
          <w:tcPr>
            <w:tcW w:type="dxa" w:w="4847"/>
            <w:tcBorders>
              <w:top w:val="single" w:sz="5" w:space="0" w:color="CDDCD9"/>
              <w:left w:val="single" w:sz="5" w:space="0" w:color="CDDCD9"/>
              <w:bottom w:val="single" w:sz="5" w:space="0" w:color="CDDCD9"/>
              <w:right w:val="single" w:sz="5" w:space="0" w:color="CDDCD9"/>
            </w:tcBorders>
            <w:shd w:fill="F8F4EA" w:val="clear"/>
            <w:tcMar>
              <w:top w:w="120" w:type="dxa"/>
              <w:start w:w="150" w:type="dxa"/>
              <w:bottom w:w="130" w:type="dxa"/>
              <w:end w:w="150" w:type="dxa"/>
            </w:tcMar>
            <w:vAlign w:val="top"/>
          </w:tcPr>
          <w:p>
            <w:pPr>
              <w:keepNext w:val="0"/>
              <w:spacing w:before="0" w:after="0" w:line="264" w:lineRule="auto"/>
            </w:pPr>
            <w:r>
              <w:rPr>
                <w:rFonts w:ascii="Arial" w:hAnsi="Arial" w:eastAsia="Arial"/>
                <w:b w:val="0"/>
                <w:i w:val="0"/>
                <w:color w:val="00645E"/>
                <w:sz w:val="18"/>
              </w:rPr>
              <w:t>Operator safeguard</w:t>
            </w:r>
          </w:p>
          <w:p>
            <w:pPr>
              <w:keepNext w:val="0"/>
              <w:spacing w:before="0" w:after="0" w:line="276" w:lineRule="auto"/>
            </w:pPr>
            <w:r>
              <w:rPr>
                <w:rFonts w:ascii="Arial" w:hAnsi="Arial" w:eastAsia="Arial"/>
                <w:b w:val="0"/>
                <w:i w:val="0"/>
                <w:color w:val="111817"/>
                <w:sz w:val="17"/>
              </w:rPr>
              <w:t>The value source must be versioned and visible. Warn when the selected value has not been supplied or is stale.</w:t>
            </w:r>
          </w:p>
        </w:tc>
      </w:tr>
    </w:tbl>
    <w:p>
      <w:pPr>
        <w:keepNext w:val="0"/>
        <w:spacing w:before="0" w:after="100" w:line="276" w:lineRule="auto"/>
      </w:pPr>
      <w:r>
        <w:rPr>
          <w:rFonts w:ascii="Arial" w:hAnsi="Arial" w:eastAsia="Arial"/>
          <w:b w:val="0"/>
          <w:i w:val="0"/>
          <w:color w:val="111817"/>
          <w:sz w:val="4"/>
        </w:rPr>
      </w:r>
    </w:p>
    <w:tbl>
      <w:tblPr>
        <w:tblW w:type="dxa" w:w="9695"/>
        <w:jc w:val="center"/>
        <w:tblLayout w:type="fixed"/>
        <w:tblLook w:firstColumn="1" w:firstRow="1" w:lastColumn="0" w:lastRow="0" w:noHBand="0" w:noVBand="1" w:val="04A0"/>
      </w:tblPr>
      <w:tblGrid>
        <w:gridCol w:w="9695"/>
      </w:tblGrid>
      <w:tr>
        <w:tc>
          <w:tcPr>
            <w:tcW w:type="dxa" w:w="9694"/>
            <w:tcBorders>
              <w:top w:val="single" w:sz="5" w:space="0" w:color="B9D6D0"/>
              <w:left w:val="single" w:sz="5" w:space="0" w:color="B9D6D0"/>
              <w:bottom w:val="single" w:sz="5" w:space="0" w:color="B9D6D0"/>
              <w:right w:val="single" w:sz="5" w:space="0" w:color="B9D6D0"/>
            </w:tcBorders>
            <w:shd w:fill="14877D" w:val="clear"/>
            <w:tcMar>
              <w:top w:w="75" w:type="dxa"/>
              <w:start w:w="150" w:type="dxa"/>
              <w:bottom w:w="75" w:type="dxa"/>
              <w:end w:w="150" w:type="dxa"/>
            </w:tcMar>
          </w:tcPr>
          <w:p>
            <w:pPr>
              <w:keepNext w:val="0"/>
              <w:spacing w:before="0" w:after="0" w:line="264" w:lineRule="auto"/>
            </w:pPr>
            <w:r>
              <w:rPr>
                <w:rFonts w:ascii="Arial" w:hAnsi="Arial" w:eastAsia="Arial"/>
                <w:b w:val="0"/>
                <w:i w:val="0"/>
                <w:color w:val="FFFFFF"/>
                <w:sz w:val="18"/>
              </w:rPr>
              <w:t>Example</w:t>
            </w:r>
          </w:p>
        </w:tc>
      </w:tr>
      <w:tr>
        <w:tc>
          <w:tcPr>
            <w:tcW w:type="dxa" w:w="9694"/>
            <w:tcBorders>
              <w:top w:val="single" w:sz="5" w:space="0" w:color="B9D6D0"/>
              <w:left w:val="single" w:sz="5" w:space="0" w:color="B9D6D0"/>
              <w:bottom w:val="single" w:sz="5" w:space="0" w:color="B9D6D0"/>
              <w:right w:val="single" w:sz="5" w:space="0" w:color="B9D6D0"/>
            </w:tcBorders>
            <w:shd w:fill="F3F7F6" w:val="clear"/>
            <w:tcMar>
              <w:top w:w="105" w:type="dxa"/>
              <w:start w:w="150" w:type="dxa"/>
              <w:bottom w:w="105" w:type="dxa"/>
              <w:end w:w="150" w:type="dxa"/>
            </w:tcMar>
          </w:tcPr>
          <w:p>
            <w:pPr>
              <w:keepNext w:val="0"/>
              <w:spacing w:before="0" w:after="0" w:line="264" w:lineRule="auto"/>
            </w:pPr>
            <w:r>
              <w:rPr>
                <w:rFonts w:ascii="Arial" w:hAnsi="Arial" w:eastAsia="Arial"/>
                <w:b w:val="0"/>
                <w:i w:val="0"/>
                <w:color w:val="111817"/>
                <w:sz w:val="17"/>
              </w:rPr>
              <w:t>Insurance administration: GBP 18.00 below GBP 10,000 goods value; GBP 32.00 at GBP 10,000 and above.</w:t>
            </w:r>
          </w:p>
        </w:tc>
      </w:tr>
    </w:tbl>
    <w:p>
      <w:pPr>
        <w:pStyle w:val="GuideHeading2"/>
      </w:pPr>
      <w:r>
        <w:t>Multideck interaction pattern</w:t>
      </w:r>
    </w:p>
    <w:p>
      <w:pPr>
        <w:pStyle w:val="GuideBody"/>
      </w:pPr>
      <w:r>
        <w:t>Choose this pricing method from a plain-language selector. Multideck then reveals only the relevant inputs, validates missing data before rating, and keeps a live explanation beside the result. The charge remains independent on the supplier and customer sides unless an operator explicitly copies it.</w:t>
      </w:r>
    </w:p>
    <w:p>
      <w:r>
        <w:br w:type="page"/>
      </w:r>
    </w:p>
    <w:p>
      <w:pPr>
        <w:pStyle w:val="GuideEyebrow"/>
      </w:pPr>
      <w:r>
        <w:t>CALCULATOR 22 / CONTRACT PRICING</w:t>
      </w:r>
    </w:p>
    <w:p>
      <w:pPr>
        <w:pStyle w:val="GuideHeading1"/>
      </w:pPr>
      <w:r>
        <w:t>Volume balance discount</w:t>
      </w:r>
    </w:p>
    <w:p>
      <w:pPr>
        <w:pStyle w:val="GuideLead"/>
      </w:pPr>
      <w:r>
        <w:t>Apply an agreed discount when cumulative contracted volume reaches a defined performance threshold.</w:t>
      </w:r>
    </w:p>
    <w:tbl>
      <w:tblPr>
        <w:tblW w:type="dxa" w:w="9695"/>
        <w:jc w:val="center"/>
        <w:tblLayout w:type="fixed"/>
        <w:tblLook w:firstColumn="1" w:firstRow="1" w:lastColumn="0" w:lastRow="0" w:noHBand="0" w:noVBand="1" w:val="04A0"/>
      </w:tblPr>
      <w:tblGrid>
        <w:gridCol w:w="3288"/>
        <w:gridCol w:w="6407"/>
      </w:tblGrid>
      <w:tr>
        <w:trPr>
          <w:tblHeader w:val="true"/>
        </w:trPr>
        <w:tc>
          <w:tcPr>
            <w:tcW w:type="dxa" w:w="328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E8F2F0" w:val="clear"/>
          </w:tcPr>
          <w:p>
            <w:pPr>
              <w:keepNext w:val="0"/>
              <w:spacing w:before="0" w:after="0" w:line="264" w:lineRule="auto"/>
            </w:pPr>
            <w:r>
              <w:rPr>
                <w:rFonts w:ascii="Arial" w:hAnsi="Arial" w:eastAsia="Arial"/>
                <w:b w:val="0"/>
                <w:i w:val="0"/>
                <w:color w:val="00645E"/>
                <w:sz w:val="17"/>
              </w:rPr>
              <w:t>Pricing method</w:t>
            </w:r>
          </w:p>
        </w:tc>
        <w:tc>
          <w:tcPr>
            <w:tcW w:type="dxa" w:w="6406"/>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E8F2F0" w:val="clear"/>
          </w:tcPr>
          <w:p>
            <w:pPr>
              <w:keepNext w:val="0"/>
              <w:spacing w:before="0" w:after="0" w:line="264" w:lineRule="auto"/>
            </w:pPr>
            <w:r>
              <w:rPr>
                <w:rFonts w:ascii="Arial" w:hAnsi="Arial" w:eastAsia="Arial"/>
                <w:b w:val="0"/>
                <w:i w:val="0"/>
                <w:color w:val="00645E"/>
                <w:sz w:val="17"/>
              </w:rPr>
              <w:t>How it behaves</w:t>
            </w:r>
          </w:p>
        </w:tc>
      </w:tr>
      <w:tr>
        <w:tc>
          <w:tcPr>
            <w:tcW w:type="dxa" w:w="328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FFFFF" w:val="clear"/>
          </w:tcPr>
          <w:p>
            <w:pPr>
              <w:keepNext w:val="0"/>
              <w:spacing w:before="0" w:after="0" w:line="264" w:lineRule="auto"/>
            </w:pPr>
            <w:r>
              <w:rPr>
                <w:rFonts w:ascii="Arial" w:hAnsi="Arial" w:eastAsia="Arial"/>
                <w:b w:val="0"/>
                <w:i w:val="0"/>
                <w:color w:val="00645E"/>
                <w:sz w:val="17"/>
              </w:rPr>
              <w:t>Period performance</w:t>
            </w:r>
          </w:p>
        </w:tc>
        <w:tc>
          <w:tcPr>
            <w:tcW w:type="dxa" w:w="6406"/>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FFFFF" w:val="clear"/>
          </w:tcPr>
          <w:p>
            <w:pPr>
              <w:keepNext w:val="0"/>
              <w:spacing w:before="0" w:after="0" w:line="264" w:lineRule="auto"/>
            </w:pPr>
            <w:r>
              <w:rPr>
                <w:rFonts w:ascii="Arial" w:hAnsi="Arial" w:eastAsia="Arial"/>
                <w:b w:val="0"/>
                <w:i w:val="0"/>
                <w:color w:val="111817"/>
                <w:sz w:val="17"/>
              </w:rPr>
              <w:t>Result uses the achieved average or total contracted volume to determine whether the discount is eligible.</w:t>
            </w:r>
          </w:p>
        </w:tc>
      </w:tr>
    </w:tbl>
    <w:p>
      <w:pPr>
        <w:keepNext w:val="0"/>
        <w:spacing w:before="0" w:after="100" w:line="276" w:lineRule="auto"/>
      </w:pPr>
      <w:r>
        <w:rPr>
          <w:rFonts w:ascii="Arial" w:hAnsi="Arial" w:eastAsia="Arial"/>
          <w:b w:val="0"/>
          <w:i w:val="0"/>
          <w:color w:val="111817"/>
          <w:sz w:val="4"/>
        </w:rPr>
      </w:r>
    </w:p>
    <w:tbl>
      <w:tblPr>
        <w:tblW w:type="dxa" w:w="9695"/>
        <w:jc w:val="center"/>
        <w:tblLayout w:type="fixed"/>
        <w:tblLook w:firstColumn="1" w:firstRow="1" w:lastColumn="0" w:lastRow="0" w:noHBand="0" w:noVBand="1" w:val="04A0"/>
      </w:tblPr>
      <w:tblGrid>
        <w:gridCol w:w="4847"/>
        <w:gridCol w:w="4847"/>
      </w:tblGrid>
      <w:tr>
        <w:tc>
          <w:tcPr>
            <w:tcW w:type="dxa" w:w="4847"/>
            <w:tcBorders>
              <w:top w:val="single" w:sz="5" w:space="0" w:color="CDDCD9"/>
              <w:left w:val="single" w:sz="5" w:space="0" w:color="CDDCD9"/>
              <w:bottom w:val="single" w:sz="5" w:space="0" w:color="CDDCD9"/>
              <w:right w:val="single" w:sz="5" w:space="0" w:color="CDDCD9"/>
            </w:tcBorders>
            <w:shd w:fill="F3F7F6" w:val="clear"/>
            <w:tcMar>
              <w:top w:w="120" w:type="dxa"/>
              <w:start w:w="150" w:type="dxa"/>
              <w:bottom w:w="130" w:type="dxa"/>
              <w:end w:w="150" w:type="dxa"/>
            </w:tcMar>
            <w:vAlign w:val="top"/>
          </w:tcPr>
          <w:p>
            <w:pPr>
              <w:keepNext w:val="0"/>
              <w:spacing w:before="0" w:after="0" w:line="264" w:lineRule="auto"/>
            </w:pPr>
            <w:r>
              <w:rPr>
                <w:rFonts w:ascii="Arial" w:hAnsi="Arial" w:eastAsia="Arial"/>
                <w:b w:val="0"/>
                <w:i w:val="0"/>
                <w:color w:val="00645E"/>
                <w:sz w:val="18"/>
              </w:rPr>
              <w:t>Inputs</w:t>
            </w:r>
          </w:p>
          <w:p>
            <w:pPr>
              <w:pStyle w:val="ListBullet"/>
              <w:keepNext w:val="0"/>
              <w:spacing w:before="0" w:after="0" w:line="245" w:lineRule="auto"/>
              <w:ind w:left="198" w:hanging="102"/>
            </w:pPr>
            <w:r>
              <w:rPr>
                <w:rFonts w:ascii="Arial" w:hAnsi="Arial" w:eastAsia="Arial"/>
                <w:b w:val="0"/>
                <w:i w:val="0"/>
                <w:color w:val="111817"/>
                <w:sz w:val="17"/>
              </w:rPr>
              <w:t>Contract</w:t>
            </w:r>
          </w:p>
          <w:p>
            <w:pPr>
              <w:pStyle w:val="ListBullet"/>
              <w:keepNext w:val="0"/>
              <w:spacing w:before="0" w:after="0" w:line="245" w:lineRule="auto"/>
              <w:ind w:left="198" w:hanging="102"/>
            </w:pPr>
            <w:r>
              <w:rPr>
                <w:rFonts w:ascii="Arial" w:hAnsi="Arial" w:eastAsia="Arial"/>
                <w:b w:val="0"/>
                <w:i w:val="0"/>
                <w:color w:val="111817"/>
                <w:sz w:val="17"/>
              </w:rPr>
              <w:t>Period</w:t>
            </w:r>
          </w:p>
          <w:p>
            <w:pPr>
              <w:pStyle w:val="ListBullet"/>
              <w:keepNext w:val="0"/>
              <w:spacing w:before="0" w:after="0" w:line="245" w:lineRule="auto"/>
              <w:ind w:left="198" w:hanging="102"/>
            </w:pPr>
            <w:r>
              <w:rPr>
                <w:rFonts w:ascii="Arial" w:hAnsi="Arial" w:eastAsia="Arial"/>
                <w:b w:val="0"/>
                <w:i w:val="0"/>
                <w:color w:val="111817"/>
                <w:sz w:val="17"/>
              </w:rPr>
              <w:t>Pivot volume</w:t>
            </w:r>
          </w:p>
          <w:p>
            <w:pPr>
              <w:pStyle w:val="ListBullet"/>
              <w:keepNext w:val="0"/>
              <w:spacing w:before="0" w:after="0" w:line="245" w:lineRule="auto"/>
              <w:ind w:left="198" w:hanging="102"/>
            </w:pPr>
            <w:r>
              <w:rPr>
                <w:rFonts w:ascii="Arial" w:hAnsi="Arial" w:eastAsia="Arial"/>
                <w:b w:val="0"/>
                <w:i w:val="0"/>
                <w:color w:val="111817"/>
                <w:sz w:val="17"/>
              </w:rPr>
              <w:t>Discount rate</w:t>
            </w:r>
          </w:p>
          <w:p>
            <w:pPr>
              <w:pStyle w:val="ListBullet"/>
              <w:keepNext w:val="0"/>
              <w:spacing w:before="0" w:after="0" w:line="245" w:lineRule="auto"/>
              <w:ind w:left="198" w:hanging="102"/>
            </w:pPr>
            <w:r>
              <w:rPr>
                <w:rFonts w:ascii="Arial" w:hAnsi="Arial" w:eastAsia="Arial"/>
                <w:b w:val="0"/>
                <w:i w:val="0"/>
                <w:color w:val="111817"/>
                <w:sz w:val="17"/>
              </w:rPr>
              <w:t>Eligible jobs</w:t>
            </w:r>
          </w:p>
        </w:tc>
        <w:tc>
          <w:tcPr>
            <w:tcW w:type="dxa" w:w="4847"/>
            <w:tcBorders>
              <w:top w:val="single" w:sz="5" w:space="0" w:color="CDDCD9"/>
              <w:left w:val="single" w:sz="5" w:space="0" w:color="CDDCD9"/>
              <w:bottom w:val="single" w:sz="5" w:space="0" w:color="CDDCD9"/>
              <w:right w:val="single" w:sz="5" w:space="0" w:color="CDDCD9"/>
            </w:tcBorders>
            <w:shd w:fill="F8F4EA" w:val="clear"/>
            <w:tcMar>
              <w:top w:w="120" w:type="dxa"/>
              <w:start w:w="150" w:type="dxa"/>
              <w:bottom w:w="130" w:type="dxa"/>
              <w:end w:w="150" w:type="dxa"/>
            </w:tcMar>
            <w:vAlign w:val="top"/>
          </w:tcPr>
          <w:p>
            <w:pPr>
              <w:keepNext w:val="0"/>
              <w:spacing w:before="0" w:after="0" w:line="264" w:lineRule="auto"/>
            </w:pPr>
            <w:r>
              <w:rPr>
                <w:rFonts w:ascii="Arial" w:hAnsi="Arial" w:eastAsia="Arial"/>
                <w:b w:val="0"/>
                <w:i w:val="0"/>
                <w:color w:val="00645E"/>
                <w:sz w:val="18"/>
              </w:rPr>
              <w:t>Operator safeguard</w:t>
            </w:r>
          </w:p>
          <w:p>
            <w:pPr>
              <w:keepNext w:val="0"/>
              <w:spacing w:before="0" w:after="0" w:line="276" w:lineRule="auto"/>
            </w:pPr>
            <w:r>
              <w:rPr>
                <w:rFonts w:ascii="Arial" w:hAnsi="Arial" w:eastAsia="Arial"/>
                <w:b w:val="0"/>
                <w:i w:val="0"/>
                <w:color w:val="111817"/>
                <w:sz w:val="17"/>
              </w:rPr>
              <w:t>Show the contract period, contributing shipments and whether the discount is provisional or final.</w:t>
            </w:r>
          </w:p>
        </w:tc>
      </w:tr>
    </w:tbl>
    <w:p>
      <w:pPr>
        <w:keepNext w:val="0"/>
        <w:spacing w:before="0" w:after="100" w:line="276" w:lineRule="auto"/>
      </w:pPr>
      <w:r>
        <w:rPr>
          <w:rFonts w:ascii="Arial" w:hAnsi="Arial" w:eastAsia="Arial"/>
          <w:b w:val="0"/>
          <w:i w:val="0"/>
          <w:color w:val="111817"/>
          <w:sz w:val="4"/>
        </w:rPr>
      </w:r>
    </w:p>
    <w:tbl>
      <w:tblPr>
        <w:tblW w:type="dxa" w:w="9695"/>
        <w:jc w:val="center"/>
        <w:tblLayout w:type="fixed"/>
        <w:tblLook w:firstColumn="1" w:firstRow="1" w:lastColumn="0" w:lastRow="0" w:noHBand="0" w:noVBand="1" w:val="04A0"/>
      </w:tblPr>
      <w:tblGrid>
        <w:gridCol w:w="9695"/>
      </w:tblGrid>
      <w:tr>
        <w:tc>
          <w:tcPr>
            <w:tcW w:type="dxa" w:w="9694"/>
            <w:tcBorders>
              <w:top w:val="single" w:sz="5" w:space="0" w:color="B9D6D0"/>
              <w:left w:val="single" w:sz="5" w:space="0" w:color="B9D6D0"/>
              <w:bottom w:val="single" w:sz="5" w:space="0" w:color="B9D6D0"/>
              <w:right w:val="single" w:sz="5" w:space="0" w:color="B9D6D0"/>
            </w:tcBorders>
            <w:shd w:fill="14877D" w:val="clear"/>
            <w:tcMar>
              <w:top w:w="75" w:type="dxa"/>
              <w:start w:w="150" w:type="dxa"/>
              <w:bottom w:w="75" w:type="dxa"/>
              <w:end w:w="150" w:type="dxa"/>
            </w:tcMar>
          </w:tcPr>
          <w:p>
            <w:pPr>
              <w:keepNext w:val="0"/>
              <w:spacing w:before="0" w:after="0" w:line="264" w:lineRule="auto"/>
            </w:pPr>
            <w:r>
              <w:rPr>
                <w:rFonts w:ascii="Arial" w:hAnsi="Arial" w:eastAsia="Arial"/>
                <w:b w:val="0"/>
                <w:i w:val="0"/>
                <w:color w:val="FFFFFF"/>
                <w:sz w:val="18"/>
              </w:rPr>
              <w:t>Example</w:t>
            </w:r>
          </w:p>
        </w:tc>
      </w:tr>
      <w:tr>
        <w:tc>
          <w:tcPr>
            <w:tcW w:type="dxa" w:w="9694"/>
            <w:tcBorders>
              <w:top w:val="single" w:sz="5" w:space="0" w:color="B9D6D0"/>
              <w:left w:val="single" w:sz="5" w:space="0" w:color="B9D6D0"/>
              <w:bottom w:val="single" w:sz="5" w:space="0" w:color="B9D6D0"/>
              <w:right w:val="single" w:sz="5" w:space="0" w:color="B9D6D0"/>
            </w:tcBorders>
            <w:shd w:fill="F3F7F6" w:val="clear"/>
            <w:tcMar>
              <w:top w:w="105" w:type="dxa"/>
              <w:start w:w="150" w:type="dxa"/>
              <w:bottom w:w="105" w:type="dxa"/>
              <w:end w:w="150" w:type="dxa"/>
            </w:tcMar>
          </w:tcPr>
          <w:p>
            <w:pPr>
              <w:keepNext w:val="0"/>
              <w:spacing w:before="0" w:after="0" w:line="264" w:lineRule="auto"/>
            </w:pPr>
            <w:r>
              <w:rPr>
                <w:rFonts w:ascii="Arial" w:hAnsi="Arial" w:eastAsia="Arial"/>
                <w:b w:val="0"/>
                <w:i w:val="0"/>
                <w:color w:val="111817"/>
                <w:sz w:val="17"/>
              </w:rPr>
              <w:t>ULD air freight discount becomes eligible once monthly average chargeable weight reaches 1,500 kg.</w:t>
            </w:r>
          </w:p>
        </w:tc>
      </w:tr>
    </w:tbl>
    <w:p>
      <w:pPr>
        <w:pStyle w:val="GuideHeading2"/>
      </w:pPr>
      <w:r>
        <w:t>Multideck interaction pattern</w:t>
      </w:r>
    </w:p>
    <w:p>
      <w:pPr>
        <w:pStyle w:val="GuideBody"/>
      </w:pPr>
      <w:r>
        <w:t>Choose this pricing method from a plain-language selector. Multideck then reveals only the relevant inputs, validates missing data before rating, and keeps a live explanation beside the result. The charge remains independent on the supplier and customer sides unless an operator explicitly copies it.</w:t>
      </w:r>
    </w:p>
    <w:p>
      <w:r>
        <w:br w:type="page"/>
      </w:r>
    </w:p>
    <w:p>
      <w:pPr>
        <w:pStyle w:val="GuideEyebrow"/>
      </w:pPr>
      <w:r>
        <w:t>CALCULATOR 23 / OPERATIONS</w:t>
      </w:r>
    </w:p>
    <w:p>
      <w:pPr>
        <w:pStyle w:val="GuideHeading1"/>
      </w:pPr>
      <w:r>
        <w:t>Package count pricing</w:t>
      </w:r>
    </w:p>
    <w:p>
      <w:pPr>
        <w:pStyle w:val="GuideLead"/>
      </w:pPr>
      <w:r>
        <w:t>Combine a base amount, rate per kg, first-package amount and additional-package amount.</w:t>
      </w:r>
    </w:p>
    <w:tbl>
      <w:tblPr>
        <w:tblW w:type="dxa" w:w="9695"/>
        <w:jc w:val="center"/>
        <w:tblLayout w:type="fixed"/>
        <w:tblLook w:firstColumn="1" w:firstRow="1" w:lastColumn="0" w:lastRow="0" w:noHBand="0" w:noVBand="1" w:val="04A0"/>
      </w:tblPr>
      <w:tblGrid>
        <w:gridCol w:w="3288"/>
        <w:gridCol w:w="6407"/>
      </w:tblGrid>
      <w:tr>
        <w:trPr>
          <w:tblHeader w:val="true"/>
        </w:trPr>
        <w:tc>
          <w:tcPr>
            <w:tcW w:type="dxa" w:w="328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E8F2F0" w:val="clear"/>
          </w:tcPr>
          <w:p>
            <w:pPr>
              <w:keepNext w:val="0"/>
              <w:spacing w:before="0" w:after="0" w:line="264" w:lineRule="auto"/>
            </w:pPr>
            <w:r>
              <w:rPr>
                <w:rFonts w:ascii="Arial" w:hAnsi="Arial" w:eastAsia="Arial"/>
                <w:b w:val="0"/>
                <w:i w:val="0"/>
                <w:color w:val="00645E"/>
                <w:sz w:val="17"/>
              </w:rPr>
              <w:t>Pricing method</w:t>
            </w:r>
          </w:p>
        </w:tc>
        <w:tc>
          <w:tcPr>
            <w:tcW w:type="dxa" w:w="6406"/>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E8F2F0" w:val="clear"/>
          </w:tcPr>
          <w:p>
            <w:pPr>
              <w:keepNext w:val="0"/>
              <w:spacing w:before="0" w:after="0" w:line="264" w:lineRule="auto"/>
            </w:pPr>
            <w:r>
              <w:rPr>
                <w:rFonts w:ascii="Arial" w:hAnsi="Arial" w:eastAsia="Arial"/>
                <w:b w:val="0"/>
                <w:i w:val="0"/>
                <w:color w:val="00645E"/>
                <w:sz w:val="17"/>
              </w:rPr>
              <w:t>How it behaves</w:t>
            </w:r>
          </w:p>
        </w:tc>
      </w:tr>
      <w:tr>
        <w:tc>
          <w:tcPr>
            <w:tcW w:type="dxa" w:w="328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FFFFF" w:val="clear"/>
          </w:tcPr>
          <w:p>
            <w:pPr>
              <w:keepNext w:val="0"/>
              <w:spacing w:before="0" w:after="0" w:line="264" w:lineRule="auto"/>
            </w:pPr>
            <w:r>
              <w:rPr>
                <w:rFonts w:ascii="Arial" w:hAnsi="Arial" w:eastAsia="Arial"/>
                <w:b w:val="0"/>
                <w:i w:val="0"/>
                <w:color w:val="00645E"/>
                <w:sz w:val="17"/>
              </w:rPr>
              <w:t>Count + weight</w:t>
            </w:r>
          </w:p>
        </w:tc>
        <w:tc>
          <w:tcPr>
            <w:tcW w:type="dxa" w:w="6406"/>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FFFFF" w:val="clear"/>
          </w:tcPr>
          <w:p>
            <w:pPr>
              <w:keepNext w:val="0"/>
              <w:spacing w:before="0" w:after="0" w:line="264" w:lineRule="auto"/>
            </w:pPr>
            <w:r>
              <w:rPr>
                <w:rFonts w:ascii="Arial" w:hAnsi="Arial" w:eastAsia="Arial"/>
                <w:b w:val="0"/>
                <w:i w:val="0"/>
                <w:color w:val="111817"/>
                <w:sz w:val="17"/>
              </w:rPr>
              <w:t>Result = base + weight element + first package + additional packages.</w:t>
            </w:r>
          </w:p>
        </w:tc>
      </w:tr>
    </w:tbl>
    <w:p>
      <w:pPr>
        <w:keepNext w:val="0"/>
        <w:spacing w:before="0" w:after="100" w:line="276" w:lineRule="auto"/>
      </w:pPr>
      <w:r>
        <w:rPr>
          <w:rFonts w:ascii="Arial" w:hAnsi="Arial" w:eastAsia="Arial"/>
          <w:b w:val="0"/>
          <w:i w:val="0"/>
          <w:color w:val="111817"/>
          <w:sz w:val="4"/>
        </w:rPr>
      </w:r>
    </w:p>
    <w:tbl>
      <w:tblPr>
        <w:tblW w:type="dxa" w:w="9695"/>
        <w:jc w:val="center"/>
        <w:tblLayout w:type="fixed"/>
        <w:tblLook w:firstColumn="1" w:firstRow="1" w:lastColumn="0" w:lastRow="0" w:noHBand="0" w:noVBand="1" w:val="04A0"/>
      </w:tblPr>
      <w:tblGrid>
        <w:gridCol w:w="4847"/>
        <w:gridCol w:w="4847"/>
      </w:tblGrid>
      <w:tr>
        <w:tc>
          <w:tcPr>
            <w:tcW w:type="dxa" w:w="4847"/>
            <w:tcBorders>
              <w:top w:val="single" w:sz="5" w:space="0" w:color="CDDCD9"/>
              <w:left w:val="single" w:sz="5" w:space="0" w:color="CDDCD9"/>
              <w:bottom w:val="single" w:sz="5" w:space="0" w:color="CDDCD9"/>
              <w:right w:val="single" w:sz="5" w:space="0" w:color="CDDCD9"/>
            </w:tcBorders>
            <w:shd w:fill="F3F7F6" w:val="clear"/>
            <w:tcMar>
              <w:top w:w="120" w:type="dxa"/>
              <w:start w:w="150" w:type="dxa"/>
              <w:bottom w:w="130" w:type="dxa"/>
              <w:end w:w="150" w:type="dxa"/>
            </w:tcMar>
            <w:vAlign w:val="top"/>
          </w:tcPr>
          <w:p>
            <w:pPr>
              <w:keepNext w:val="0"/>
              <w:spacing w:before="0" w:after="0" w:line="264" w:lineRule="auto"/>
            </w:pPr>
            <w:r>
              <w:rPr>
                <w:rFonts w:ascii="Arial" w:hAnsi="Arial" w:eastAsia="Arial"/>
                <w:b w:val="0"/>
                <w:i w:val="0"/>
                <w:color w:val="00645E"/>
                <w:sz w:val="18"/>
              </w:rPr>
              <w:t>Inputs</w:t>
            </w:r>
          </w:p>
          <w:p>
            <w:pPr>
              <w:pStyle w:val="ListBullet"/>
              <w:keepNext w:val="0"/>
              <w:spacing w:before="0" w:after="0" w:line="245" w:lineRule="auto"/>
              <w:ind w:left="198" w:hanging="102"/>
            </w:pPr>
            <w:r>
              <w:rPr>
                <w:rFonts w:ascii="Arial" w:hAnsi="Arial" w:eastAsia="Arial"/>
                <w:b w:val="0"/>
                <w:i w:val="0"/>
                <w:color w:val="111817"/>
                <w:sz w:val="17"/>
              </w:rPr>
              <w:t>Base amount</w:t>
            </w:r>
          </w:p>
          <w:p>
            <w:pPr>
              <w:pStyle w:val="ListBullet"/>
              <w:keepNext w:val="0"/>
              <w:spacing w:before="0" w:after="0" w:line="245" w:lineRule="auto"/>
              <w:ind w:left="198" w:hanging="102"/>
            </w:pPr>
            <w:r>
              <w:rPr>
                <w:rFonts w:ascii="Arial" w:hAnsi="Arial" w:eastAsia="Arial"/>
                <w:b w:val="0"/>
                <w:i w:val="0"/>
                <w:color w:val="111817"/>
                <w:sz w:val="17"/>
              </w:rPr>
              <w:t>Rate per kg</w:t>
            </w:r>
          </w:p>
          <w:p>
            <w:pPr>
              <w:pStyle w:val="ListBullet"/>
              <w:keepNext w:val="0"/>
              <w:spacing w:before="0" w:after="0" w:line="245" w:lineRule="auto"/>
              <w:ind w:left="198" w:hanging="102"/>
            </w:pPr>
            <w:r>
              <w:rPr>
                <w:rFonts w:ascii="Arial" w:hAnsi="Arial" w:eastAsia="Arial"/>
                <w:b w:val="0"/>
                <w:i w:val="0"/>
                <w:color w:val="111817"/>
                <w:sz w:val="17"/>
              </w:rPr>
              <w:t>First-package amount</w:t>
            </w:r>
          </w:p>
          <w:p>
            <w:pPr>
              <w:pStyle w:val="ListBullet"/>
              <w:keepNext w:val="0"/>
              <w:spacing w:before="0" w:after="0" w:line="245" w:lineRule="auto"/>
              <w:ind w:left="198" w:hanging="102"/>
            </w:pPr>
            <w:r>
              <w:rPr>
                <w:rFonts w:ascii="Arial" w:hAnsi="Arial" w:eastAsia="Arial"/>
                <w:b w:val="0"/>
                <w:i w:val="0"/>
                <w:color w:val="111817"/>
                <w:sz w:val="17"/>
              </w:rPr>
              <w:t>Additional-package amount</w:t>
            </w:r>
          </w:p>
          <w:p>
            <w:pPr>
              <w:pStyle w:val="ListBullet"/>
              <w:keepNext w:val="0"/>
              <w:spacing w:before="0" w:after="0" w:line="245" w:lineRule="auto"/>
              <w:ind w:left="198" w:hanging="102"/>
            </w:pPr>
            <w:r>
              <w:rPr>
                <w:rFonts w:ascii="Arial" w:hAnsi="Arial" w:eastAsia="Arial"/>
                <w:b w:val="0"/>
                <w:i w:val="0"/>
                <w:color w:val="111817"/>
                <w:sz w:val="17"/>
              </w:rPr>
              <w:t>Weight and count</w:t>
            </w:r>
          </w:p>
        </w:tc>
        <w:tc>
          <w:tcPr>
            <w:tcW w:type="dxa" w:w="4847"/>
            <w:tcBorders>
              <w:top w:val="single" w:sz="5" w:space="0" w:color="CDDCD9"/>
              <w:left w:val="single" w:sz="5" w:space="0" w:color="CDDCD9"/>
              <w:bottom w:val="single" w:sz="5" w:space="0" w:color="CDDCD9"/>
              <w:right w:val="single" w:sz="5" w:space="0" w:color="CDDCD9"/>
            </w:tcBorders>
            <w:shd w:fill="F8F4EA" w:val="clear"/>
            <w:tcMar>
              <w:top w:w="120" w:type="dxa"/>
              <w:start w:w="150" w:type="dxa"/>
              <w:bottom w:w="130" w:type="dxa"/>
              <w:end w:w="150" w:type="dxa"/>
            </w:tcMar>
            <w:vAlign w:val="top"/>
          </w:tcPr>
          <w:p>
            <w:pPr>
              <w:keepNext w:val="0"/>
              <w:spacing w:before="0" w:after="0" w:line="264" w:lineRule="auto"/>
            </w:pPr>
            <w:r>
              <w:rPr>
                <w:rFonts w:ascii="Arial" w:hAnsi="Arial" w:eastAsia="Arial"/>
                <w:b w:val="0"/>
                <w:i w:val="0"/>
                <w:color w:val="00645E"/>
                <w:sz w:val="18"/>
              </w:rPr>
              <w:t>Operator safeguard</w:t>
            </w:r>
          </w:p>
          <w:p>
            <w:pPr>
              <w:keepNext w:val="0"/>
              <w:spacing w:before="0" w:after="0" w:line="276" w:lineRule="auto"/>
            </w:pPr>
            <w:r>
              <w:rPr>
                <w:rFonts w:ascii="Arial" w:hAnsi="Arial" w:eastAsia="Arial"/>
                <w:b w:val="0"/>
                <w:i w:val="0"/>
                <w:color w:val="111817"/>
                <w:sz w:val="17"/>
              </w:rPr>
              <w:t>Display each component in the result so users can check the selected count and weight sources.</w:t>
            </w:r>
          </w:p>
        </w:tc>
      </w:tr>
    </w:tbl>
    <w:p>
      <w:pPr>
        <w:keepNext w:val="0"/>
        <w:spacing w:before="0" w:after="100" w:line="276" w:lineRule="auto"/>
      </w:pPr>
      <w:r>
        <w:rPr>
          <w:rFonts w:ascii="Arial" w:hAnsi="Arial" w:eastAsia="Arial"/>
          <w:b w:val="0"/>
          <w:i w:val="0"/>
          <w:color w:val="111817"/>
          <w:sz w:val="4"/>
        </w:rPr>
      </w:r>
    </w:p>
    <w:tbl>
      <w:tblPr>
        <w:tblW w:type="dxa" w:w="9695"/>
        <w:jc w:val="center"/>
        <w:tblLayout w:type="fixed"/>
        <w:tblLook w:firstColumn="1" w:firstRow="1" w:lastColumn="0" w:lastRow="0" w:noHBand="0" w:noVBand="1" w:val="04A0"/>
      </w:tblPr>
      <w:tblGrid>
        <w:gridCol w:w="9695"/>
      </w:tblGrid>
      <w:tr>
        <w:tc>
          <w:tcPr>
            <w:tcW w:type="dxa" w:w="9694"/>
            <w:tcBorders>
              <w:top w:val="single" w:sz="5" w:space="0" w:color="B9D6D0"/>
              <w:left w:val="single" w:sz="5" w:space="0" w:color="B9D6D0"/>
              <w:bottom w:val="single" w:sz="5" w:space="0" w:color="B9D6D0"/>
              <w:right w:val="single" w:sz="5" w:space="0" w:color="B9D6D0"/>
            </w:tcBorders>
            <w:shd w:fill="14877D" w:val="clear"/>
            <w:tcMar>
              <w:top w:w="75" w:type="dxa"/>
              <w:start w:w="150" w:type="dxa"/>
              <w:bottom w:w="75" w:type="dxa"/>
              <w:end w:w="150" w:type="dxa"/>
            </w:tcMar>
          </w:tcPr>
          <w:p>
            <w:pPr>
              <w:keepNext w:val="0"/>
              <w:spacing w:before="0" w:after="0" w:line="264" w:lineRule="auto"/>
            </w:pPr>
            <w:r>
              <w:rPr>
                <w:rFonts w:ascii="Arial" w:hAnsi="Arial" w:eastAsia="Arial"/>
                <w:b w:val="0"/>
                <w:i w:val="0"/>
                <w:color w:val="FFFFFF"/>
                <w:sz w:val="18"/>
              </w:rPr>
              <w:t>Example</w:t>
            </w:r>
          </w:p>
        </w:tc>
      </w:tr>
      <w:tr>
        <w:tc>
          <w:tcPr>
            <w:tcW w:type="dxa" w:w="9694"/>
            <w:tcBorders>
              <w:top w:val="single" w:sz="5" w:space="0" w:color="B9D6D0"/>
              <w:left w:val="single" w:sz="5" w:space="0" w:color="B9D6D0"/>
              <w:bottom w:val="single" w:sz="5" w:space="0" w:color="B9D6D0"/>
              <w:right w:val="single" w:sz="5" w:space="0" w:color="B9D6D0"/>
            </w:tcBorders>
            <w:shd w:fill="F3F7F6" w:val="clear"/>
            <w:tcMar>
              <w:top w:w="105" w:type="dxa"/>
              <w:start w:w="150" w:type="dxa"/>
              <w:bottom w:w="105" w:type="dxa"/>
              <w:end w:w="150" w:type="dxa"/>
            </w:tcMar>
          </w:tcPr>
          <w:p>
            <w:pPr>
              <w:keepNext w:val="0"/>
              <w:spacing w:before="0" w:after="0" w:line="264" w:lineRule="auto"/>
            </w:pPr>
            <w:r>
              <w:rPr>
                <w:rFonts w:ascii="Arial" w:hAnsi="Arial" w:eastAsia="Arial"/>
                <w:b w:val="0"/>
                <w:i w:val="0"/>
                <w:color w:val="111817"/>
                <w:sz w:val="17"/>
              </w:rPr>
              <w:t>Security screening: GBP 12.00 base, GBP 0.03/kg and GBP 1.50 per package after the first.</w:t>
            </w:r>
          </w:p>
        </w:tc>
      </w:tr>
    </w:tbl>
    <w:p>
      <w:pPr>
        <w:pStyle w:val="GuideHeading2"/>
      </w:pPr>
      <w:r>
        <w:t>Multideck interaction pattern</w:t>
      </w:r>
    </w:p>
    <w:p>
      <w:pPr>
        <w:pStyle w:val="GuideBody"/>
      </w:pPr>
      <w:r>
        <w:t>Choose this pricing method from a plain-language selector. Multideck then reveals only the relevant inputs, validates missing data before rating, and keeps a live explanation beside the result. The charge remains independent on the supplier and customer sides unless an operator explicitly copies it.</w:t>
      </w:r>
    </w:p>
    <w:p>
      <w:r>
        <w:br w:type="page"/>
      </w:r>
    </w:p>
    <w:p>
      <w:pPr>
        <w:pStyle w:val="GuideEyebrow"/>
      </w:pPr>
      <w:r>
        <w:t>CALCULATOR 24 / OPERATIONS</w:t>
      </w:r>
    </w:p>
    <w:p>
      <w:pPr>
        <w:pStyle w:val="GuideHeading1"/>
      </w:pPr>
      <w:r>
        <w:t>Release service pricing</w:t>
      </w:r>
    </w:p>
    <w:p>
      <w:pPr>
        <w:pStyle w:val="GuideLead"/>
      </w:pPr>
      <w:r>
        <w:t>Apply an amount based on the release or collection service requested.</w:t>
      </w:r>
    </w:p>
    <w:tbl>
      <w:tblPr>
        <w:tblW w:type="dxa" w:w="9695"/>
        <w:jc w:val="center"/>
        <w:tblLayout w:type="fixed"/>
        <w:tblLook w:firstColumn="1" w:firstRow="1" w:lastColumn="0" w:lastRow="0" w:noHBand="0" w:noVBand="1" w:val="04A0"/>
      </w:tblPr>
      <w:tblGrid>
        <w:gridCol w:w="3288"/>
        <w:gridCol w:w="6407"/>
      </w:tblGrid>
      <w:tr>
        <w:trPr>
          <w:tblHeader w:val="true"/>
        </w:trPr>
        <w:tc>
          <w:tcPr>
            <w:tcW w:type="dxa" w:w="328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E8F2F0" w:val="clear"/>
          </w:tcPr>
          <w:p>
            <w:pPr>
              <w:keepNext w:val="0"/>
              <w:spacing w:before="0" w:after="0" w:line="264" w:lineRule="auto"/>
            </w:pPr>
            <w:r>
              <w:rPr>
                <w:rFonts w:ascii="Arial" w:hAnsi="Arial" w:eastAsia="Arial"/>
                <w:b w:val="0"/>
                <w:i w:val="0"/>
                <w:color w:val="00645E"/>
                <w:sz w:val="17"/>
              </w:rPr>
              <w:t>Pricing method</w:t>
            </w:r>
          </w:p>
        </w:tc>
        <w:tc>
          <w:tcPr>
            <w:tcW w:type="dxa" w:w="6406"/>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E8F2F0" w:val="clear"/>
          </w:tcPr>
          <w:p>
            <w:pPr>
              <w:keepNext w:val="0"/>
              <w:spacing w:before="0" w:after="0" w:line="264" w:lineRule="auto"/>
            </w:pPr>
            <w:r>
              <w:rPr>
                <w:rFonts w:ascii="Arial" w:hAnsi="Arial" w:eastAsia="Arial"/>
                <w:b w:val="0"/>
                <w:i w:val="0"/>
                <w:color w:val="00645E"/>
                <w:sz w:val="17"/>
              </w:rPr>
              <w:t>How it behaves</w:t>
            </w:r>
          </w:p>
        </w:tc>
      </w:tr>
      <w:tr>
        <w:tc>
          <w:tcPr>
            <w:tcW w:type="dxa" w:w="328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FFFFF" w:val="clear"/>
          </w:tcPr>
          <w:p>
            <w:pPr>
              <w:keepNext w:val="0"/>
              <w:spacing w:before="0" w:after="0" w:line="264" w:lineRule="auto"/>
            </w:pPr>
            <w:r>
              <w:rPr>
                <w:rFonts w:ascii="Arial" w:hAnsi="Arial" w:eastAsia="Arial"/>
                <w:b w:val="0"/>
                <w:i w:val="0"/>
                <w:color w:val="00645E"/>
                <w:sz w:val="17"/>
              </w:rPr>
              <w:t>Release type</w:t>
            </w:r>
          </w:p>
        </w:tc>
        <w:tc>
          <w:tcPr>
            <w:tcW w:type="dxa" w:w="6406"/>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FFFFF" w:val="clear"/>
          </w:tcPr>
          <w:p>
            <w:pPr>
              <w:keepNext w:val="0"/>
              <w:spacing w:before="0" w:after="0" w:line="264" w:lineRule="auto"/>
            </w:pPr>
            <w:r>
              <w:rPr>
                <w:rFonts w:ascii="Arial" w:hAnsi="Arial" w:eastAsia="Arial"/>
                <w:b w:val="0"/>
                <w:i w:val="0"/>
                <w:color w:val="111817"/>
                <w:sz w:val="17"/>
              </w:rPr>
              <w:t>Result uses the rate assigned to the selected release service.</w:t>
            </w:r>
          </w:p>
        </w:tc>
      </w:tr>
    </w:tbl>
    <w:p>
      <w:pPr>
        <w:keepNext w:val="0"/>
        <w:spacing w:before="0" w:after="100" w:line="276" w:lineRule="auto"/>
      </w:pPr>
      <w:r>
        <w:rPr>
          <w:rFonts w:ascii="Arial" w:hAnsi="Arial" w:eastAsia="Arial"/>
          <w:b w:val="0"/>
          <w:i w:val="0"/>
          <w:color w:val="111817"/>
          <w:sz w:val="4"/>
        </w:rPr>
      </w:r>
    </w:p>
    <w:tbl>
      <w:tblPr>
        <w:tblW w:type="dxa" w:w="9695"/>
        <w:jc w:val="center"/>
        <w:tblLayout w:type="fixed"/>
        <w:tblLook w:firstColumn="1" w:firstRow="1" w:lastColumn="0" w:lastRow="0" w:noHBand="0" w:noVBand="1" w:val="04A0"/>
      </w:tblPr>
      <w:tblGrid>
        <w:gridCol w:w="4847"/>
        <w:gridCol w:w="4847"/>
      </w:tblGrid>
      <w:tr>
        <w:tc>
          <w:tcPr>
            <w:tcW w:type="dxa" w:w="4847"/>
            <w:tcBorders>
              <w:top w:val="single" w:sz="5" w:space="0" w:color="CDDCD9"/>
              <w:left w:val="single" w:sz="5" w:space="0" w:color="CDDCD9"/>
              <w:bottom w:val="single" w:sz="5" w:space="0" w:color="CDDCD9"/>
              <w:right w:val="single" w:sz="5" w:space="0" w:color="CDDCD9"/>
            </w:tcBorders>
            <w:shd w:fill="F3F7F6" w:val="clear"/>
            <w:tcMar>
              <w:top w:w="120" w:type="dxa"/>
              <w:start w:w="150" w:type="dxa"/>
              <w:bottom w:w="130" w:type="dxa"/>
              <w:end w:w="150" w:type="dxa"/>
            </w:tcMar>
            <w:vAlign w:val="top"/>
          </w:tcPr>
          <w:p>
            <w:pPr>
              <w:keepNext w:val="0"/>
              <w:spacing w:before="0" w:after="0" w:line="264" w:lineRule="auto"/>
            </w:pPr>
            <w:r>
              <w:rPr>
                <w:rFonts w:ascii="Arial" w:hAnsi="Arial" w:eastAsia="Arial"/>
                <w:b w:val="0"/>
                <w:i w:val="0"/>
                <w:color w:val="00645E"/>
                <w:sz w:val="18"/>
              </w:rPr>
              <w:t>Inputs</w:t>
            </w:r>
          </w:p>
          <w:p>
            <w:pPr>
              <w:pStyle w:val="ListBullet"/>
              <w:keepNext w:val="0"/>
              <w:spacing w:before="0" w:after="0" w:line="245" w:lineRule="auto"/>
              <w:ind w:left="198" w:hanging="102"/>
            </w:pPr>
            <w:r>
              <w:rPr>
                <w:rFonts w:ascii="Arial" w:hAnsi="Arial" w:eastAsia="Arial"/>
                <w:b w:val="0"/>
                <w:i w:val="0"/>
                <w:color w:val="111817"/>
                <w:sz w:val="17"/>
              </w:rPr>
              <w:t>Release service</w:t>
            </w:r>
          </w:p>
          <w:p>
            <w:pPr>
              <w:pStyle w:val="ListBullet"/>
              <w:keepNext w:val="0"/>
              <w:spacing w:before="0" w:after="0" w:line="245" w:lineRule="auto"/>
              <w:ind w:left="198" w:hanging="102"/>
            </w:pPr>
            <w:r>
              <w:rPr>
                <w:rFonts w:ascii="Arial" w:hAnsi="Arial" w:eastAsia="Arial"/>
                <w:b w:val="0"/>
                <w:i w:val="0"/>
                <w:color w:val="111817"/>
                <w:sz w:val="17"/>
              </w:rPr>
              <w:t>Rate</w:t>
            </w:r>
          </w:p>
          <w:p>
            <w:pPr>
              <w:pStyle w:val="ListBullet"/>
              <w:keepNext w:val="0"/>
              <w:spacing w:before="0" w:after="0" w:line="245" w:lineRule="auto"/>
              <w:ind w:left="198" w:hanging="102"/>
            </w:pPr>
            <w:r>
              <w:rPr>
                <w:rFonts w:ascii="Arial" w:hAnsi="Arial" w:eastAsia="Arial"/>
                <w:b w:val="0"/>
                <w:i w:val="0"/>
                <w:color w:val="111817"/>
                <w:sz w:val="17"/>
              </w:rPr>
              <w:t>Eligibility conditions</w:t>
            </w:r>
          </w:p>
        </w:tc>
        <w:tc>
          <w:tcPr>
            <w:tcW w:type="dxa" w:w="4847"/>
            <w:tcBorders>
              <w:top w:val="single" w:sz="5" w:space="0" w:color="CDDCD9"/>
              <w:left w:val="single" w:sz="5" w:space="0" w:color="CDDCD9"/>
              <w:bottom w:val="single" w:sz="5" w:space="0" w:color="CDDCD9"/>
              <w:right w:val="single" w:sz="5" w:space="0" w:color="CDDCD9"/>
            </w:tcBorders>
            <w:shd w:fill="F8F4EA" w:val="clear"/>
            <w:tcMar>
              <w:top w:w="120" w:type="dxa"/>
              <w:start w:w="150" w:type="dxa"/>
              <w:bottom w:w="130" w:type="dxa"/>
              <w:end w:w="150" w:type="dxa"/>
            </w:tcMar>
            <w:vAlign w:val="top"/>
          </w:tcPr>
          <w:p>
            <w:pPr>
              <w:keepNext w:val="0"/>
              <w:spacing w:before="0" w:after="0" w:line="264" w:lineRule="auto"/>
            </w:pPr>
            <w:r>
              <w:rPr>
                <w:rFonts w:ascii="Arial" w:hAnsi="Arial" w:eastAsia="Arial"/>
                <w:b w:val="0"/>
                <w:i w:val="0"/>
                <w:color w:val="00645E"/>
                <w:sz w:val="18"/>
              </w:rPr>
              <w:t>Operator safeguard</w:t>
            </w:r>
          </w:p>
          <w:p>
            <w:pPr>
              <w:keepNext w:val="0"/>
              <w:spacing w:before="0" w:after="0" w:line="276" w:lineRule="auto"/>
            </w:pPr>
            <w:r>
              <w:rPr>
                <w:rFonts w:ascii="Arial" w:hAnsi="Arial" w:eastAsia="Arial"/>
                <w:b w:val="0"/>
                <w:i w:val="0"/>
                <w:color w:val="111817"/>
                <w:sz w:val="17"/>
              </w:rPr>
              <w:t>Only show release services that are valid for the shipment, carrier and origin or destination process.</w:t>
            </w:r>
          </w:p>
        </w:tc>
      </w:tr>
    </w:tbl>
    <w:p>
      <w:pPr>
        <w:keepNext w:val="0"/>
        <w:spacing w:before="0" w:after="100" w:line="276" w:lineRule="auto"/>
      </w:pPr>
      <w:r>
        <w:rPr>
          <w:rFonts w:ascii="Arial" w:hAnsi="Arial" w:eastAsia="Arial"/>
          <w:b w:val="0"/>
          <w:i w:val="0"/>
          <w:color w:val="111817"/>
          <w:sz w:val="4"/>
        </w:rPr>
      </w:r>
    </w:p>
    <w:tbl>
      <w:tblPr>
        <w:tblW w:type="dxa" w:w="9695"/>
        <w:jc w:val="center"/>
        <w:tblLayout w:type="fixed"/>
        <w:tblLook w:firstColumn="1" w:firstRow="1" w:lastColumn="0" w:lastRow="0" w:noHBand="0" w:noVBand="1" w:val="04A0"/>
      </w:tblPr>
      <w:tblGrid>
        <w:gridCol w:w="9695"/>
      </w:tblGrid>
      <w:tr>
        <w:tc>
          <w:tcPr>
            <w:tcW w:type="dxa" w:w="9694"/>
            <w:tcBorders>
              <w:top w:val="single" w:sz="5" w:space="0" w:color="B9D6D0"/>
              <w:left w:val="single" w:sz="5" w:space="0" w:color="B9D6D0"/>
              <w:bottom w:val="single" w:sz="5" w:space="0" w:color="B9D6D0"/>
              <w:right w:val="single" w:sz="5" w:space="0" w:color="B9D6D0"/>
            </w:tcBorders>
            <w:shd w:fill="14877D" w:val="clear"/>
            <w:tcMar>
              <w:top w:w="75" w:type="dxa"/>
              <w:start w:w="150" w:type="dxa"/>
              <w:bottom w:w="75" w:type="dxa"/>
              <w:end w:w="150" w:type="dxa"/>
            </w:tcMar>
          </w:tcPr>
          <w:p>
            <w:pPr>
              <w:keepNext w:val="0"/>
              <w:spacing w:before="0" w:after="0" w:line="264" w:lineRule="auto"/>
            </w:pPr>
            <w:r>
              <w:rPr>
                <w:rFonts w:ascii="Arial" w:hAnsi="Arial" w:eastAsia="Arial"/>
                <w:b w:val="0"/>
                <w:i w:val="0"/>
                <w:color w:val="FFFFFF"/>
                <w:sz w:val="18"/>
              </w:rPr>
              <w:t>Example</w:t>
            </w:r>
          </w:p>
        </w:tc>
      </w:tr>
      <w:tr>
        <w:tc>
          <w:tcPr>
            <w:tcW w:type="dxa" w:w="9694"/>
            <w:tcBorders>
              <w:top w:val="single" w:sz="5" w:space="0" w:color="B9D6D0"/>
              <w:left w:val="single" w:sz="5" w:space="0" w:color="B9D6D0"/>
              <w:bottom w:val="single" w:sz="5" w:space="0" w:color="B9D6D0"/>
              <w:right w:val="single" w:sz="5" w:space="0" w:color="B9D6D0"/>
            </w:tcBorders>
            <w:shd w:fill="F3F7F6" w:val="clear"/>
            <w:tcMar>
              <w:top w:w="105" w:type="dxa"/>
              <w:start w:w="150" w:type="dxa"/>
              <w:bottom w:w="105" w:type="dxa"/>
              <w:end w:w="150" w:type="dxa"/>
            </w:tcMar>
          </w:tcPr>
          <w:p>
            <w:pPr>
              <w:keepNext w:val="0"/>
              <w:spacing w:before="0" w:after="0" w:line="264" w:lineRule="auto"/>
            </w:pPr>
            <w:r>
              <w:rPr>
                <w:rFonts w:ascii="Arial" w:hAnsi="Arial" w:eastAsia="Arial"/>
                <w:b w:val="0"/>
                <w:i w:val="0"/>
                <w:color w:val="111817"/>
                <w:sz w:val="17"/>
              </w:rPr>
              <w:t>Express cargo release: GBP 35.00; standard release: GBP 15.00.</w:t>
            </w:r>
          </w:p>
        </w:tc>
      </w:tr>
    </w:tbl>
    <w:p>
      <w:pPr>
        <w:pStyle w:val="GuideHeading2"/>
      </w:pPr>
      <w:r>
        <w:t>Multideck interaction pattern</w:t>
      </w:r>
    </w:p>
    <w:p>
      <w:pPr>
        <w:pStyle w:val="GuideBody"/>
      </w:pPr>
      <w:r>
        <w:t>Choose this pricing method from a plain-language selector. Multideck then reveals only the relevant inputs, validates missing data before rating, and keeps a live explanation beside the result. The charge remains independent on the supplier and customer sides unless an operator explicitly copies it.</w:t>
      </w:r>
    </w:p>
    <w:p>
      <w:r>
        <w:br w:type="page"/>
      </w:r>
    </w:p>
    <w:p>
      <w:pPr>
        <w:pStyle w:val="GuideEyebrow"/>
      </w:pPr>
      <w:r>
        <w:t>CALCULATOR 25 / WAREHOUSE</w:t>
      </w:r>
    </w:p>
    <w:p>
      <w:pPr>
        <w:pStyle w:val="GuideHeading1"/>
      </w:pPr>
      <w:r>
        <w:t>Month split storage</w:t>
      </w:r>
    </w:p>
    <w:p>
      <w:pPr>
        <w:pStyle w:val="GuideLead"/>
      </w:pPr>
      <w:r>
        <w:t>Use different storage rates before and after a defined point in the billing month.</w:t>
      </w:r>
    </w:p>
    <w:tbl>
      <w:tblPr>
        <w:tblW w:type="dxa" w:w="9695"/>
        <w:jc w:val="center"/>
        <w:tblLayout w:type="fixed"/>
        <w:tblLook w:firstColumn="1" w:firstRow="1" w:lastColumn="0" w:lastRow="0" w:noHBand="0" w:noVBand="1" w:val="04A0"/>
      </w:tblPr>
      <w:tblGrid>
        <w:gridCol w:w="3288"/>
        <w:gridCol w:w="6407"/>
      </w:tblGrid>
      <w:tr>
        <w:trPr>
          <w:tblHeader w:val="true"/>
        </w:trPr>
        <w:tc>
          <w:tcPr>
            <w:tcW w:type="dxa" w:w="328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E8F2F0" w:val="clear"/>
          </w:tcPr>
          <w:p>
            <w:pPr>
              <w:keepNext w:val="0"/>
              <w:spacing w:before="0" w:after="0" w:line="264" w:lineRule="auto"/>
            </w:pPr>
            <w:r>
              <w:rPr>
                <w:rFonts w:ascii="Arial" w:hAnsi="Arial" w:eastAsia="Arial"/>
                <w:b w:val="0"/>
                <w:i w:val="0"/>
                <w:color w:val="00645E"/>
                <w:sz w:val="17"/>
              </w:rPr>
              <w:t>Pricing method</w:t>
            </w:r>
          </w:p>
        </w:tc>
        <w:tc>
          <w:tcPr>
            <w:tcW w:type="dxa" w:w="6406"/>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E8F2F0" w:val="clear"/>
          </w:tcPr>
          <w:p>
            <w:pPr>
              <w:keepNext w:val="0"/>
              <w:spacing w:before="0" w:after="0" w:line="264" w:lineRule="auto"/>
            </w:pPr>
            <w:r>
              <w:rPr>
                <w:rFonts w:ascii="Arial" w:hAnsi="Arial" w:eastAsia="Arial"/>
                <w:b w:val="0"/>
                <w:i w:val="0"/>
                <w:color w:val="00645E"/>
                <w:sz w:val="17"/>
              </w:rPr>
              <w:t>How it behaves</w:t>
            </w:r>
          </w:p>
        </w:tc>
      </w:tr>
      <w:tr>
        <w:tc>
          <w:tcPr>
            <w:tcW w:type="dxa" w:w="328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FFFFF" w:val="clear"/>
          </w:tcPr>
          <w:p>
            <w:pPr>
              <w:keepNext w:val="0"/>
              <w:spacing w:before="0" w:after="0" w:line="264" w:lineRule="auto"/>
            </w:pPr>
            <w:r>
              <w:rPr>
                <w:rFonts w:ascii="Arial" w:hAnsi="Arial" w:eastAsia="Arial"/>
                <w:b w:val="0"/>
                <w:i w:val="0"/>
                <w:color w:val="00645E"/>
                <w:sz w:val="17"/>
              </w:rPr>
              <w:t>Date threshold</w:t>
            </w:r>
          </w:p>
        </w:tc>
        <w:tc>
          <w:tcPr>
            <w:tcW w:type="dxa" w:w="6406"/>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FFFFF" w:val="clear"/>
          </w:tcPr>
          <w:p>
            <w:pPr>
              <w:keepNext w:val="0"/>
              <w:spacing w:before="0" w:after="0" w:line="264" w:lineRule="auto"/>
            </w:pPr>
            <w:r>
              <w:rPr>
                <w:rFonts w:ascii="Arial" w:hAnsi="Arial" w:eastAsia="Arial"/>
                <w:b w:val="0"/>
                <w:i w:val="0"/>
                <w:color w:val="111817"/>
                <w:sz w:val="17"/>
              </w:rPr>
              <w:t>Result divides eligible storage time across the configured calendar threshold and applies each rate.</w:t>
            </w:r>
          </w:p>
        </w:tc>
      </w:tr>
    </w:tbl>
    <w:p>
      <w:pPr>
        <w:keepNext w:val="0"/>
        <w:spacing w:before="0" w:after="100" w:line="276" w:lineRule="auto"/>
      </w:pPr>
      <w:r>
        <w:rPr>
          <w:rFonts w:ascii="Arial" w:hAnsi="Arial" w:eastAsia="Arial"/>
          <w:b w:val="0"/>
          <w:i w:val="0"/>
          <w:color w:val="111817"/>
          <w:sz w:val="4"/>
        </w:rPr>
      </w:r>
    </w:p>
    <w:tbl>
      <w:tblPr>
        <w:tblW w:type="dxa" w:w="9695"/>
        <w:jc w:val="center"/>
        <w:tblLayout w:type="fixed"/>
        <w:tblLook w:firstColumn="1" w:firstRow="1" w:lastColumn="0" w:lastRow="0" w:noHBand="0" w:noVBand="1" w:val="04A0"/>
      </w:tblPr>
      <w:tblGrid>
        <w:gridCol w:w="4847"/>
        <w:gridCol w:w="4847"/>
      </w:tblGrid>
      <w:tr>
        <w:tc>
          <w:tcPr>
            <w:tcW w:type="dxa" w:w="4847"/>
            <w:tcBorders>
              <w:top w:val="single" w:sz="5" w:space="0" w:color="CDDCD9"/>
              <w:left w:val="single" w:sz="5" w:space="0" w:color="CDDCD9"/>
              <w:bottom w:val="single" w:sz="5" w:space="0" w:color="CDDCD9"/>
              <w:right w:val="single" w:sz="5" w:space="0" w:color="CDDCD9"/>
            </w:tcBorders>
            <w:shd w:fill="F3F7F6" w:val="clear"/>
            <w:tcMar>
              <w:top w:w="120" w:type="dxa"/>
              <w:start w:w="150" w:type="dxa"/>
              <w:bottom w:w="130" w:type="dxa"/>
              <w:end w:w="150" w:type="dxa"/>
            </w:tcMar>
            <w:vAlign w:val="top"/>
          </w:tcPr>
          <w:p>
            <w:pPr>
              <w:keepNext w:val="0"/>
              <w:spacing w:before="0" w:after="0" w:line="264" w:lineRule="auto"/>
            </w:pPr>
            <w:r>
              <w:rPr>
                <w:rFonts w:ascii="Arial" w:hAnsi="Arial" w:eastAsia="Arial"/>
                <w:b w:val="0"/>
                <w:i w:val="0"/>
                <w:color w:val="00645E"/>
                <w:sz w:val="18"/>
              </w:rPr>
              <w:t>Inputs</w:t>
            </w:r>
          </w:p>
          <w:p>
            <w:pPr>
              <w:pStyle w:val="ListBullet"/>
              <w:keepNext w:val="0"/>
              <w:spacing w:before="0" w:after="0" w:line="245" w:lineRule="auto"/>
              <w:ind w:left="198" w:hanging="102"/>
            </w:pPr>
            <w:r>
              <w:rPr>
                <w:rFonts w:ascii="Arial" w:hAnsi="Arial" w:eastAsia="Arial"/>
                <w:b w:val="0"/>
                <w:i w:val="0"/>
                <w:color w:val="111817"/>
                <w:sz w:val="17"/>
              </w:rPr>
              <w:t>Split day</w:t>
            </w:r>
          </w:p>
          <w:p>
            <w:pPr>
              <w:pStyle w:val="ListBullet"/>
              <w:keepNext w:val="0"/>
              <w:spacing w:before="0" w:after="0" w:line="245" w:lineRule="auto"/>
              <w:ind w:left="198" w:hanging="102"/>
            </w:pPr>
            <w:r>
              <w:rPr>
                <w:rFonts w:ascii="Arial" w:hAnsi="Arial" w:eastAsia="Arial"/>
                <w:b w:val="0"/>
                <w:i w:val="0"/>
                <w:color w:val="111817"/>
                <w:sz w:val="17"/>
              </w:rPr>
              <w:t>Rate before split</w:t>
            </w:r>
          </w:p>
          <w:p>
            <w:pPr>
              <w:pStyle w:val="ListBullet"/>
              <w:keepNext w:val="0"/>
              <w:spacing w:before="0" w:after="0" w:line="245" w:lineRule="auto"/>
              <w:ind w:left="198" w:hanging="102"/>
            </w:pPr>
            <w:r>
              <w:rPr>
                <w:rFonts w:ascii="Arial" w:hAnsi="Arial" w:eastAsia="Arial"/>
                <w:b w:val="0"/>
                <w:i w:val="0"/>
                <w:color w:val="111817"/>
                <w:sz w:val="17"/>
              </w:rPr>
              <w:t>Rate after split</w:t>
            </w:r>
          </w:p>
          <w:p>
            <w:pPr>
              <w:pStyle w:val="ListBullet"/>
              <w:keepNext w:val="0"/>
              <w:spacing w:before="0" w:after="0" w:line="245" w:lineRule="auto"/>
              <w:ind w:left="198" w:hanging="102"/>
            </w:pPr>
            <w:r>
              <w:rPr>
                <w:rFonts w:ascii="Arial" w:hAnsi="Arial" w:eastAsia="Arial"/>
                <w:b w:val="0"/>
                <w:i w:val="0"/>
                <w:color w:val="111817"/>
                <w:sz w:val="17"/>
              </w:rPr>
              <w:t>Storage events</w:t>
            </w:r>
          </w:p>
        </w:tc>
        <w:tc>
          <w:tcPr>
            <w:tcW w:type="dxa" w:w="4847"/>
            <w:tcBorders>
              <w:top w:val="single" w:sz="5" w:space="0" w:color="CDDCD9"/>
              <w:left w:val="single" w:sz="5" w:space="0" w:color="CDDCD9"/>
              <w:bottom w:val="single" w:sz="5" w:space="0" w:color="CDDCD9"/>
              <w:right w:val="single" w:sz="5" w:space="0" w:color="CDDCD9"/>
            </w:tcBorders>
            <w:shd w:fill="F8F4EA" w:val="clear"/>
            <w:tcMar>
              <w:top w:w="120" w:type="dxa"/>
              <w:start w:w="150" w:type="dxa"/>
              <w:bottom w:w="130" w:type="dxa"/>
              <w:end w:w="150" w:type="dxa"/>
            </w:tcMar>
            <w:vAlign w:val="top"/>
          </w:tcPr>
          <w:p>
            <w:pPr>
              <w:keepNext w:val="0"/>
              <w:spacing w:before="0" w:after="0" w:line="264" w:lineRule="auto"/>
            </w:pPr>
            <w:r>
              <w:rPr>
                <w:rFonts w:ascii="Arial" w:hAnsi="Arial" w:eastAsia="Arial"/>
                <w:b w:val="0"/>
                <w:i w:val="0"/>
                <w:color w:val="00645E"/>
                <w:sz w:val="18"/>
              </w:rPr>
              <w:t>Operator safeguard</w:t>
            </w:r>
          </w:p>
          <w:p>
            <w:pPr>
              <w:keepNext w:val="0"/>
              <w:spacing w:before="0" w:after="0" w:line="276" w:lineRule="auto"/>
            </w:pPr>
            <w:r>
              <w:rPr>
                <w:rFonts w:ascii="Arial" w:hAnsi="Arial" w:eastAsia="Arial"/>
                <w:b w:val="0"/>
                <w:i w:val="0"/>
                <w:color w:val="111817"/>
                <w:sz w:val="17"/>
              </w:rPr>
              <w:t>Show the exact date split and the days charged at each rate. This must be tied to the warehouse billing policy.</w:t>
            </w:r>
          </w:p>
        </w:tc>
      </w:tr>
    </w:tbl>
    <w:p>
      <w:pPr>
        <w:keepNext w:val="0"/>
        <w:spacing w:before="0" w:after="100" w:line="276" w:lineRule="auto"/>
      </w:pPr>
      <w:r>
        <w:rPr>
          <w:rFonts w:ascii="Arial" w:hAnsi="Arial" w:eastAsia="Arial"/>
          <w:b w:val="0"/>
          <w:i w:val="0"/>
          <w:color w:val="111817"/>
          <w:sz w:val="4"/>
        </w:rPr>
      </w:r>
    </w:p>
    <w:tbl>
      <w:tblPr>
        <w:tblW w:type="dxa" w:w="9695"/>
        <w:jc w:val="center"/>
        <w:tblLayout w:type="fixed"/>
        <w:tblLook w:firstColumn="1" w:firstRow="1" w:lastColumn="0" w:lastRow="0" w:noHBand="0" w:noVBand="1" w:val="04A0"/>
      </w:tblPr>
      <w:tblGrid>
        <w:gridCol w:w="9695"/>
      </w:tblGrid>
      <w:tr>
        <w:tc>
          <w:tcPr>
            <w:tcW w:type="dxa" w:w="9694"/>
            <w:tcBorders>
              <w:top w:val="single" w:sz="5" w:space="0" w:color="B9D6D0"/>
              <w:left w:val="single" w:sz="5" w:space="0" w:color="B9D6D0"/>
              <w:bottom w:val="single" w:sz="5" w:space="0" w:color="B9D6D0"/>
              <w:right w:val="single" w:sz="5" w:space="0" w:color="B9D6D0"/>
            </w:tcBorders>
            <w:shd w:fill="14877D" w:val="clear"/>
            <w:tcMar>
              <w:top w:w="75" w:type="dxa"/>
              <w:start w:w="150" w:type="dxa"/>
              <w:bottom w:w="75" w:type="dxa"/>
              <w:end w:w="150" w:type="dxa"/>
            </w:tcMar>
          </w:tcPr>
          <w:p>
            <w:pPr>
              <w:keepNext w:val="0"/>
              <w:spacing w:before="0" w:after="0" w:line="264" w:lineRule="auto"/>
            </w:pPr>
            <w:r>
              <w:rPr>
                <w:rFonts w:ascii="Arial" w:hAnsi="Arial" w:eastAsia="Arial"/>
                <w:b w:val="0"/>
                <w:i w:val="0"/>
                <w:color w:val="FFFFFF"/>
                <w:sz w:val="18"/>
              </w:rPr>
              <w:t>Example</w:t>
            </w:r>
          </w:p>
        </w:tc>
      </w:tr>
      <w:tr>
        <w:tc>
          <w:tcPr>
            <w:tcW w:type="dxa" w:w="9694"/>
            <w:tcBorders>
              <w:top w:val="single" w:sz="5" w:space="0" w:color="B9D6D0"/>
              <w:left w:val="single" w:sz="5" w:space="0" w:color="B9D6D0"/>
              <w:bottom w:val="single" w:sz="5" w:space="0" w:color="B9D6D0"/>
              <w:right w:val="single" w:sz="5" w:space="0" w:color="B9D6D0"/>
            </w:tcBorders>
            <w:shd w:fill="F3F7F6" w:val="clear"/>
            <w:tcMar>
              <w:top w:w="105" w:type="dxa"/>
              <w:start w:w="150" w:type="dxa"/>
              <w:bottom w:w="105" w:type="dxa"/>
              <w:end w:w="150" w:type="dxa"/>
            </w:tcMar>
          </w:tcPr>
          <w:p>
            <w:pPr>
              <w:keepNext w:val="0"/>
              <w:spacing w:before="0" w:after="0" w:line="264" w:lineRule="auto"/>
            </w:pPr>
            <w:r>
              <w:rPr>
                <w:rFonts w:ascii="Arial" w:hAnsi="Arial" w:eastAsia="Arial"/>
                <w:b w:val="0"/>
                <w:i w:val="0"/>
                <w:color w:val="111817"/>
                <w:sz w:val="17"/>
              </w:rPr>
              <w:t>Pallet storage: GBP 0.38/day through day 14, then GBP 0.27/day for the remainder of the month.</w:t>
            </w:r>
          </w:p>
        </w:tc>
      </w:tr>
    </w:tbl>
    <w:p>
      <w:pPr>
        <w:pStyle w:val="GuideHeading2"/>
      </w:pPr>
      <w:r>
        <w:t>Multideck interaction pattern</w:t>
      </w:r>
    </w:p>
    <w:p>
      <w:pPr>
        <w:pStyle w:val="GuideBody"/>
      </w:pPr>
      <w:r>
        <w:t>Choose this pricing method from a plain-language selector. Multideck then reveals only the relevant inputs, validates missing data before rating, and keeps a live explanation beside the result. The charge remains independent on the supplier and customer sides unless an operator explicitly copies it.</w:t>
      </w:r>
    </w:p>
    <w:p>
      <w:pPr>
        <w:sectPr>
          <w:headerReference w:type="default" r:id="rId14"/>
          <w:footerReference w:type="default" r:id="rId15"/>
          <w:pgSz w:w="11906" w:h="16838"/>
          <w:pgMar w:top="864" w:right="1022" w:bottom="864" w:left="1022" w:header="360" w:footer="403" w:gutter="0"/>
          <w:cols w:space="720"/>
          <w:docGrid w:linePitch="360"/>
        </w:sectPr>
      </w:pPr>
    </w:p>
    <w:p>
      <w:pPr>
        <w:pStyle w:val="GuideEyebrow"/>
      </w:pPr>
      <w:r>
        <w:t>MODELLING STANDARDS</w:t>
      </w:r>
    </w:p>
    <w:p>
      <w:pPr>
        <w:pStyle w:val="GuideHeading1"/>
      </w:pPr>
      <w:r>
        <w:t>What every Multideck calculator must carry</w:t>
      </w:r>
    </w:p>
    <w:tbl>
      <w:tblPr>
        <w:tblW w:type="dxa" w:w="9695"/>
        <w:jc w:val="center"/>
        <w:tblLayout w:type="fixed"/>
        <w:tblLook w:firstColumn="1" w:firstRow="1" w:lastColumn="0" w:lastRow="0" w:noHBand="0" w:noVBand="1" w:val="04A0"/>
      </w:tblPr>
      <w:tblGrid>
        <w:gridCol w:w="2438"/>
        <w:gridCol w:w="7257"/>
      </w:tblGrid>
      <w:tr>
        <w:tc>
          <w:tcPr>
            <w:tcW w:type="dxa" w:w="243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3F7F6" w:val="clear"/>
          </w:tcPr>
          <w:p>
            <w:pPr>
              <w:keepNext w:val="0"/>
              <w:spacing w:before="0" w:after="0" w:line="264" w:lineRule="auto"/>
            </w:pPr>
            <w:r>
              <w:rPr>
                <w:rFonts w:ascii="Arial" w:hAnsi="Arial" w:eastAsia="Arial"/>
                <w:b w:val="0"/>
                <w:i w:val="0"/>
                <w:color w:val="00645E"/>
                <w:sz w:val="17"/>
              </w:rPr>
              <w:t>Context</w:t>
            </w:r>
          </w:p>
        </w:tc>
        <w:tc>
          <w:tcPr>
            <w:tcW w:type="dxa" w:w="7257"/>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3F7F6" w:val="clear"/>
          </w:tcPr>
          <w:p>
            <w:pPr>
              <w:keepNext w:val="0"/>
              <w:spacing w:before="0" w:after="0" w:line="264" w:lineRule="auto"/>
            </w:pPr>
            <w:r>
              <w:rPr>
                <w:rFonts w:ascii="Arial" w:hAnsi="Arial" w:eastAsia="Arial"/>
                <w:b w:val="0"/>
                <w:i w:val="0"/>
                <w:color w:val="111817"/>
                <w:sz w:val="17"/>
              </w:rPr>
              <w:t>Organisation, legal entity, branch, trade lane, service, mode, equipment and the charge side where relevant.</w:t>
            </w:r>
          </w:p>
        </w:tc>
      </w:tr>
      <w:tr>
        <w:tc>
          <w:tcPr>
            <w:tcW w:type="dxa" w:w="243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3F7F6" w:val="clear"/>
          </w:tcPr>
          <w:p>
            <w:pPr>
              <w:keepNext w:val="0"/>
              <w:spacing w:before="0" w:after="0" w:line="264" w:lineRule="auto"/>
            </w:pPr>
            <w:r>
              <w:rPr>
                <w:rFonts w:ascii="Arial" w:hAnsi="Arial" w:eastAsia="Arial"/>
                <w:b w:val="0"/>
                <w:i w:val="0"/>
                <w:color w:val="00645E"/>
                <w:sz w:val="17"/>
              </w:rPr>
              <w:t>Commercial terms</w:t>
            </w:r>
          </w:p>
        </w:tc>
        <w:tc>
          <w:tcPr>
            <w:tcW w:type="dxa" w:w="7257"/>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3F7F6" w:val="clear"/>
          </w:tcPr>
          <w:p>
            <w:pPr>
              <w:keepNext w:val="0"/>
              <w:spacing w:before="0" w:after="0" w:line="264" w:lineRule="auto"/>
            </w:pPr>
            <w:r>
              <w:rPr>
                <w:rFonts w:ascii="Arial" w:hAnsi="Arial" w:eastAsia="Arial"/>
                <w:b w:val="0"/>
                <w:i w:val="0"/>
                <w:color w:val="111817"/>
                <w:sz w:val="17"/>
              </w:rPr>
              <w:t>Currency, tax treatment, rounding, minimum, maximum, effective dates, rate owner and approval status.</w:t>
            </w:r>
          </w:p>
        </w:tc>
      </w:tr>
      <w:tr>
        <w:tc>
          <w:tcPr>
            <w:tcW w:type="dxa" w:w="243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3F7F6" w:val="clear"/>
          </w:tcPr>
          <w:p>
            <w:pPr>
              <w:keepNext w:val="0"/>
              <w:spacing w:before="0" w:after="0" w:line="264" w:lineRule="auto"/>
            </w:pPr>
            <w:r>
              <w:rPr>
                <w:rFonts w:ascii="Arial" w:hAnsi="Arial" w:eastAsia="Arial"/>
                <w:b w:val="0"/>
                <w:i w:val="0"/>
                <w:color w:val="00645E"/>
                <w:sz w:val="17"/>
              </w:rPr>
              <w:t>Calculation basis</w:t>
            </w:r>
          </w:p>
        </w:tc>
        <w:tc>
          <w:tcPr>
            <w:tcW w:type="dxa" w:w="7257"/>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3F7F6" w:val="clear"/>
          </w:tcPr>
          <w:p>
            <w:pPr>
              <w:keepNext w:val="0"/>
              <w:spacing w:before="0" w:after="0" w:line="264" w:lineRule="auto"/>
            </w:pPr>
            <w:r>
              <w:rPr>
                <w:rFonts w:ascii="Arial" w:hAnsi="Arial" w:eastAsia="Arial"/>
                <w:b w:val="0"/>
                <w:i w:val="0"/>
                <w:color w:val="111817"/>
                <w:sz w:val="17"/>
              </w:rPr>
              <w:t>The precise source of weight, volume, distance, time, value, count, tariff or supplier cost.</w:t>
            </w:r>
          </w:p>
        </w:tc>
      </w:tr>
      <w:tr>
        <w:tc>
          <w:tcPr>
            <w:tcW w:type="dxa" w:w="243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3F7F6" w:val="clear"/>
          </w:tcPr>
          <w:p>
            <w:pPr>
              <w:keepNext w:val="0"/>
              <w:spacing w:before="0" w:after="0" w:line="264" w:lineRule="auto"/>
            </w:pPr>
            <w:r>
              <w:rPr>
                <w:rFonts w:ascii="Arial" w:hAnsi="Arial" w:eastAsia="Arial"/>
                <w:b w:val="0"/>
                <w:i w:val="0"/>
                <w:color w:val="00645E"/>
                <w:sz w:val="17"/>
              </w:rPr>
              <w:t>Outcome</w:t>
            </w:r>
          </w:p>
        </w:tc>
        <w:tc>
          <w:tcPr>
            <w:tcW w:type="dxa" w:w="7257"/>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3F7F6" w:val="clear"/>
          </w:tcPr>
          <w:p>
            <w:pPr>
              <w:keepNext w:val="0"/>
              <w:spacing w:before="0" w:after="0" w:line="264" w:lineRule="auto"/>
            </w:pPr>
            <w:r>
              <w:rPr>
                <w:rFonts w:ascii="Arial" w:hAnsi="Arial" w:eastAsia="Arial"/>
                <w:b w:val="0"/>
                <w:i w:val="0"/>
                <w:color w:val="111817"/>
                <w:sz w:val="17"/>
              </w:rPr>
              <w:t>Calculated amount, local/base amount, exchange rate, formula explanation and the winning band or constraint.</w:t>
            </w:r>
          </w:p>
        </w:tc>
      </w:tr>
      <w:tr>
        <w:tc>
          <w:tcPr>
            <w:tcW w:type="dxa" w:w="2438"/>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3F7F6" w:val="clear"/>
          </w:tcPr>
          <w:p>
            <w:pPr>
              <w:keepNext w:val="0"/>
              <w:spacing w:before="0" w:after="0" w:line="264" w:lineRule="auto"/>
            </w:pPr>
            <w:r>
              <w:rPr>
                <w:rFonts w:ascii="Arial" w:hAnsi="Arial" w:eastAsia="Arial"/>
                <w:b w:val="0"/>
                <w:i w:val="0"/>
                <w:color w:val="00645E"/>
                <w:sz w:val="17"/>
              </w:rPr>
              <w:t>Audit</w:t>
            </w:r>
          </w:p>
        </w:tc>
        <w:tc>
          <w:tcPr>
            <w:tcW w:type="dxa" w:w="7257"/>
            <w:tcBorders>
              <w:top w:val="single" w:sz="5" w:space="0" w:color="CDDCD9"/>
              <w:left w:val="single" w:sz="5" w:space="0" w:color="CDDCD9"/>
              <w:bottom w:val="single" w:sz="5" w:space="0" w:color="CDDCD9"/>
              <w:right w:val="single" w:sz="5" w:space="0" w:color="CDDCD9"/>
            </w:tcBorders>
            <w:tcMar>
              <w:top w:w="100" w:type="dxa"/>
              <w:start w:w="130" w:type="dxa"/>
              <w:bottom w:w="100" w:type="dxa"/>
              <w:end w:w="130" w:type="dxa"/>
            </w:tcMar>
            <w:vAlign w:val="center"/>
            <w:shd w:fill="F3F7F6" w:val="clear"/>
          </w:tcPr>
          <w:p>
            <w:pPr>
              <w:keepNext w:val="0"/>
              <w:spacing w:before="0" w:after="0" w:line="264" w:lineRule="auto"/>
            </w:pPr>
            <w:r>
              <w:rPr>
                <w:rFonts w:ascii="Arial" w:hAnsi="Arial" w:eastAsia="Arial"/>
                <w:b w:val="0"/>
                <w:i w:val="0"/>
                <w:color w:val="111817"/>
                <w:sz w:val="17"/>
              </w:rPr>
              <w:t>Who created or changed the rule, when it was effective, which inputs were used and why any override occurred.</w:t>
            </w:r>
          </w:p>
        </w:tc>
      </w:tr>
    </w:tbl>
    <w:p>
      <w:pPr>
        <w:pStyle w:val="GuideHeading2"/>
      </w:pPr>
      <w:r>
        <w:t>Design direction</w:t>
      </w:r>
    </w:p>
    <w:p>
      <w:pPr>
        <w:pStyle w:val="GuideBody"/>
      </w:pPr>
      <w:r>
        <w:t>This guide is a product foundation, not a request to expose every option at once. Multideck should introduce calculator methods progressively, prioritising the freight, transport and commercial controls that operators use most. Each new method should reuse the same result panel, audit contract and independent supplier/customer model.</w:t>
      </w:r>
    </w:p>
    <w:sectPr w:rsidR="00FC693F" w:rsidRPr="0006063C" w:rsidSect="00034616">
      <w:headerReference w:type="default" r:id="rId16"/>
      <w:footerReference w:type="default" r:id="rId17"/>
      <w:pgSz w:w="11906" w:h="16838"/>
      <w:pgMar w:top="1872" w:right="1022" w:bottom="893" w:left="1022"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865"/>
      <w:jc w:val="center"/>
      <w:tblLayout w:type="fixed"/>
      <w:tblLook w:firstColumn="1" w:firstRow="1" w:lastColumn="0" w:lastRow="0" w:noHBand="0" w:noVBand="1" w:val="04A0"/>
    </w:tblPr>
    <w:tblGrid>
      <w:gridCol w:w="7484"/>
      <w:gridCol w:w="2381"/>
    </w:tblGrid>
    <w:tr>
      <w:tc>
        <w:tcPr>
          <w:tcW w:type="dxa" w:w="7483"/>
          <w:tcMar>
            <w:top w:w="0" w:type="dxa"/>
            <w:start w:w="0" w:type="dxa"/>
            <w:bottom w:w="0" w:type="dxa"/>
            <w:end w:w="0" w:type="dxa"/>
          </w:tcMar>
          <w:tcBorders>
            <w:top w:val="nil"/>
            <w:left w:val="nil"/>
            <w:bottom w:val="nil"/>
            <w:right w:val="nil"/>
          </w:tcBorders>
        </w:tcPr>
        <w:p>
          <w:pPr>
            <w:keepNext w:val="0"/>
            <w:spacing w:before="0" w:after="0" w:line="264" w:lineRule="auto"/>
          </w:pPr>
          <w:r>
            <w:rPr>
              <w:rFonts w:ascii="Arial" w:hAnsi="Arial" w:eastAsia="Arial"/>
              <w:b w:val="0"/>
              <w:i w:val="0"/>
              <w:color w:val="71807E"/>
              <w:sz w:val="16"/>
            </w:rPr>
            <w:t>MULTIDECK  |  CALCULATOR GUIDE</w:t>
          </w:r>
        </w:p>
      </w:tc>
      <w:tc>
        <w:tcPr>
          <w:tcW w:type="dxa" w:w="2381"/>
          <w:tcMar>
            <w:top w:w="0" w:type="dxa"/>
            <w:start w:w="0" w:type="dxa"/>
            <w:bottom w:w="0" w:type="dxa"/>
            <w:end w:w="0" w:type="dxa"/>
          </w:tcMar>
          <w:tcBorders>
            <w:top w:val="nil"/>
            <w:left w:val="nil"/>
            <w:bottom w:val="nil"/>
            <w:right w:val="nil"/>
          </w:tcBorders>
        </w:tcPr>
        <w:p>
          <w:pPr>
            <w:jc w:val="right"/>
          </w:pPr>
          <w:r>
            <w:rPr>
              <w:rFonts w:ascii="Arial" w:hAnsi="Arial" w:eastAsia="Arial"/>
              <w:b w:val="0"/>
              <w:i w:val="0"/>
              <w:color w:val="71807E"/>
              <w:sz w:val="16"/>
            </w:rPr>
            <w:fldChar w:fldCharType="begin"/>
            <w:instrText xml:space="preserve"> PAGE </w:instrText>
            <w:fldChar w:fldCharType="separate"/>
            <w:t>1</w:t>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865"/>
      <w:jc w:val="center"/>
      <w:tblLayout w:type="fixed"/>
      <w:tblLook w:firstColumn="1" w:firstRow="1" w:lastColumn="0" w:lastRow="0" w:noHBand="0" w:noVBand="1" w:val="04A0"/>
    </w:tblPr>
    <w:tblGrid>
      <w:gridCol w:w="7484"/>
      <w:gridCol w:w="2381"/>
    </w:tblGrid>
    <w:tr>
      <w:tc>
        <w:tcPr>
          <w:tcW w:type="dxa" w:w="7483"/>
          <w:tcMar>
            <w:top w:w="0" w:type="dxa"/>
            <w:start w:w="0" w:type="dxa"/>
            <w:bottom w:w="0" w:type="dxa"/>
            <w:end w:w="0" w:type="dxa"/>
          </w:tcMar>
          <w:tcBorders>
            <w:top w:val="nil"/>
            <w:left w:val="nil"/>
            <w:bottom w:val="nil"/>
            <w:right w:val="nil"/>
          </w:tcBorders>
        </w:tcPr>
      </w:tc>
      <w:tc>
        <w:tcPr>
          <w:tcW w:type="dxa" w:w="2381"/>
          <w:tcMar>
            <w:top w:w="0" w:type="dxa"/>
            <w:start w:w="0" w:type="dxa"/>
            <w:bottom w:w="0" w:type="dxa"/>
            <w:end w:w="0" w:type="dxa"/>
          </w:tcMar>
          <w:tcBorders>
            <w:top w:val="nil"/>
            <w:left w:val="nil"/>
            <w:bottom w:val="nil"/>
            <w:right w:val="nil"/>
          </w:tcBorders>
        </w:tcPr>
        <w:p>
          <w:pPr>
            <w:jc w:val="right"/>
          </w:pPr>
          <w:r>
            <w:rPr>
              <w:rFonts w:ascii="Arial" w:hAnsi="Arial" w:eastAsia="Arial"/>
              <w:b w:val="0"/>
              <w:i w:val="0"/>
              <w:color w:val="71807E"/>
              <w:sz w:val="16"/>
            </w:rPr>
            <w:fldChar w:fldCharType="begin"/>
            <w:instrText xml:space="preserve"> PAGE </w:instrText>
            <w:fldChar w:fldCharType="separate"/>
            <w:t>1</w:t>
            <w:fldChar w:fldCharType="end"/>
          </w:r>
        </w:p>
      </w:tc>
    </w:tr>
  </w:tbl>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865"/>
      <w:jc w:val="center"/>
      <w:tblLayout w:type="fixed"/>
      <w:tblLook w:firstColumn="1" w:firstRow="1" w:lastColumn="0" w:lastRow="0" w:noHBand="0" w:noVBand="1" w:val="04A0"/>
    </w:tblPr>
    <w:tblGrid>
      <w:gridCol w:w="7484"/>
      <w:gridCol w:w="2381"/>
    </w:tblGrid>
    <w:tr>
      <w:tc>
        <w:tcPr>
          <w:tcW w:type="dxa" w:w="7483"/>
          <w:tcMar>
            <w:top w:w="0" w:type="dxa"/>
            <w:start w:w="0" w:type="dxa"/>
            <w:bottom w:w="0" w:type="dxa"/>
            <w:end w:w="0" w:type="dxa"/>
          </w:tcMar>
          <w:tcBorders>
            <w:top w:val="nil"/>
            <w:left w:val="nil"/>
            <w:bottom w:val="nil"/>
            <w:right w:val="nil"/>
          </w:tcBorders>
        </w:tcPr>
        <w:p>
          <w:pPr>
            <w:keepNext w:val="0"/>
            <w:spacing w:before="0" w:after="0" w:line="264" w:lineRule="auto"/>
          </w:pPr>
          <w:r>
            <w:rPr>
              <w:rFonts w:ascii="Arial" w:hAnsi="Arial" w:eastAsia="Arial"/>
              <w:b w:val="0"/>
              <w:i w:val="0"/>
              <w:color w:val="71807E"/>
              <w:sz w:val="16"/>
            </w:rPr>
            <w:t>MULTIDECK  |  CALCULATOR GUIDE</w:t>
          </w:r>
        </w:p>
      </w:tc>
      <w:tc>
        <w:tcPr>
          <w:tcW w:type="dxa" w:w="2381"/>
          <w:tcMar>
            <w:top w:w="0" w:type="dxa"/>
            <w:start w:w="0" w:type="dxa"/>
            <w:bottom w:w="0" w:type="dxa"/>
            <w:end w:w="0" w:type="dxa"/>
          </w:tcMar>
          <w:tcBorders>
            <w:top w:val="nil"/>
            <w:left w:val="nil"/>
            <w:bottom w:val="nil"/>
            <w:right w:val="nil"/>
          </w:tcBorders>
        </w:tcPr>
        <w:p>
          <w:pPr>
            <w:jc w:val="right"/>
          </w:pPr>
          <w:r>
            <w:rPr>
              <w:rFonts w:ascii="Arial" w:hAnsi="Arial" w:eastAsia="Arial"/>
              <w:b w:val="0"/>
              <w:i w:val="0"/>
              <w:color w:val="71807E"/>
              <w:sz w:val="16"/>
            </w:rP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80" w:line="240" w:lineRule="auto"/>
      <w:jc w:val="right"/>
      <w:pBdr>
        <w:bottom w:val="single" w:sz="4" w:space="7" w:color="CDDCD9"/>
      </w:pBdr>
    </w:pPr>
    <w:r>
      <w:drawing>
        <wp:inline xmlns:a="http://schemas.openxmlformats.org/drawingml/2006/main" xmlns:pic="http://schemas.openxmlformats.org/drawingml/2006/picture">
          <wp:extent cx="1627632" cy="411658"/>
          <wp:docPr id="1" name="Picture 1" title="Multideck" descr="Multideck logo"/>
          <wp:cNvGraphicFramePr>
            <a:graphicFrameLocks noChangeAspect="1"/>
          </wp:cNvGraphicFramePr>
          <a:graphic>
            <a:graphicData uri="http://schemas.openxmlformats.org/drawingml/2006/picture">
              <pic:pic>
                <pic:nvPicPr>
                  <pic:cNvPr id="0" name="header-logo.png"/>
                  <pic:cNvPicPr/>
                </pic:nvPicPr>
                <pic:blipFill>
                  <a:blip r:embed="rId1"/>
                  <a:stretch>
                    <a:fillRect/>
                  </a:stretch>
                </pic:blipFill>
                <pic:spPr>
                  <a:xfrm>
                    <a:off x="0" y="0"/>
                    <a:ext cx="1627632" cy="411658"/>
                  </a:xfrm>
                  <a:prstGeom prst="rect"/>
                </pic:spPr>
              </pic:pic>
            </a:graphicData>
          </a:graphic>
        </wp:inline>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80" w:line="240" w:lineRule="auto"/>
      <w:jc w:val="right"/>
      <w:pBdr>
        <w:bottom w:val="single" w:sz="4" w:space="7" w:color="CDDCD9"/>
      </w:pBdr>
    </w:pPr>
    <w:r>
      <w:drawing>
        <wp:inline xmlns:a="http://schemas.openxmlformats.org/drawingml/2006/main" xmlns:pic="http://schemas.openxmlformats.org/drawingml/2006/picture">
          <wp:extent cx="1627632" cy="411658"/>
          <wp:docPr id="1" name="Picture 1" title="Multideck" descr="Multideck logo"/>
          <wp:cNvGraphicFramePr>
            <a:graphicFrameLocks noChangeAspect="1"/>
          </wp:cNvGraphicFramePr>
          <a:graphic>
            <a:graphicData uri="http://schemas.openxmlformats.org/drawingml/2006/picture">
              <pic:pic>
                <pic:nvPicPr>
                  <pic:cNvPr id="0" name="header-logo.png"/>
                  <pic:cNvPicPr/>
                </pic:nvPicPr>
                <pic:blipFill>
                  <a:blip r:embed="rId1"/>
                  <a:stretch>
                    <a:fillRect/>
                  </a:stretch>
                </pic:blipFill>
                <pic:spPr>
                  <a:xfrm>
                    <a:off x="0" y="0"/>
                    <a:ext cx="1627632" cy="41165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Arial" w:hAnsi="Arial" w:eastAsia="Arial"/>
      <w:color w:val="11181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Title">
    <w:name w:val="Guide Title"/>
    <w:pPr>
      <w:keepNext/>
      <w:spacing w:before="0" w:after="200" w:line="276" w:lineRule="auto"/>
    </w:pPr>
    <w:rPr>
      <w:rFonts w:ascii="Arial" w:hAnsi="Arial" w:eastAsia="Arial"/>
      <w:b w:val="0"/>
      <w:color w:val="111817"/>
      <w:sz w:val="52"/>
    </w:rPr>
  </w:style>
  <w:style w:type="paragraph" w:customStyle="1" w:styleId="GuideHeading1">
    <w:name w:val="Guide Heading 1"/>
    <w:pPr>
      <w:keepNext/>
      <w:spacing w:before="0" w:after="160" w:line="276" w:lineRule="auto"/>
    </w:pPr>
    <w:rPr>
      <w:rFonts w:ascii="Arial" w:hAnsi="Arial" w:eastAsia="Arial"/>
      <w:b w:val="0"/>
      <w:color w:val="111817"/>
      <w:sz w:val="42"/>
    </w:rPr>
  </w:style>
  <w:style w:type="paragraph" w:customStyle="1" w:styleId="GuideHeading2">
    <w:name w:val="Guide Heading 2"/>
    <w:pPr>
      <w:keepNext/>
      <w:spacing w:before="240" w:after="100" w:line="276" w:lineRule="auto"/>
    </w:pPr>
    <w:rPr>
      <w:rFonts w:ascii="Arial" w:hAnsi="Arial" w:eastAsia="Arial"/>
      <w:b w:val="0"/>
      <w:color w:val="111817"/>
      <w:sz w:val="28"/>
    </w:rPr>
  </w:style>
  <w:style w:type="paragraph" w:customStyle="1" w:styleId="GuideEyebrow">
    <w:name w:val="Guide Eyebrow"/>
    <w:pPr>
      <w:keepNext/>
      <w:spacing w:before="0" w:after="100" w:line="276" w:lineRule="auto"/>
    </w:pPr>
    <w:rPr>
      <w:rFonts w:ascii="Arial" w:hAnsi="Arial" w:eastAsia="Arial"/>
      <w:b w:val="0"/>
      <w:color w:val="14877D"/>
      <w:sz w:val="18"/>
    </w:rPr>
  </w:style>
  <w:style w:type="paragraph" w:customStyle="1" w:styleId="GuideLead">
    <w:name w:val="Guide Lead"/>
    <w:pPr>
      <w:keepNext w:val="0"/>
      <w:spacing w:before="0" w:after="240" w:line="276" w:lineRule="auto"/>
    </w:pPr>
    <w:rPr>
      <w:rFonts w:ascii="Arial" w:hAnsi="Arial" w:eastAsia="Arial"/>
      <w:b w:val="0"/>
      <w:color w:val="52615F"/>
      <w:sz w:val="25"/>
    </w:rPr>
  </w:style>
  <w:style w:type="paragraph" w:customStyle="1" w:styleId="GuideBody">
    <w:name w:val="Guide Body"/>
    <w:pPr>
      <w:keepNext w:val="0"/>
      <w:spacing w:before="0" w:after="140" w:line="276" w:lineRule="auto"/>
    </w:pPr>
    <w:rPr>
      <w:rFonts w:ascii="Arial" w:hAnsi="Arial" w:eastAsia="Arial"/>
      <w:b w:val="0"/>
      <w:color w:val="52615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Multideck Calculator Guide Template</dc:title>
  <dc:subject>Reusable Multideck pricing and product reference guide</dc:subject>
  <dc:creator>Multideck</dc:creator>
  <cp:keywords>Multideck, calculator, freight, pricing, guide, template</cp:keywords>
  <dc:description>generated by python-docx</dc:description>
  <cp:lastModifiedBy/>
  <cp:revision>1</cp:revision>
  <dcterms:created xsi:type="dcterms:W3CDTF">2013-12-23T23:15:00Z</dcterms:created>
  <dcterms:modified xsi:type="dcterms:W3CDTF">2013-12-23T23:15:00Z</dcterms:modified>
  <cp:category/>
</cp:coreProperties>
</file>